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0FC71870" w:rsidR="000A7622" w:rsidRPr="00C04F25" w:rsidRDefault="0083781D" w:rsidP="00D14423">
      <w:pPr>
        <w:autoSpaceDE w:val="0"/>
        <w:autoSpaceDN w:val="0"/>
        <w:adjustRightInd w:val="0"/>
        <w:rPr>
          <w:rFonts w:cstheme="minorHAnsi"/>
          <w:b/>
          <w:bCs/>
          <w:i/>
          <w:iCs/>
          <w:sz w:val="32"/>
          <w:szCs w:val="32"/>
        </w:rPr>
      </w:pPr>
      <w:r>
        <w:rPr>
          <w:rFonts w:cstheme="minorHAnsi"/>
          <w:b/>
          <w:bCs/>
          <w:i/>
          <w:iCs/>
          <w:sz w:val="32"/>
          <w:szCs w:val="32"/>
        </w:rPr>
        <w:t xml:space="preserve">Nursing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Nursing</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074759A8" w:rsidR="000A7622" w:rsidRDefault="009C00A0" w:rsidP="00D14423">
      <w:pPr>
        <w:rPr>
          <w:rFonts w:cstheme="minorHAnsi"/>
          <w:sz w:val="24"/>
          <w:szCs w:val="24"/>
        </w:rPr>
      </w:pPr>
      <w:r>
        <w:rPr>
          <w:rFonts w:cstheme="minorHAnsi"/>
          <w:i/>
          <w:sz w:val="24"/>
          <w:szCs w:val="24"/>
          <w:lang w:val="fr-FR"/>
        </w:rPr>
        <w:t>Health Services Research</w:t>
      </w:r>
      <w:r w:rsidR="000A7622" w:rsidRPr="00C04F25">
        <w:rPr>
          <w:rFonts w:cstheme="minorHAnsi"/>
          <w:sz w:val="24"/>
          <w:szCs w:val="24"/>
          <w:lang w:val="fr-FR"/>
        </w:rPr>
        <w:t xml:space="preserve">, Vol. </w:t>
      </w:r>
      <w:r>
        <w:rPr>
          <w:rFonts w:cstheme="minorHAnsi"/>
          <w:sz w:val="24"/>
          <w:szCs w:val="24"/>
          <w:lang w:val="fr-FR"/>
        </w:rPr>
        <w:t>57</w:t>
      </w:r>
      <w:r w:rsidR="000A7622" w:rsidRPr="00C04F25">
        <w:rPr>
          <w:rFonts w:cstheme="minorHAnsi"/>
          <w:sz w:val="24"/>
          <w:szCs w:val="24"/>
          <w:lang w:val="fr-FR"/>
        </w:rPr>
        <w:t xml:space="preserve">, No. </w:t>
      </w:r>
      <w:r>
        <w:rPr>
          <w:rFonts w:cstheme="minorHAnsi"/>
          <w:sz w:val="24"/>
          <w:szCs w:val="24"/>
          <w:lang w:val="fr-FR"/>
        </w:rPr>
        <w:t>2</w:t>
      </w:r>
      <w:r w:rsidR="000A7622" w:rsidRPr="00C04F25">
        <w:rPr>
          <w:rFonts w:cstheme="minorHAnsi"/>
          <w:sz w:val="24"/>
          <w:szCs w:val="24"/>
          <w:lang w:val="fr-FR"/>
        </w:rPr>
        <w:t xml:space="preserve"> (</w:t>
      </w:r>
      <w:r>
        <w:rPr>
          <w:rFonts w:cstheme="minorHAnsi"/>
          <w:sz w:val="24"/>
          <w:szCs w:val="24"/>
          <w:lang w:val="fr-FR"/>
        </w:rPr>
        <w:t>April 2022</w:t>
      </w:r>
      <w:r w:rsidR="000A7622" w:rsidRPr="00C04F25">
        <w:rPr>
          <w:rFonts w:cstheme="minorHAnsi"/>
          <w:sz w:val="24"/>
          <w:szCs w:val="24"/>
          <w:lang w:val="fr-FR"/>
        </w:rPr>
        <w:t xml:space="preserve">): </w:t>
      </w:r>
      <w:r>
        <w:rPr>
          <w:rFonts w:cstheme="minorHAnsi"/>
          <w:sz w:val="24"/>
          <w:szCs w:val="24"/>
          <w:lang w:val="fr-FR"/>
        </w:rPr>
        <w:t>311-321</w:t>
      </w:r>
      <w:r w:rsidR="000A7622" w:rsidRPr="00C04F25">
        <w:rPr>
          <w:rFonts w:cstheme="minorHAnsi"/>
          <w:sz w:val="24"/>
          <w:szCs w:val="24"/>
          <w:lang w:val="fr-FR"/>
        </w:rPr>
        <w:t xml:space="preserve">. </w:t>
      </w:r>
      <w:hyperlink r:id="rId9"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220707">
        <w:rPr>
          <w:rFonts w:cstheme="minorHAnsi"/>
          <w:sz w:val="24"/>
          <w:szCs w:val="24"/>
        </w:rPr>
        <w:t>Wiley</w:t>
      </w:r>
      <w:r w:rsidR="000A7622" w:rsidRPr="00C04F25">
        <w:rPr>
          <w:rFonts w:cstheme="minorHAnsi"/>
          <w:sz w:val="24"/>
          <w:szCs w:val="24"/>
        </w:rPr>
        <w:t xml:space="preserve"> 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220707">
        <w:rPr>
          <w:rFonts w:cstheme="minorHAnsi"/>
          <w:sz w:val="24"/>
          <w:szCs w:val="24"/>
        </w:rPr>
        <w:t>Wiley</w:t>
      </w:r>
      <w:r w:rsidR="000A7622" w:rsidRPr="00C04F25">
        <w:rPr>
          <w:rFonts w:cstheme="minorHAnsi"/>
          <w:sz w:val="24"/>
          <w:szCs w:val="24"/>
        </w:rPr>
        <w:t xml:space="preserve"> does not grant permission for this article to be further copied/distributed or hosted elsewhere without the express permission from </w:t>
      </w:r>
      <w:r w:rsidR="00220707" w:rsidRPr="00220707">
        <w:rPr>
          <w:rFonts w:cstheme="minorHAnsi"/>
          <w:sz w:val="24"/>
          <w:szCs w:val="24"/>
        </w:rPr>
        <w:t>Wiley</w:t>
      </w:r>
      <w:r w:rsidR="000A7622" w:rsidRPr="00C04F25">
        <w:rPr>
          <w:rFonts w:cstheme="minorHAnsi"/>
          <w:sz w:val="24"/>
          <w:szCs w:val="24"/>
        </w:rPr>
        <w:t xml:space="preserve">. </w:t>
      </w:r>
      <w:bookmarkEnd w:id="1"/>
    </w:p>
    <w:p w14:paraId="79540ADB" w14:textId="77777777" w:rsidR="009C728A" w:rsidRDefault="009C728A" w:rsidP="00D14423">
      <w:pPr>
        <w:rPr>
          <w:rFonts w:cstheme="minorHAnsi"/>
          <w:sz w:val="24"/>
          <w:szCs w:val="24"/>
        </w:rPr>
      </w:pPr>
    </w:p>
    <w:p w14:paraId="07BF50AF" w14:textId="51C4ABCD" w:rsidR="003E29E0" w:rsidRDefault="003E29E0" w:rsidP="00344715">
      <w:pPr>
        <w:pStyle w:val="Title"/>
      </w:pPr>
      <w:r w:rsidRPr="003E29E0">
        <w:t xml:space="preserve">Nonlinear </w:t>
      </w:r>
      <w:r w:rsidR="00344715" w:rsidRPr="003E29E0">
        <w:t>Association of Nurse Staffing and Readmissions Uncovered in Machine Learning Analysis</w:t>
      </w:r>
    </w:p>
    <w:p w14:paraId="292E21DE" w14:textId="77777777" w:rsidR="00344715" w:rsidRPr="00344715" w:rsidRDefault="00344715" w:rsidP="00344715"/>
    <w:p w14:paraId="35218D9C" w14:textId="7279ECC1" w:rsidR="00344715" w:rsidRPr="000E12D5" w:rsidRDefault="003E29E0" w:rsidP="000E12D5">
      <w:pPr>
        <w:pStyle w:val="NoSpacing"/>
        <w:rPr>
          <w:sz w:val="32"/>
          <w:szCs w:val="32"/>
        </w:rPr>
      </w:pPr>
      <w:r w:rsidRPr="000E12D5">
        <w:rPr>
          <w:sz w:val="32"/>
          <w:szCs w:val="32"/>
        </w:rPr>
        <w:t xml:space="preserve">Olga Yakusheva </w:t>
      </w:r>
    </w:p>
    <w:p w14:paraId="7B546350" w14:textId="6F95FABF" w:rsidR="001407B2" w:rsidRPr="000E12D5" w:rsidRDefault="001407B2" w:rsidP="000E12D5">
      <w:pPr>
        <w:pStyle w:val="NoSpacing"/>
        <w:rPr>
          <w:sz w:val="24"/>
          <w:szCs w:val="24"/>
        </w:rPr>
      </w:pPr>
      <w:r w:rsidRPr="000E12D5">
        <w:rPr>
          <w:sz w:val="24"/>
          <w:szCs w:val="24"/>
        </w:rPr>
        <w:t>Department of Systems, Populations, and Leadership, School of Nursing, University of Michigan, Ann Arbor, Michigan</w:t>
      </w:r>
    </w:p>
    <w:p w14:paraId="2C409284" w14:textId="6F72F011" w:rsidR="00344715" w:rsidRPr="000E12D5" w:rsidRDefault="001407B2" w:rsidP="000E12D5">
      <w:pPr>
        <w:pStyle w:val="NoSpacing"/>
        <w:rPr>
          <w:sz w:val="24"/>
          <w:szCs w:val="24"/>
        </w:rPr>
      </w:pPr>
      <w:r w:rsidRPr="000E12D5">
        <w:rPr>
          <w:sz w:val="24"/>
          <w:szCs w:val="24"/>
        </w:rPr>
        <w:t>Department of Health Management and Policy, School of Public Health, University of Michigan, Ann Arbor, Michigan</w:t>
      </w:r>
    </w:p>
    <w:p w14:paraId="34BC2076" w14:textId="5CD6A3F7" w:rsidR="00344715" w:rsidRPr="000E12D5" w:rsidRDefault="003E29E0" w:rsidP="000E12D5">
      <w:pPr>
        <w:pStyle w:val="NoSpacing"/>
        <w:rPr>
          <w:sz w:val="32"/>
          <w:szCs w:val="32"/>
        </w:rPr>
      </w:pPr>
      <w:r w:rsidRPr="000E12D5">
        <w:rPr>
          <w:sz w:val="32"/>
          <w:szCs w:val="32"/>
        </w:rPr>
        <w:t xml:space="preserve">James T. Bang </w:t>
      </w:r>
    </w:p>
    <w:p w14:paraId="5BD98BFA" w14:textId="276FDC20" w:rsidR="00344715" w:rsidRPr="000E12D5" w:rsidRDefault="001407B2" w:rsidP="000E12D5">
      <w:pPr>
        <w:pStyle w:val="NoSpacing"/>
        <w:rPr>
          <w:sz w:val="24"/>
          <w:szCs w:val="24"/>
        </w:rPr>
      </w:pPr>
      <w:r w:rsidRPr="000E12D5">
        <w:rPr>
          <w:sz w:val="24"/>
          <w:szCs w:val="24"/>
        </w:rPr>
        <w:t>Department of Economics, St. Ambrose University, Davenport, Iowa</w:t>
      </w:r>
    </w:p>
    <w:p w14:paraId="2A73D112" w14:textId="7206E967" w:rsidR="00344715" w:rsidRPr="000E12D5" w:rsidRDefault="003E29E0" w:rsidP="000E12D5">
      <w:pPr>
        <w:pStyle w:val="NoSpacing"/>
        <w:rPr>
          <w:sz w:val="32"/>
          <w:szCs w:val="32"/>
        </w:rPr>
      </w:pPr>
      <w:r w:rsidRPr="000E12D5">
        <w:rPr>
          <w:sz w:val="32"/>
          <w:szCs w:val="32"/>
        </w:rPr>
        <w:t xml:space="preserve">Ronda G. Hughes </w:t>
      </w:r>
    </w:p>
    <w:p w14:paraId="2100FC01" w14:textId="0BE2252C" w:rsidR="00344715" w:rsidRPr="000E12D5" w:rsidRDefault="00E11BA4" w:rsidP="000E12D5">
      <w:pPr>
        <w:pStyle w:val="NoSpacing"/>
        <w:rPr>
          <w:sz w:val="24"/>
          <w:szCs w:val="24"/>
        </w:rPr>
      </w:pPr>
      <w:r w:rsidRPr="000E12D5">
        <w:rPr>
          <w:sz w:val="24"/>
          <w:szCs w:val="24"/>
        </w:rPr>
        <w:t>Center for Nursing Leadership, College of Nursing, University of South Carolina, Columbia, South Carolina</w:t>
      </w:r>
    </w:p>
    <w:p w14:paraId="79DE4FDB" w14:textId="4E869FC9" w:rsidR="00344715" w:rsidRPr="000E12D5" w:rsidRDefault="003E29E0" w:rsidP="000E12D5">
      <w:pPr>
        <w:pStyle w:val="NoSpacing"/>
        <w:rPr>
          <w:sz w:val="32"/>
          <w:szCs w:val="32"/>
        </w:rPr>
      </w:pPr>
      <w:r w:rsidRPr="000E12D5">
        <w:rPr>
          <w:sz w:val="32"/>
          <w:szCs w:val="32"/>
        </w:rPr>
        <w:t xml:space="preserve">Kathleen L. Bobay </w:t>
      </w:r>
    </w:p>
    <w:p w14:paraId="0736D285" w14:textId="0EB3394D" w:rsidR="00344715" w:rsidRPr="000E12D5" w:rsidRDefault="00E11BA4" w:rsidP="000E12D5">
      <w:pPr>
        <w:pStyle w:val="NoSpacing"/>
        <w:rPr>
          <w:sz w:val="24"/>
          <w:szCs w:val="24"/>
        </w:rPr>
      </w:pPr>
      <w:r w:rsidRPr="000E12D5">
        <w:rPr>
          <w:sz w:val="24"/>
          <w:szCs w:val="24"/>
        </w:rPr>
        <w:t>Marcella Niehoff School of Nursing, Loyola University Chicago, Chicago, Illinois</w:t>
      </w:r>
    </w:p>
    <w:p w14:paraId="38F81D25" w14:textId="0689B848" w:rsidR="00344715" w:rsidRPr="000E12D5" w:rsidRDefault="003E29E0" w:rsidP="000E12D5">
      <w:pPr>
        <w:pStyle w:val="NoSpacing"/>
        <w:rPr>
          <w:sz w:val="32"/>
          <w:szCs w:val="32"/>
        </w:rPr>
      </w:pPr>
      <w:r w:rsidRPr="000E12D5">
        <w:rPr>
          <w:sz w:val="32"/>
          <w:szCs w:val="32"/>
        </w:rPr>
        <w:t xml:space="preserve">Linda Costa </w:t>
      </w:r>
    </w:p>
    <w:p w14:paraId="08F539D8" w14:textId="203C5B56" w:rsidR="00344715" w:rsidRPr="000E12D5" w:rsidRDefault="00E11BA4" w:rsidP="000E12D5">
      <w:pPr>
        <w:pStyle w:val="NoSpacing"/>
        <w:rPr>
          <w:sz w:val="24"/>
          <w:szCs w:val="24"/>
        </w:rPr>
      </w:pPr>
      <w:r w:rsidRPr="000E12D5">
        <w:rPr>
          <w:sz w:val="24"/>
          <w:szCs w:val="24"/>
        </w:rPr>
        <w:t>School of Nursing, University of Maryland, Baltimore, Maryland</w:t>
      </w:r>
    </w:p>
    <w:p w14:paraId="60431144" w14:textId="77777777" w:rsidR="00344715" w:rsidRPr="000E12D5" w:rsidRDefault="003E29E0" w:rsidP="000E12D5">
      <w:pPr>
        <w:pStyle w:val="NoSpacing"/>
        <w:rPr>
          <w:sz w:val="32"/>
          <w:szCs w:val="32"/>
        </w:rPr>
      </w:pPr>
      <w:r w:rsidRPr="000E12D5">
        <w:rPr>
          <w:sz w:val="32"/>
          <w:szCs w:val="32"/>
        </w:rPr>
        <w:t xml:space="preserve">Marianne E. Weiss </w:t>
      </w:r>
    </w:p>
    <w:p w14:paraId="71664DBA" w14:textId="1C08A4EA" w:rsidR="00344715" w:rsidRPr="000E12D5" w:rsidRDefault="000E12D5" w:rsidP="000E12D5">
      <w:pPr>
        <w:pStyle w:val="NoSpacing"/>
        <w:rPr>
          <w:sz w:val="24"/>
          <w:szCs w:val="24"/>
        </w:rPr>
      </w:pPr>
      <w:r w:rsidRPr="000E12D5">
        <w:rPr>
          <w:sz w:val="24"/>
          <w:szCs w:val="24"/>
        </w:rPr>
        <w:t>College of Nursing, Marquette University, Milwaukee, Wisconsin</w:t>
      </w:r>
    </w:p>
    <w:p w14:paraId="0B494CB3" w14:textId="77777777" w:rsidR="00344715" w:rsidRDefault="00344715" w:rsidP="003E29E0">
      <w:pPr>
        <w:rPr>
          <w:rFonts w:cstheme="minorHAnsi"/>
          <w:sz w:val="24"/>
          <w:szCs w:val="24"/>
        </w:rPr>
      </w:pPr>
    </w:p>
    <w:p w14:paraId="503D589A" w14:textId="461FEC8C" w:rsidR="003E29E0" w:rsidRPr="003E29E0" w:rsidRDefault="003E29E0" w:rsidP="000E12D5">
      <w:pPr>
        <w:pStyle w:val="Heading1"/>
      </w:pPr>
      <w:r w:rsidRPr="003E29E0">
        <w:t>Abstract</w:t>
      </w:r>
    </w:p>
    <w:p w14:paraId="5C7CF61E" w14:textId="77777777" w:rsidR="003E29E0" w:rsidRPr="003E29E0" w:rsidRDefault="003E29E0" w:rsidP="000E12D5">
      <w:pPr>
        <w:pStyle w:val="Heading2"/>
      </w:pPr>
      <w:r w:rsidRPr="003E29E0">
        <w:t>Objective</w:t>
      </w:r>
    </w:p>
    <w:p w14:paraId="40FAC580" w14:textId="77777777" w:rsidR="003E29E0" w:rsidRPr="003E29E0" w:rsidRDefault="003E29E0" w:rsidP="003E29E0">
      <w:pPr>
        <w:rPr>
          <w:rFonts w:cstheme="minorHAnsi"/>
          <w:sz w:val="24"/>
          <w:szCs w:val="24"/>
        </w:rPr>
      </w:pPr>
      <w:r w:rsidRPr="003E29E0">
        <w:rPr>
          <w:rFonts w:cstheme="minorHAnsi"/>
          <w:sz w:val="24"/>
          <w:szCs w:val="24"/>
        </w:rPr>
        <w:t>Several studies of nurse staffing and patient outcomes found a curvilinear or U-shaped relationship, with benefits from additional nurse staffing diminishing or reversing at high staffing levels. This study examined potential diminishing returns to nurse staffing and the existence of a “tipping point” or the level of staffing after which higher nurse staffing no longer improves and may worsen readmissions.</w:t>
      </w:r>
    </w:p>
    <w:p w14:paraId="6F7788DA" w14:textId="77777777" w:rsidR="003E29E0" w:rsidRPr="003E29E0" w:rsidRDefault="003E29E0" w:rsidP="000E12D5">
      <w:pPr>
        <w:pStyle w:val="Heading2"/>
      </w:pPr>
      <w:r w:rsidRPr="003E29E0">
        <w:t>Data Sources/Study Setting</w:t>
      </w:r>
    </w:p>
    <w:p w14:paraId="57CA0CBA" w14:textId="77777777" w:rsidR="003E29E0" w:rsidRPr="003E29E0" w:rsidRDefault="003E29E0" w:rsidP="003E29E0">
      <w:pPr>
        <w:rPr>
          <w:rFonts w:cstheme="minorHAnsi"/>
          <w:sz w:val="24"/>
          <w:szCs w:val="24"/>
        </w:rPr>
      </w:pPr>
      <w:r w:rsidRPr="003E29E0">
        <w:rPr>
          <w:rFonts w:cstheme="minorHAnsi"/>
          <w:sz w:val="24"/>
          <w:szCs w:val="24"/>
        </w:rPr>
        <w:t>The Readiness Evaluation And Discharge Interventions (READI) study database of over 130,000 adult (18+) inpatient discharges from 62 medical, surgical, and medical-surgical (noncritical care) units from 31 United States (US) hospitals during October 2014–March 2017.</w:t>
      </w:r>
    </w:p>
    <w:p w14:paraId="7D572D62" w14:textId="77777777" w:rsidR="003E29E0" w:rsidRPr="003E29E0" w:rsidRDefault="003E29E0" w:rsidP="000E12D5">
      <w:pPr>
        <w:pStyle w:val="Heading2"/>
      </w:pPr>
      <w:r w:rsidRPr="003E29E0">
        <w:t>Study Design</w:t>
      </w:r>
    </w:p>
    <w:p w14:paraId="1475056F" w14:textId="77777777" w:rsidR="003E29E0" w:rsidRPr="003E29E0" w:rsidRDefault="003E29E0" w:rsidP="003E29E0">
      <w:pPr>
        <w:rPr>
          <w:rFonts w:cstheme="minorHAnsi"/>
          <w:sz w:val="24"/>
          <w:szCs w:val="24"/>
        </w:rPr>
      </w:pPr>
      <w:r w:rsidRPr="003E29E0">
        <w:rPr>
          <w:rFonts w:cstheme="minorHAnsi"/>
          <w:sz w:val="24"/>
          <w:szCs w:val="24"/>
        </w:rPr>
        <w:t>Observational cross-sectional study using a fully nonparametric random forest machine learning method. Primary exposure was nurse hours per patient day (HPPD) broken down by registered nurses (nonovertime and overtime) and nonlicensed nursing personnel. The outcome was 30-day all-cause same-hospital readmission. Partial dependence plots were used to visualize the pattern of predicted patient readmission risk along a range of unit staffing levels, holding all other patient characteristics and hospital and unit structural variables constant.</w:t>
      </w:r>
    </w:p>
    <w:p w14:paraId="685E3E7A" w14:textId="77777777" w:rsidR="003E29E0" w:rsidRPr="003E29E0" w:rsidRDefault="003E29E0" w:rsidP="000E12D5">
      <w:pPr>
        <w:pStyle w:val="Heading2"/>
      </w:pPr>
      <w:r w:rsidRPr="003E29E0">
        <w:t>Data Collection/Extraction methods</w:t>
      </w:r>
    </w:p>
    <w:p w14:paraId="028FAF48" w14:textId="77777777" w:rsidR="003E29E0" w:rsidRPr="003E29E0" w:rsidRDefault="003E29E0" w:rsidP="003E29E0">
      <w:pPr>
        <w:rPr>
          <w:rFonts w:cstheme="minorHAnsi"/>
          <w:sz w:val="24"/>
          <w:szCs w:val="24"/>
        </w:rPr>
      </w:pPr>
      <w:r w:rsidRPr="003E29E0">
        <w:rPr>
          <w:rFonts w:cstheme="minorHAnsi"/>
          <w:sz w:val="24"/>
          <w:szCs w:val="24"/>
        </w:rPr>
        <w:t>Secondary analysis of the READI data. Missing values were imputed using the missing forest algorithm in R.</w:t>
      </w:r>
    </w:p>
    <w:p w14:paraId="5D441247" w14:textId="77777777" w:rsidR="003E29E0" w:rsidRPr="003E29E0" w:rsidRDefault="003E29E0" w:rsidP="000E12D5">
      <w:pPr>
        <w:pStyle w:val="Heading2"/>
      </w:pPr>
      <w:r w:rsidRPr="003E29E0">
        <w:t>Principal Findings</w:t>
      </w:r>
    </w:p>
    <w:p w14:paraId="177E25AF" w14:textId="77777777" w:rsidR="003E29E0" w:rsidRPr="003E29E0" w:rsidRDefault="003E29E0" w:rsidP="003E29E0">
      <w:pPr>
        <w:rPr>
          <w:rFonts w:cstheme="minorHAnsi"/>
          <w:sz w:val="24"/>
          <w:szCs w:val="24"/>
        </w:rPr>
      </w:pPr>
      <w:r w:rsidRPr="003E29E0">
        <w:rPr>
          <w:rFonts w:cstheme="minorHAnsi"/>
          <w:sz w:val="24"/>
          <w:szCs w:val="24"/>
        </w:rPr>
        <w:t>Partial dependence plots were U-shaped, showing the readmission risk first declining and then rising with additional nurse staffing. The tipping points were at 6.95 and 0.21 HPPD for registered nurse staffing (nonovertime and overtime, respectively) and 2.91 HPPD of nonlicensed nursing personnel.</w:t>
      </w:r>
    </w:p>
    <w:p w14:paraId="5D7866AA" w14:textId="77777777" w:rsidR="003E29E0" w:rsidRPr="003E29E0" w:rsidRDefault="003E29E0" w:rsidP="000E12D5">
      <w:pPr>
        <w:pStyle w:val="Heading2"/>
      </w:pPr>
      <w:r w:rsidRPr="003E29E0">
        <w:t>Conclusions</w:t>
      </w:r>
    </w:p>
    <w:p w14:paraId="6F077B85" w14:textId="77777777" w:rsidR="003E29E0" w:rsidRPr="003E29E0" w:rsidRDefault="003E29E0" w:rsidP="003E29E0">
      <w:pPr>
        <w:rPr>
          <w:rFonts w:cstheme="minorHAnsi"/>
          <w:sz w:val="24"/>
          <w:szCs w:val="24"/>
        </w:rPr>
      </w:pPr>
      <w:r w:rsidRPr="003E29E0">
        <w:rPr>
          <w:rFonts w:cstheme="minorHAnsi"/>
          <w:sz w:val="24"/>
          <w:szCs w:val="24"/>
        </w:rPr>
        <w:t>The U-shaped association was consistent with diminishing returns to nurse staffing suggesting that incremental gains in readmission reduction from additional nurse staffing taper off and could reverse at high staffing levels. If confirmed in future causal analyses across multiple outcomes, accompanying investments in infrastructure and human resources may be needed to maximize nursing performance outcomes at higher levels of nurse staffing.</w:t>
      </w:r>
    </w:p>
    <w:p w14:paraId="0D1A8F83" w14:textId="77777777" w:rsidR="003E29E0" w:rsidRPr="003E29E0" w:rsidRDefault="003E29E0" w:rsidP="000E12D5">
      <w:pPr>
        <w:pStyle w:val="Heading1"/>
        <w:ind w:left="360"/>
      </w:pPr>
      <w:r w:rsidRPr="003E29E0">
        <w:t>What is known on this topic?</w:t>
      </w:r>
    </w:p>
    <w:p w14:paraId="4F00412C" w14:textId="77777777" w:rsidR="003E29E0" w:rsidRPr="003E29E0" w:rsidRDefault="003E29E0" w:rsidP="000E12D5">
      <w:pPr>
        <w:numPr>
          <w:ilvl w:val="0"/>
          <w:numId w:val="4"/>
        </w:numPr>
        <w:tabs>
          <w:tab w:val="clear" w:pos="720"/>
          <w:tab w:val="num" w:pos="1080"/>
        </w:tabs>
        <w:spacing w:after="0"/>
        <w:ind w:left="1080"/>
        <w:rPr>
          <w:rFonts w:cstheme="minorHAnsi"/>
          <w:sz w:val="24"/>
          <w:szCs w:val="24"/>
        </w:rPr>
      </w:pPr>
      <w:r w:rsidRPr="003E29E0">
        <w:rPr>
          <w:rFonts w:cstheme="minorHAnsi"/>
          <w:sz w:val="24"/>
          <w:szCs w:val="24"/>
        </w:rPr>
        <w:t>Several studies have reported positive associations between hospital nurse staffing and patient outcomes that taper off or reverse at high levels of nurse staffing.</w:t>
      </w:r>
    </w:p>
    <w:p w14:paraId="57D111BF" w14:textId="77777777" w:rsidR="003E29E0" w:rsidRPr="003E29E0" w:rsidRDefault="003E29E0" w:rsidP="000E12D5">
      <w:pPr>
        <w:numPr>
          <w:ilvl w:val="0"/>
          <w:numId w:val="4"/>
        </w:numPr>
        <w:tabs>
          <w:tab w:val="clear" w:pos="720"/>
          <w:tab w:val="num" w:pos="1080"/>
        </w:tabs>
        <w:spacing w:after="0"/>
        <w:ind w:left="1080"/>
        <w:rPr>
          <w:rFonts w:cstheme="minorHAnsi"/>
          <w:sz w:val="24"/>
          <w:szCs w:val="24"/>
        </w:rPr>
      </w:pPr>
      <w:r w:rsidRPr="003E29E0">
        <w:rPr>
          <w:rFonts w:cstheme="minorHAnsi"/>
          <w:sz w:val="24"/>
          <w:szCs w:val="24"/>
        </w:rPr>
        <w:t>Few explanations for these findings and no theoretical framework have yet been offered.</w:t>
      </w:r>
    </w:p>
    <w:p w14:paraId="0AA2A149" w14:textId="77777777" w:rsidR="003E29E0" w:rsidRPr="003E29E0" w:rsidRDefault="003E29E0" w:rsidP="000E12D5">
      <w:pPr>
        <w:numPr>
          <w:ilvl w:val="0"/>
          <w:numId w:val="4"/>
        </w:numPr>
        <w:tabs>
          <w:tab w:val="clear" w:pos="720"/>
          <w:tab w:val="num" w:pos="1080"/>
        </w:tabs>
        <w:spacing w:after="0"/>
        <w:ind w:left="1080"/>
        <w:rPr>
          <w:rFonts w:cstheme="minorHAnsi"/>
          <w:sz w:val="24"/>
          <w:szCs w:val="24"/>
        </w:rPr>
      </w:pPr>
      <w:r w:rsidRPr="003E29E0">
        <w:rPr>
          <w:rFonts w:cstheme="minorHAnsi"/>
          <w:sz w:val="24"/>
          <w:szCs w:val="24"/>
        </w:rPr>
        <w:t>No studies have examined the association of hospital nurse staffing with hospital readmissions.</w:t>
      </w:r>
    </w:p>
    <w:p w14:paraId="1C121948" w14:textId="77777777" w:rsidR="003E29E0" w:rsidRPr="003E29E0" w:rsidRDefault="003E29E0" w:rsidP="000E12D5">
      <w:pPr>
        <w:pStyle w:val="Heading1"/>
        <w:ind w:left="360"/>
      </w:pPr>
      <w:r w:rsidRPr="003E29E0">
        <w:t>What this study adds?</w:t>
      </w:r>
    </w:p>
    <w:p w14:paraId="7D6095A0" w14:textId="77777777" w:rsidR="003E29E0" w:rsidRPr="003E29E0" w:rsidRDefault="003E29E0" w:rsidP="000E12D5">
      <w:pPr>
        <w:numPr>
          <w:ilvl w:val="0"/>
          <w:numId w:val="5"/>
        </w:numPr>
        <w:tabs>
          <w:tab w:val="clear" w:pos="720"/>
          <w:tab w:val="num" w:pos="1080"/>
        </w:tabs>
        <w:spacing w:after="0"/>
        <w:ind w:left="1080"/>
        <w:rPr>
          <w:rFonts w:cstheme="minorHAnsi"/>
          <w:sz w:val="24"/>
          <w:szCs w:val="24"/>
        </w:rPr>
      </w:pPr>
      <w:r w:rsidRPr="003E29E0">
        <w:rPr>
          <w:rFonts w:cstheme="minorHAnsi"/>
          <w:sz w:val="24"/>
          <w:szCs w:val="24"/>
        </w:rPr>
        <w:t>The study demonstrates a novel application of machine learning methods for uncovering a nonlinear association, where traditional parametric regression may not be as effective.</w:t>
      </w:r>
    </w:p>
    <w:p w14:paraId="7D591D59" w14:textId="77777777" w:rsidR="003E29E0" w:rsidRPr="003E29E0" w:rsidRDefault="003E29E0" w:rsidP="000E12D5">
      <w:pPr>
        <w:numPr>
          <w:ilvl w:val="0"/>
          <w:numId w:val="5"/>
        </w:numPr>
        <w:tabs>
          <w:tab w:val="clear" w:pos="720"/>
          <w:tab w:val="num" w:pos="1080"/>
        </w:tabs>
        <w:spacing w:after="0"/>
        <w:ind w:left="1080"/>
        <w:rPr>
          <w:rFonts w:cstheme="minorHAnsi"/>
          <w:sz w:val="24"/>
          <w:szCs w:val="24"/>
        </w:rPr>
      </w:pPr>
      <w:r w:rsidRPr="003E29E0">
        <w:rPr>
          <w:rFonts w:cstheme="minorHAnsi"/>
          <w:sz w:val="24"/>
          <w:szCs w:val="24"/>
        </w:rPr>
        <w:t>The study finds tapering off and reversal of the association of nurse staffing with readmissions.</w:t>
      </w:r>
    </w:p>
    <w:p w14:paraId="5EC7D3D8" w14:textId="77777777" w:rsidR="003E29E0" w:rsidRPr="003E29E0" w:rsidRDefault="003E29E0" w:rsidP="000E12D5">
      <w:pPr>
        <w:numPr>
          <w:ilvl w:val="0"/>
          <w:numId w:val="5"/>
        </w:numPr>
        <w:tabs>
          <w:tab w:val="clear" w:pos="720"/>
          <w:tab w:val="num" w:pos="1080"/>
        </w:tabs>
        <w:spacing w:after="0"/>
        <w:ind w:left="1080"/>
        <w:rPr>
          <w:rFonts w:cstheme="minorHAnsi"/>
          <w:sz w:val="24"/>
          <w:szCs w:val="24"/>
        </w:rPr>
      </w:pPr>
      <w:r w:rsidRPr="003E29E0">
        <w:rPr>
          <w:rFonts w:cstheme="minorHAnsi"/>
          <w:sz w:val="24"/>
          <w:szCs w:val="24"/>
        </w:rPr>
        <w:t>The study's findings are consistent with diminishing returns on readmissions from additional nurse staffing.</w:t>
      </w:r>
    </w:p>
    <w:p w14:paraId="590CD655" w14:textId="77777777" w:rsidR="000E12D5" w:rsidRPr="000E12D5" w:rsidRDefault="000E12D5" w:rsidP="003E29E0">
      <w:pPr>
        <w:rPr>
          <w:rFonts w:cstheme="minorHAnsi"/>
          <w:sz w:val="24"/>
          <w:szCs w:val="24"/>
        </w:rPr>
      </w:pPr>
    </w:p>
    <w:p w14:paraId="3316F0B1" w14:textId="6E9158E9" w:rsidR="003E29E0" w:rsidRPr="003E29E0" w:rsidRDefault="003E29E0" w:rsidP="000E12D5">
      <w:pPr>
        <w:pStyle w:val="Heading1"/>
      </w:pPr>
      <w:r w:rsidRPr="003E29E0">
        <w:t>1 INTRODUCTION</w:t>
      </w:r>
    </w:p>
    <w:p w14:paraId="121C8D5F" w14:textId="165AAAF7" w:rsidR="003E29E0" w:rsidRPr="003E29E0" w:rsidRDefault="003E29E0" w:rsidP="003E29E0">
      <w:pPr>
        <w:rPr>
          <w:rFonts w:cstheme="minorHAnsi"/>
          <w:sz w:val="24"/>
          <w:szCs w:val="24"/>
        </w:rPr>
      </w:pPr>
      <w:r w:rsidRPr="003E29E0">
        <w:rPr>
          <w:rFonts w:cstheme="minorHAnsi"/>
          <w:sz w:val="24"/>
          <w:szCs w:val="24"/>
        </w:rPr>
        <w:t>When the United States (US) Center for Medicare and Medicaid Services implemented the Hospital Readmission Reduction Program (HRRP) in 2012, US hospitals intensified efforts to reduce readmissions. A small number of analyses have pointed to the potential benefits of monitoring and correcting low nurse staffing levels to reduce readmissions</w:t>
      </w:r>
      <w:r w:rsidRPr="003E29E0">
        <w:rPr>
          <w:rFonts w:cstheme="minorHAnsi"/>
          <w:sz w:val="24"/>
          <w:szCs w:val="24"/>
          <w:vertAlign w:val="superscript"/>
        </w:rPr>
        <w:t>1-3</w:t>
      </w:r>
      <w:r w:rsidRPr="003E29E0">
        <w:rPr>
          <w:rFonts w:cstheme="minorHAnsi"/>
          <w:sz w:val="24"/>
          <w:szCs w:val="24"/>
        </w:rPr>
        <w:t> and avoid HRRP penalties,</w:t>
      </w:r>
      <w:r w:rsidRPr="003E29E0">
        <w:rPr>
          <w:rFonts w:cstheme="minorHAnsi"/>
          <w:sz w:val="24"/>
          <w:szCs w:val="24"/>
          <w:vertAlign w:val="superscript"/>
        </w:rPr>
        <w:t>4</w:t>
      </w:r>
      <w:r w:rsidRPr="003E29E0">
        <w:rPr>
          <w:rFonts w:cstheme="minorHAnsi"/>
          <w:sz w:val="24"/>
          <w:szCs w:val="24"/>
        </w:rPr>
        <w:t> adding to a broadly accepted body of evidence that higher nurse staffing levels are associated with improved quality and safety outcomes (mortality, failure to rescue, and other patient outcomes</w:t>
      </w:r>
      <w:r w:rsidRPr="003E29E0">
        <w:rPr>
          <w:rFonts w:cstheme="minorHAnsi"/>
          <w:sz w:val="24"/>
          <w:szCs w:val="24"/>
          <w:vertAlign w:val="superscript"/>
        </w:rPr>
        <w:t>5-12</w:t>
      </w:r>
      <w:r w:rsidRPr="003E29E0">
        <w:rPr>
          <w:rFonts w:cstheme="minorHAnsi"/>
          <w:sz w:val="24"/>
          <w:szCs w:val="24"/>
        </w:rPr>
        <w:t>) and patient satisfaction with hospital nursing care.</w:t>
      </w:r>
      <w:r w:rsidRPr="003E29E0">
        <w:rPr>
          <w:rFonts w:cstheme="minorHAnsi"/>
          <w:sz w:val="24"/>
          <w:szCs w:val="24"/>
          <w:vertAlign w:val="superscript"/>
        </w:rPr>
        <w:t>12</w:t>
      </w:r>
    </w:p>
    <w:p w14:paraId="6C682B88" w14:textId="0953FB8C" w:rsidR="003E29E0" w:rsidRPr="003E29E0" w:rsidRDefault="003E29E0" w:rsidP="003E29E0">
      <w:pPr>
        <w:rPr>
          <w:rFonts w:cstheme="minorHAnsi"/>
          <w:sz w:val="24"/>
          <w:szCs w:val="24"/>
        </w:rPr>
      </w:pPr>
      <w:r w:rsidRPr="003E29E0">
        <w:rPr>
          <w:rFonts w:cstheme="minorHAnsi"/>
          <w:sz w:val="24"/>
          <w:szCs w:val="24"/>
        </w:rPr>
        <w:t>Yet, depending on the skill mix of nursing personnel and the existing level of nurse staffing in an organization, increasing the amount of nursing hours assigned to patient care may not always be uniformly beneficial. In a recent study from the United Kingdom, a uniform dose–response reduction in mortality on patient wards was associated with higher professional nurse staffing, but a U-shaped relationship with nursing assistant staffing—at low nursing assistant staffing levels, mortality decreased with additional nursing assistant staffing, but at high staffing levels, additional nursing assistant staffing was associated with higher mortality.</w:t>
      </w:r>
      <w:r w:rsidRPr="003E29E0">
        <w:rPr>
          <w:rFonts w:cstheme="minorHAnsi"/>
          <w:sz w:val="24"/>
          <w:szCs w:val="24"/>
          <w:vertAlign w:val="superscript"/>
        </w:rPr>
        <w:t>7</w:t>
      </w:r>
      <w:r w:rsidRPr="003E29E0">
        <w:rPr>
          <w:rFonts w:cstheme="minorHAnsi"/>
          <w:sz w:val="24"/>
          <w:szCs w:val="24"/>
        </w:rPr>
        <w:t> This was not the first time a U-shaped pattern was reported—nearly two decades ago, researchers reported higher rates of medication errors as registered nurse staffing increased past a certain level,</w:t>
      </w:r>
      <w:r w:rsidRPr="003E29E0">
        <w:rPr>
          <w:rFonts w:cstheme="minorHAnsi"/>
          <w:sz w:val="24"/>
          <w:szCs w:val="24"/>
          <w:vertAlign w:val="superscript"/>
        </w:rPr>
        <w:t>13</w:t>
      </w:r>
      <w:r w:rsidRPr="003E29E0">
        <w:rPr>
          <w:rFonts w:cstheme="minorHAnsi"/>
          <w:sz w:val="24"/>
          <w:szCs w:val="24"/>
        </w:rPr>
        <w:t> and in a subsequent multihospital study, a robust and consistent tapering-off pattern of diminishing returns to increased nurse staffing was found across multiple outcome measures (mortality, hospital-acquired infections, and pressure ulcers).</w:t>
      </w:r>
      <w:r w:rsidRPr="003E29E0">
        <w:rPr>
          <w:rFonts w:cstheme="minorHAnsi"/>
          <w:sz w:val="24"/>
          <w:szCs w:val="24"/>
          <w:vertAlign w:val="superscript"/>
        </w:rPr>
        <w:t>14</w:t>
      </w:r>
      <w:r w:rsidRPr="003E29E0">
        <w:rPr>
          <w:rFonts w:cstheme="minorHAnsi"/>
          <w:sz w:val="24"/>
          <w:szCs w:val="24"/>
        </w:rPr>
        <w:t> Two systematic reviews and meta-analyses noted a “curvilinear” relationship with benefits of increased registered nurse staffing tapering off and even reversing at higher staffing levels in the US</w:t>
      </w:r>
      <w:r w:rsidRPr="003E29E0">
        <w:rPr>
          <w:rFonts w:cstheme="minorHAnsi"/>
          <w:sz w:val="24"/>
          <w:szCs w:val="24"/>
          <w:vertAlign w:val="superscript"/>
        </w:rPr>
        <w:t>9</w:t>
      </w:r>
      <w:r w:rsidRPr="003E29E0">
        <w:rPr>
          <w:rFonts w:cstheme="minorHAnsi"/>
          <w:sz w:val="24"/>
          <w:szCs w:val="24"/>
        </w:rPr>
        <w:t> and internationally.</w:t>
      </w:r>
      <w:r w:rsidRPr="003E29E0">
        <w:rPr>
          <w:rFonts w:cstheme="minorHAnsi"/>
          <w:sz w:val="24"/>
          <w:szCs w:val="24"/>
          <w:vertAlign w:val="superscript"/>
        </w:rPr>
        <w:t>15</w:t>
      </w:r>
      <w:r w:rsidRPr="003E29E0">
        <w:rPr>
          <w:rFonts w:cstheme="minorHAnsi"/>
          <w:sz w:val="24"/>
          <w:szCs w:val="24"/>
        </w:rPr>
        <w:t> While no such evidence has ever been reported for readmissions, a curvilinear pattern was found for nurse staffing and patient satisfaction with hospital nursing care and specifically with nurse communication, discharge information, and care transitions, in a large study of US hospitals.</w:t>
      </w:r>
      <w:r w:rsidRPr="003E29E0">
        <w:rPr>
          <w:rFonts w:cstheme="minorHAnsi"/>
          <w:sz w:val="24"/>
          <w:szCs w:val="24"/>
          <w:vertAlign w:val="superscript"/>
        </w:rPr>
        <w:t>12</w:t>
      </w:r>
      <w:r w:rsidRPr="003E29E0">
        <w:rPr>
          <w:rFonts w:cstheme="minorHAnsi"/>
          <w:sz w:val="24"/>
          <w:szCs w:val="24"/>
        </w:rPr>
        <w:t> Most recently, Needleman and Shekelle</w:t>
      </w:r>
      <w:r w:rsidRPr="003E29E0">
        <w:rPr>
          <w:rFonts w:cstheme="minorHAnsi"/>
          <w:sz w:val="24"/>
          <w:szCs w:val="24"/>
          <w:vertAlign w:val="superscript"/>
        </w:rPr>
        <w:t>16</w:t>
      </w:r>
      <w:r w:rsidRPr="003E29E0">
        <w:rPr>
          <w:rFonts w:cstheme="minorHAnsi"/>
          <w:sz w:val="24"/>
          <w:szCs w:val="24"/>
        </w:rPr>
        <w:t> proposed that the tapering-off effect may be a natural consequence of “diffusion of effort or responsibility” that may occur at high nurse staffing levels and conjectured that this phenomenon may occur across many types of patient outcomes.</w:t>
      </w:r>
    </w:p>
    <w:p w14:paraId="735AFF2F" w14:textId="77777777" w:rsidR="003E29E0" w:rsidRPr="003E29E0" w:rsidRDefault="003E29E0" w:rsidP="003E29E0">
      <w:pPr>
        <w:rPr>
          <w:rFonts w:cstheme="minorHAnsi"/>
          <w:sz w:val="24"/>
          <w:szCs w:val="24"/>
        </w:rPr>
      </w:pPr>
      <w:r w:rsidRPr="003E29E0">
        <w:rPr>
          <w:rFonts w:cstheme="minorHAnsi"/>
          <w:sz w:val="24"/>
          <w:szCs w:val="24"/>
        </w:rPr>
        <w:t>No studies to date have examined the underlying empirical patterns behind the observed associations between nurse staffing and readmissions across a range of staffing levels. Therefore, the objective of this study was to examine the pattern of the association between nurse staffing and hospital readmissions, specifically examining the possibility that additional nurse staffing has diminishing returns, with the existence of a “tipping point” after which adding more nurse staffing no longer improves (and may worsen) readmissions. Evidence of a nonlinear association between nurse staffing and readmissions could inform future causal studies of the relationship between staffing and readmission, toward the ultimate goal of novel practice and policy recommendations for maximizing the value-added contribution of nursing to patient and cost outcomes and hospital performance.</w:t>
      </w:r>
    </w:p>
    <w:p w14:paraId="04FC94CE" w14:textId="77777777" w:rsidR="003E29E0" w:rsidRPr="003E29E0" w:rsidRDefault="003E29E0" w:rsidP="000E12D5">
      <w:pPr>
        <w:pStyle w:val="Heading1"/>
      </w:pPr>
      <w:r w:rsidRPr="003E29E0">
        <w:t>2 THEORETICAL FRAMEWORK</w:t>
      </w:r>
    </w:p>
    <w:p w14:paraId="68E55782" w14:textId="418DD820" w:rsidR="003E29E0" w:rsidRPr="003E29E0" w:rsidRDefault="003E29E0" w:rsidP="003E29E0">
      <w:pPr>
        <w:rPr>
          <w:rFonts w:cstheme="minorHAnsi"/>
          <w:sz w:val="24"/>
          <w:szCs w:val="24"/>
        </w:rPr>
      </w:pPr>
      <w:r w:rsidRPr="003E29E0">
        <w:rPr>
          <w:rFonts w:cstheme="minorHAnsi"/>
          <w:sz w:val="24"/>
          <w:szCs w:val="24"/>
        </w:rPr>
        <w:t>Most investigations of the relationship between nurse staffing and patient outcomes have been grounded in Donabedian's structure-process-outcomes model.</w:t>
      </w:r>
      <w:r w:rsidRPr="003E29E0">
        <w:rPr>
          <w:rFonts w:cstheme="minorHAnsi"/>
          <w:sz w:val="24"/>
          <w:szCs w:val="24"/>
          <w:vertAlign w:val="superscript"/>
        </w:rPr>
        <w:t>17</w:t>
      </w:r>
      <w:r w:rsidRPr="003E29E0">
        <w:rPr>
          <w:rFonts w:cstheme="minorHAnsi"/>
          <w:sz w:val="24"/>
          <w:szCs w:val="24"/>
        </w:rPr>
        <w:t> The model views patient outcomes as the result of many organizational structural factors catalyzed during the process of care delivery. Donabedian defines organizational structure as “the settings in which care is provided and the instrumentalities of which care delivery is a product.” Nurse staffing is one of many structural factors that jointly comprise organizational structure; others include the availability and qualifications of other clinical staff, adequacy of facilities and equipment, and the structure and operationalization of programs that support and direct the provision of care.</w:t>
      </w:r>
      <w:r w:rsidRPr="003E29E0">
        <w:rPr>
          <w:rFonts w:cstheme="minorHAnsi"/>
          <w:sz w:val="24"/>
          <w:szCs w:val="24"/>
          <w:vertAlign w:val="superscript"/>
        </w:rPr>
        <w:t>17</w:t>
      </w:r>
      <w:r w:rsidRPr="003E29E0">
        <w:rPr>
          <w:rFonts w:cstheme="minorHAnsi"/>
          <w:sz w:val="24"/>
          <w:szCs w:val="24"/>
        </w:rPr>
        <w:t> An extension</w:t>
      </w:r>
      <w:r w:rsidRPr="003E29E0">
        <w:rPr>
          <w:rFonts w:cstheme="minorHAnsi"/>
          <w:sz w:val="24"/>
          <w:szCs w:val="24"/>
          <w:vertAlign w:val="superscript"/>
        </w:rPr>
        <w:t>18</w:t>
      </w:r>
      <w:r w:rsidRPr="003E29E0">
        <w:rPr>
          <w:rFonts w:cstheme="minorHAnsi"/>
          <w:sz w:val="24"/>
          <w:szCs w:val="24"/>
        </w:rPr>
        <w:t> of Donabedian's model also identifies patient characteristics (specifically those directly contributing to the likelihood of an outcome, such as clinical risk factors and sociodemographic characteristics) as an additional input into the care delivery process.</w:t>
      </w:r>
    </w:p>
    <w:p w14:paraId="415B0AAA" w14:textId="1A575869" w:rsidR="003E29E0" w:rsidRPr="003E29E0" w:rsidRDefault="003E29E0" w:rsidP="003E29E0">
      <w:pPr>
        <w:rPr>
          <w:rFonts w:cstheme="minorHAnsi"/>
          <w:sz w:val="24"/>
          <w:szCs w:val="24"/>
        </w:rPr>
      </w:pPr>
      <w:r w:rsidRPr="003E29E0">
        <w:rPr>
          <w:rFonts w:cstheme="minorHAnsi"/>
          <w:sz w:val="24"/>
          <w:szCs w:val="24"/>
        </w:rPr>
        <w:t>In the field of economics, the theory of production</w:t>
      </w:r>
      <w:r w:rsidRPr="003E29E0">
        <w:rPr>
          <w:rFonts w:cstheme="minorHAnsi"/>
          <w:sz w:val="24"/>
          <w:szCs w:val="24"/>
          <w:vertAlign w:val="superscript"/>
        </w:rPr>
        <w:t>19</w:t>
      </w:r>
      <w:r w:rsidRPr="003E29E0">
        <w:rPr>
          <w:rFonts w:cstheme="minorHAnsi"/>
          <w:sz w:val="24"/>
          <w:szCs w:val="24"/>
        </w:rPr>
        <w:t> also views care delivery as a production process that utilizes health care resources as inputs to produce patient outcomes. Economic production theory categorizes structural inputs into two broad types: factors of production (“the who”) and technology (“the how”). Factors of production are the inputs that an organization employs to produce an output, and they are further categorized into labor and capital inputs. The labor input category concerns with the quantity (e.g., number of working hours and number of full-time equivalents) and the quality (e.g., education, experience, expertise) of the human resources employed by the organization (nurses, physicians, etc.). The capital input category refers to the hospital's built environment and equipment, administrative and other support systems, type and organization of the electronic health records (EHRs), and other nonlabor resources that enable employees to deliver care. Technology encompasses all organizational rules and norms prescribing </w:t>
      </w:r>
      <w:r w:rsidRPr="003E29E0">
        <w:rPr>
          <w:rFonts w:cstheme="minorHAnsi"/>
          <w:i/>
          <w:iCs/>
          <w:sz w:val="24"/>
          <w:szCs w:val="24"/>
        </w:rPr>
        <w:t>how</w:t>
      </w:r>
      <w:r w:rsidRPr="003E29E0">
        <w:rPr>
          <w:rFonts w:cstheme="minorHAnsi"/>
          <w:sz w:val="24"/>
          <w:szCs w:val="24"/>
        </w:rPr>
        <w:t> the labor and capital inputs ought to interact during the care delivery process; it refers to the established care delivery components within the organization that form the organizational standard of care (such as protocols, programs, and practice guidelines). All structural factors (labor and capital inputs and technology) are part of a joint production process. As such, the incremental productivity of any single factor is determined by the quantity of the factor itself , the quantities of all other inputs, and the technology used in the production process. As such, according to the economic theory of production, the contribution of the nursing input to outcomes is not static, but rather it can be enhanced by increasing the availability of other types of labor, capital, and technology relevant to the delivery of nursing care.</w:t>
      </w:r>
    </w:p>
    <w:p w14:paraId="5CB4FFEF" w14:textId="77777777" w:rsidR="003E29E0" w:rsidRPr="003E29E0" w:rsidRDefault="003E29E0" w:rsidP="003E29E0">
      <w:pPr>
        <w:rPr>
          <w:rFonts w:cstheme="minorHAnsi"/>
          <w:sz w:val="24"/>
          <w:szCs w:val="24"/>
        </w:rPr>
      </w:pPr>
      <w:r w:rsidRPr="003E29E0">
        <w:rPr>
          <w:rFonts w:cstheme="minorHAnsi"/>
          <w:sz w:val="24"/>
          <w:szCs w:val="24"/>
        </w:rPr>
        <w:t>Guided by these two theoretical frameworks, we conceptualized a patient's likelihood of a readmission as an outcome of the process of care delivery that uses an organization's labor and capital resources and the care delivery technology established in the organization. Doing so allowed us to view the relationship between readmissions and nurse staffing as a partial derivative, or partial dependence, of readmissions on nurse staffing specifically, while holding all other structural inputs (other types of labor, capital, and technology) constant as observed in the data.</w:t>
      </w:r>
    </w:p>
    <w:p w14:paraId="26CB6E69" w14:textId="3B7C33ED" w:rsidR="003E29E0" w:rsidRPr="003E29E0" w:rsidRDefault="003E29E0" w:rsidP="003E29E0">
      <w:pPr>
        <w:rPr>
          <w:rFonts w:cstheme="minorHAnsi"/>
          <w:sz w:val="24"/>
          <w:szCs w:val="24"/>
        </w:rPr>
      </w:pPr>
      <w:r w:rsidRPr="003E29E0">
        <w:rPr>
          <w:rFonts w:cstheme="minorHAnsi"/>
          <w:sz w:val="24"/>
          <w:szCs w:val="24"/>
        </w:rPr>
        <w:t>Table </w:t>
      </w:r>
      <w:r w:rsidRPr="003E29E0">
        <w:rPr>
          <w:rFonts w:cstheme="minorHAnsi"/>
          <w:b/>
          <w:bCs/>
          <w:sz w:val="24"/>
          <w:szCs w:val="24"/>
        </w:rPr>
        <w:t>1</w:t>
      </w:r>
      <w:r w:rsidRPr="003E29E0">
        <w:rPr>
          <w:rFonts w:cstheme="minorHAnsi"/>
          <w:sz w:val="24"/>
          <w:szCs w:val="24"/>
        </w:rPr>
        <w:t> parallels the constructs and definitions of Donabedian's structure-process-outcome model, as expanded by Mitchell et al.,</w:t>
      </w:r>
      <w:r w:rsidRPr="003E29E0">
        <w:rPr>
          <w:rFonts w:cstheme="minorHAnsi"/>
          <w:sz w:val="24"/>
          <w:szCs w:val="24"/>
          <w:vertAlign w:val="superscript"/>
        </w:rPr>
        <w:t>18</w:t>
      </w:r>
      <w:r w:rsidRPr="003E29E0">
        <w:rPr>
          <w:rFonts w:cstheme="minorHAnsi"/>
          <w:sz w:val="24"/>
          <w:szCs w:val="24"/>
        </w:rPr>
        <w:t> and the economic theory of production,</w:t>
      </w:r>
      <w:r w:rsidRPr="003E29E0">
        <w:rPr>
          <w:rFonts w:cstheme="minorHAnsi"/>
          <w:sz w:val="24"/>
          <w:szCs w:val="24"/>
          <w:vertAlign w:val="superscript"/>
        </w:rPr>
        <w:t>19</w:t>
      </w:r>
      <w:r w:rsidRPr="003E29E0">
        <w:rPr>
          <w:rFonts w:cstheme="minorHAnsi"/>
          <w:sz w:val="24"/>
          <w:szCs w:val="24"/>
        </w:rPr>
        <w:t> and shows the types of variables that we used as empirical measures for each construct.</w:t>
      </w:r>
    </w:p>
    <w:p w14:paraId="74F42C1F" w14:textId="77777777" w:rsidR="000E12D5" w:rsidRDefault="000E12D5" w:rsidP="000E12D5">
      <w:pPr>
        <w:spacing w:after="0"/>
        <w:rPr>
          <w:rFonts w:cstheme="minorHAnsi"/>
          <w:b/>
          <w:bCs/>
          <w:sz w:val="24"/>
          <w:szCs w:val="24"/>
        </w:rPr>
        <w:sectPr w:rsidR="000E12D5" w:rsidSect="00013176">
          <w:pgSz w:w="12240" w:h="15840"/>
          <w:pgMar w:top="1080" w:right="1080" w:bottom="1080" w:left="1080" w:header="720" w:footer="720" w:gutter="0"/>
          <w:cols w:space="720"/>
          <w:docGrid w:linePitch="360"/>
        </w:sectPr>
      </w:pPr>
    </w:p>
    <w:p w14:paraId="65576BEA" w14:textId="77777777" w:rsidR="003E29E0" w:rsidRPr="003E29E0" w:rsidRDefault="003E29E0" w:rsidP="000E12D5">
      <w:pPr>
        <w:spacing w:after="0"/>
        <w:rPr>
          <w:rFonts w:cstheme="minorHAnsi"/>
          <w:sz w:val="24"/>
          <w:szCs w:val="24"/>
        </w:rPr>
      </w:pPr>
      <w:r w:rsidRPr="003E29E0">
        <w:rPr>
          <w:rFonts w:cstheme="minorHAnsi"/>
          <w:b/>
          <w:bCs/>
          <w:sz w:val="24"/>
          <w:szCs w:val="24"/>
        </w:rPr>
        <w:t>TABLE 1. </w:t>
      </w:r>
      <w:r w:rsidRPr="003E29E0">
        <w:rPr>
          <w:rFonts w:cstheme="minorHAnsi"/>
          <w:sz w:val="24"/>
          <w:szCs w:val="24"/>
        </w:rPr>
        <w:t>Theoretical framework and empirical measures</w:t>
      </w:r>
    </w:p>
    <w:tbl>
      <w:tblPr>
        <w:tblStyle w:val="TableGrid"/>
        <w:tblW w:w="0" w:type="auto"/>
        <w:tblLook w:val="04A0" w:firstRow="1" w:lastRow="0" w:firstColumn="1" w:lastColumn="0" w:noHBand="0" w:noVBand="1"/>
      </w:tblPr>
      <w:tblGrid>
        <w:gridCol w:w="1537"/>
        <w:gridCol w:w="5083"/>
        <w:gridCol w:w="3206"/>
        <w:gridCol w:w="1939"/>
        <w:gridCol w:w="1905"/>
      </w:tblGrid>
      <w:tr w:rsidR="00AF62DE" w:rsidRPr="00AF62DE" w14:paraId="765731BF" w14:textId="77777777" w:rsidTr="00AF62DE">
        <w:trPr>
          <w:trHeight w:val="288"/>
        </w:trPr>
        <w:tc>
          <w:tcPr>
            <w:tcW w:w="0" w:type="auto"/>
            <w:hideMark/>
          </w:tcPr>
          <w:p w14:paraId="65D3CB91" w14:textId="34FE43FF" w:rsidR="003E29E0" w:rsidRPr="003E29E0" w:rsidRDefault="003E29E0" w:rsidP="003E29E0">
            <w:pPr>
              <w:spacing w:after="160" w:line="259" w:lineRule="auto"/>
              <w:rPr>
                <w:rFonts w:cstheme="minorHAnsi"/>
              </w:rPr>
            </w:pPr>
            <w:r w:rsidRPr="003E29E0">
              <w:rPr>
                <w:rFonts w:cstheme="minorHAnsi"/>
              </w:rPr>
              <w:t>Donabedian structure-process-outcome model</w:t>
            </w:r>
            <w:r w:rsidRPr="003E29E0">
              <w:rPr>
                <w:rFonts w:cstheme="minorHAnsi"/>
                <w:i/>
                <w:iCs/>
                <w:vertAlign w:val="superscript"/>
              </w:rPr>
              <w:t>a</w:t>
            </w:r>
          </w:p>
        </w:tc>
        <w:tc>
          <w:tcPr>
            <w:tcW w:w="0" w:type="auto"/>
            <w:hideMark/>
          </w:tcPr>
          <w:p w14:paraId="09357888" w14:textId="77777777" w:rsidR="003E29E0" w:rsidRPr="003E29E0" w:rsidRDefault="003E29E0" w:rsidP="003E29E0">
            <w:pPr>
              <w:spacing w:after="160" w:line="259" w:lineRule="auto"/>
              <w:rPr>
                <w:rFonts w:cstheme="minorHAnsi"/>
              </w:rPr>
            </w:pPr>
            <w:r w:rsidRPr="003E29E0">
              <w:rPr>
                <w:rFonts w:cstheme="minorHAnsi"/>
                <w:b/>
                <w:bCs/>
              </w:rPr>
              <w:t>Structural characteristics</w:t>
            </w:r>
            <w:r w:rsidRPr="003E29E0">
              <w:rPr>
                <w:rFonts w:cstheme="minorHAnsi"/>
              </w:rPr>
              <w:t>: The setting in which care is provided and the instrumentalities of which the process of care is the outcome.</w:t>
            </w:r>
          </w:p>
        </w:tc>
        <w:tc>
          <w:tcPr>
            <w:tcW w:w="0" w:type="auto"/>
            <w:hideMark/>
          </w:tcPr>
          <w:p w14:paraId="635DC0BC" w14:textId="69AE8F24" w:rsidR="003E29E0" w:rsidRPr="003E29E0" w:rsidRDefault="003E29E0" w:rsidP="003E29E0">
            <w:pPr>
              <w:spacing w:after="160" w:line="259" w:lineRule="auto"/>
              <w:rPr>
                <w:rFonts w:cstheme="minorHAnsi"/>
              </w:rPr>
            </w:pPr>
            <w:r w:rsidRPr="003E29E0">
              <w:rPr>
                <w:rFonts w:cstheme="minorHAnsi"/>
                <w:b/>
                <w:bCs/>
              </w:rPr>
              <w:t>Patient characteristics</w:t>
            </w:r>
            <w:r w:rsidRPr="003E29E0">
              <w:rPr>
                <w:rFonts w:cstheme="minorHAnsi"/>
                <w:i/>
                <w:iCs/>
                <w:vertAlign w:val="superscript"/>
              </w:rPr>
              <w:t>b</w:t>
            </w:r>
            <w:r w:rsidRPr="003E29E0">
              <w:rPr>
                <w:rFonts w:cstheme="minorHAnsi"/>
              </w:rPr>
              <w:t>: Patient-level risk factors prior to care delivery that may guide how care is delivered and directly impact the outcome.</w:t>
            </w:r>
          </w:p>
        </w:tc>
        <w:tc>
          <w:tcPr>
            <w:tcW w:w="0" w:type="auto"/>
            <w:hideMark/>
          </w:tcPr>
          <w:p w14:paraId="1EB7E981" w14:textId="77777777" w:rsidR="003E29E0" w:rsidRPr="003E29E0" w:rsidRDefault="003E29E0" w:rsidP="003E29E0">
            <w:pPr>
              <w:spacing w:after="160" w:line="259" w:lineRule="auto"/>
              <w:rPr>
                <w:rFonts w:cstheme="minorHAnsi"/>
              </w:rPr>
            </w:pPr>
            <w:r w:rsidRPr="003E29E0">
              <w:rPr>
                <w:rFonts w:cstheme="minorHAnsi"/>
                <w:b/>
                <w:bCs/>
              </w:rPr>
              <w:t>Process</w:t>
            </w:r>
            <w:r w:rsidRPr="003E29E0">
              <w:rPr>
                <w:rFonts w:cstheme="minorHAnsi"/>
              </w:rPr>
              <w:t>: The process of execution of clinical care delivery</w:t>
            </w:r>
          </w:p>
        </w:tc>
        <w:tc>
          <w:tcPr>
            <w:tcW w:w="0" w:type="auto"/>
            <w:hideMark/>
          </w:tcPr>
          <w:p w14:paraId="1085C159" w14:textId="77777777" w:rsidR="003E29E0" w:rsidRPr="003E29E0" w:rsidRDefault="003E29E0" w:rsidP="003E29E0">
            <w:pPr>
              <w:spacing w:after="160" w:line="259" w:lineRule="auto"/>
              <w:rPr>
                <w:rFonts w:cstheme="minorHAnsi"/>
              </w:rPr>
            </w:pPr>
            <w:r w:rsidRPr="003E29E0">
              <w:rPr>
                <w:rFonts w:cstheme="minorHAnsi"/>
                <w:b/>
                <w:bCs/>
              </w:rPr>
              <w:t>Outcome</w:t>
            </w:r>
            <w:r w:rsidRPr="003E29E0">
              <w:rPr>
                <w:rFonts w:cstheme="minorHAnsi"/>
              </w:rPr>
              <w:t>: The outcome of medical care, in terms of recovery, restoration of function and of survival.</w:t>
            </w:r>
          </w:p>
        </w:tc>
      </w:tr>
      <w:tr w:rsidR="00AF62DE" w:rsidRPr="00AF62DE" w14:paraId="170352FA" w14:textId="77777777" w:rsidTr="00AF62DE">
        <w:trPr>
          <w:trHeight w:val="288"/>
        </w:trPr>
        <w:tc>
          <w:tcPr>
            <w:tcW w:w="0" w:type="auto"/>
            <w:hideMark/>
          </w:tcPr>
          <w:p w14:paraId="0A1C51FE" w14:textId="72A55188" w:rsidR="003E29E0" w:rsidRPr="003E29E0" w:rsidRDefault="003E29E0" w:rsidP="003E29E0">
            <w:pPr>
              <w:spacing w:after="160" w:line="259" w:lineRule="auto"/>
              <w:rPr>
                <w:rFonts w:cstheme="minorHAnsi"/>
              </w:rPr>
            </w:pPr>
            <w:r w:rsidRPr="003E29E0">
              <w:rPr>
                <w:rFonts w:cstheme="minorHAnsi"/>
              </w:rPr>
              <w:t>Economic theory of production</w:t>
            </w:r>
            <w:r w:rsidRPr="003E29E0">
              <w:rPr>
                <w:rFonts w:cstheme="minorHAnsi"/>
                <w:i/>
                <w:iCs/>
                <w:vertAlign w:val="superscript"/>
              </w:rPr>
              <w:t>c</w:t>
            </w:r>
          </w:p>
        </w:tc>
        <w:tc>
          <w:tcPr>
            <w:tcW w:w="0" w:type="auto"/>
            <w:hideMark/>
          </w:tcPr>
          <w:p w14:paraId="7B823C6F" w14:textId="77777777" w:rsidR="003E29E0" w:rsidRPr="003E29E0" w:rsidRDefault="003E29E0" w:rsidP="003E29E0">
            <w:pPr>
              <w:spacing w:after="160" w:line="259" w:lineRule="auto"/>
              <w:rPr>
                <w:rFonts w:cstheme="minorHAnsi"/>
              </w:rPr>
            </w:pPr>
            <w:r w:rsidRPr="003E29E0">
              <w:rPr>
                <w:rFonts w:cstheme="minorHAnsi"/>
                <w:b/>
                <w:bCs/>
              </w:rPr>
              <w:t>Factors of production (labor and capital)</w:t>
            </w:r>
            <w:r w:rsidRPr="003E29E0">
              <w:rPr>
                <w:rFonts w:cstheme="minorHAnsi"/>
              </w:rPr>
              <w:t>: inputs that are used to produce an output.</w:t>
            </w:r>
          </w:p>
          <w:p w14:paraId="4E55733F" w14:textId="77777777" w:rsidR="003E29E0" w:rsidRPr="003E29E0" w:rsidRDefault="003E29E0" w:rsidP="003E29E0">
            <w:pPr>
              <w:numPr>
                <w:ilvl w:val="0"/>
                <w:numId w:val="6"/>
              </w:numPr>
              <w:spacing w:after="160" w:line="259" w:lineRule="auto"/>
              <w:rPr>
                <w:rFonts w:cstheme="minorHAnsi"/>
              </w:rPr>
            </w:pPr>
            <w:r w:rsidRPr="003E29E0">
              <w:rPr>
                <w:rFonts w:cstheme="minorHAnsi"/>
                <w:u w:val="single"/>
              </w:rPr>
              <w:t>Labor inputs</w:t>
            </w:r>
            <w:r w:rsidRPr="003E29E0">
              <w:rPr>
                <w:rFonts w:cstheme="minorHAnsi"/>
              </w:rPr>
              <w:t>: The quantity (e.g., number of working hours, number of full-time equivalents) and quality (e.g., education, experience, expertise) of the human resources employed by the organization (nurses, physicians, etc.)</w:t>
            </w:r>
          </w:p>
          <w:p w14:paraId="3F331AB8" w14:textId="77777777" w:rsidR="003E29E0" w:rsidRPr="003E29E0" w:rsidRDefault="003E29E0" w:rsidP="003E29E0">
            <w:pPr>
              <w:numPr>
                <w:ilvl w:val="0"/>
                <w:numId w:val="6"/>
              </w:numPr>
              <w:spacing w:after="160" w:line="259" w:lineRule="auto"/>
              <w:rPr>
                <w:rFonts w:cstheme="minorHAnsi"/>
              </w:rPr>
            </w:pPr>
            <w:r w:rsidRPr="003E29E0">
              <w:rPr>
                <w:rFonts w:cstheme="minorHAnsi"/>
                <w:u w:val="single"/>
              </w:rPr>
              <w:t>Capital inputs</w:t>
            </w:r>
            <w:r w:rsidRPr="003E29E0">
              <w:rPr>
                <w:rFonts w:cstheme="minorHAnsi"/>
              </w:rPr>
              <w:t>: The hospital built environment and equipment, administrative and other support systems, type and organization of the electronic health records, and other non-labor resources than enable its employees to deliver care.</w:t>
            </w:r>
          </w:p>
          <w:p w14:paraId="2694CEBA" w14:textId="3C30AA73" w:rsidR="003E29E0" w:rsidRPr="003E29E0" w:rsidRDefault="003E29E0" w:rsidP="003E29E0">
            <w:pPr>
              <w:spacing w:after="160" w:line="259" w:lineRule="auto"/>
              <w:rPr>
                <w:rFonts w:cstheme="minorHAnsi"/>
              </w:rPr>
            </w:pPr>
            <w:r w:rsidRPr="003E29E0">
              <w:rPr>
                <w:rFonts w:cstheme="minorHAnsi"/>
                <w:b/>
                <w:bCs/>
              </w:rPr>
              <w:t>Technology</w:t>
            </w:r>
            <w:r w:rsidRPr="003E29E0">
              <w:rPr>
                <w:rFonts w:cstheme="minorHAnsi"/>
              </w:rPr>
              <w:t>: Established care delivery components that form the hospital or unit standard of care (such as protocols, programs, and practice guidelines) that prescribe how care is supposed to be delivered.</w:t>
            </w:r>
            <w:r w:rsidRPr="003E29E0">
              <w:rPr>
                <w:rFonts w:cstheme="minorHAnsi"/>
                <w:b/>
                <w:bCs/>
                <w:i/>
                <w:iCs/>
                <w:vertAlign w:val="superscript"/>
              </w:rPr>
              <w:t>c</w:t>
            </w:r>
          </w:p>
        </w:tc>
        <w:tc>
          <w:tcPr>
            <w:tcW w:w="0" w:type="auto"/>
            <w:hideMark/>
          </w:tcPr>
          <w:p w14:paraId="35CB6CCB" w14:textId="77777777" w:rsidR="003E29E0" w:rsidRPr="003E29E0" w:rsidRDefault="003E29E0" w:rsidP="003E29E0">
            <w:pPr>
              <w:spacing w:after="160" w:line="259" w:lineRule="auto"/>
              <w:rPr>
                <w:rFonts w:cstheme="minorHAnsi"/>
              </w:rPr>
            </w:pPr>
            <w:r w:rsidRPr="003E29E0">
              <w:rPr>
                <w:rFonts w:cstheme="minorHAnsi"/>
              </w:rPr>
              <w:t>[Not included]</w:t>
            </w:r>
          </w:p>
        </w:tc>
        <w:tc>
          <w:tcPr>
            <w:tcW w:w="0" w:type="auto"/>
            <w:hideMark/>
          </w:tcPr>
          <w:p w14:paraId="58197C90" w14:textId="77777777" w:rsidR="003E29E0" w:rsidRPr="003E29E0" w:rsidRDefault="003E29E0" w:rsidP="003E29E0">
            <w:pPr>
              <w:rPr>
                <w:rFonts w:cstheme="minorHAnsi"/>
              </w:rPr>
            </w:pPr>
            <w:r w:rsidRPr="003E29E0">
              <w:rPr>
                <w:rFonts w:cstheme="minorHAnsi"/>
                <w:b/>
                <w:bCs/>
              </w:rPr>
              <w:t>Production function</w:t>
            </w:r>
            <w:r w:rsidRPr="003E29E0">
              <w:rPr>
                <w:rFonts w:cstheme="minorHAnsi"/>
              </w:rPr>
              <w:t>: The technological relation between quantities of inputs and the output</w:t>
            </w:r>
          </w:p>
        </w:tc>
        <w:tc>
          <w:tcPr>
            <w:tcW w:w="0" w:type="auto"/>
            <w:hideMark/>
          </w:tcPr>
          <w:p w14:paraId="64CC91D4" w14:textId="77777777" w:rsidR="003E29E0" w:rsidRPr="003E29E0" w:rsidRDefault="003E29E0" w:rsidP="003E29E0">
            <w:pPr>
              <w:rPr>
                <w:rFonts w:cstheme="minorHAnsi"/>
              </w:rPr>
            </w:pPr>
            <w:r w:rsidRPr="003E29E0">
              <w:rPr>
                <w:rFonts w:cstheme="minorHAnsi"/>
                <w:b/>
                <w:bCs/>
              </w:rPr>
              <w:t>Output</w:t>
            </w:r>
            <w:r w:rsidRPr="003E29E0">
              <w:rPr>
                <w:rFonts w:cstheme="minorHAnsi"/>
              </w:rPr>
              <w:t>: The quantity of the product produced</w:t>
            </w:r>
          </w:p>
        </w:tc>
      </w:tr>
      <w:tr w:rsidR="00AF62DE" w:rsidRPr="00AF62DE" w14:paraId="1114503F" w14:textId="77777777" w:rsidTr="00AF62DE">
        <w:trPr>
          <w:trHeight w:val="288"/>
        </w:trPr>
        <w:tc>
          <w:tcPr>
            <w:tcW w:w="0" w:type="auto"/>
            <w:hideMark/>
          </w:tcPr>
          <w:p w14:paraId="7592F5F1" w14:textId="08491018" w:rsidR="003E29E0" w:rsidRPr="003E29E0" w:rsidRDefault="003E29E0" w:rsidP="003E29E0">
            <w:pPr>
              <w:rPr>
                <w:rFonts w:cstheme="minorHAnsi"/>
              </w:rPr>
            </w:pPr>
            <w:r w:rsidRPr="003E29E0">
              <w:rPr>
                <w:rFonts w:cstheme="minorHAnsi"/>
              </w:rPr>
              <w:t>Select variables available in the READI database</w:t>
            </w:r>
            <w:r w:rsidRPr="003E29E0">
              <w:rPr>
                <w:rFonts w:cstheme="minorHAnsi"/>
                <w:i/>
                <w:iCs/>
                <w:vertAlign w:val="superscript"/>
              </w:rPr>
              <w:t>d</w:t>
            </w:r>
          </w:p>
        </w:tc>
        <w:tc>
          <w:tcPr>
            <w:tcW w:w="0" w:type="auto"/>
            <w:hideMark/>
          </w:tcPr>
          <w:p w14:paraId="21F21670" w14:textId="77777777" w:rsidR="003E29E0" w:rsidRPr="003E29E0" w:rsidRDefault="003E29E0" w:rsidP="003E29E0">
            <w:pPr>
              <w:rPr>
                <w:rFonts w:cstheme="minorHAnsi"/>
              </w:rPr>
            </w:pPr>
            <w:r w:rsidRPr="003E29E0">
              <w:rPr>
                <w:rFonts w:cstheme="minorHAnsi"/>
                <w:b/>
                <w:bCs/>
              </w:rPr>
              <w:t>Factors of production:</w:t>
            </w:r>
          </w:p>
          <w:p w14:paraId="5F539224" w14:textId="56F3EE64" w:rsidR="003E29E0" w:rsidRPr="003E29E0" w:rsidRDefault="003E29E0" w:rsidP="003E29E0">
            <w:pPr>
              <w:numPr>
                <w:ilvl w:val="0"/>
                <w:numId w:val="7"/>
              </w:numPr>
              <w:spacing w:after="160" w:line="259" w:lineRule="auto"/>
              <w:rPr>
                <w:rFonts w:cstheme="minorHAnsi"/>
              </w:rPr>
            </w:pPr>
            <w:r w:rsidRPr="003E29E0">
              <w:rPr>
                <w:rFonts w:cstheme="minorHAnsi"/>
                <w:u w:val="single"/>
              </w:rPr>
              <w:t>Labor inputs</w:t>
            </w:r>
            <w:r w:rsidRPr="003E29E0">
              <w:rPr>
                <w:rFonts w:cstheme="minorHAnsi"/>
              </w:rPr>
              <w:t>: </w:t>
            </w:r>
            <w:r w:rsidRPr="003E29E0">
              <w:rPr>
                <w:rFonts w:cstheme="minorHAnsi"/>
                <w:i/>
                <w:iCs/>
              </w:rPr>
              <w:t>Unit-specific</w:t>
            </w:r>
            <w:r w:rsidRPr="003E29E0">
              <w:rPr>
                <w:rFonts w:cstheme="minorHAnsi"/>
              </w:rPr>
              <w:t>: RN hours per patient day (HPPD); RN hours per patient day (HPPD) Non-RN HPPD (nurse aides, licensed practical nurses, medical assistants); %BSN; % Specialty-certified RNs; RN Experience; % Full/Part-Time. </w:t>
            </w:r>
            <w:r w:rsidRPr="003E29E0">
              <w:rPr>
                <w:rFonts w:cstheme="minorHAnsi"/>
                <w:i/>
                <w:iCs/>
              </w:rPr>
              <w:t>Hospital-specific</w:t>
            </w:r>
            <w:r w:rsidRPr="003E29E0">
              <w:rPr>
                <w:rFonts w:cstheme="minorHAnsi"/>
              </w:rPr>
              <w:t>: RN full-time equivalents (FTEs); Non-RN FTEs</w:t>
            </w:r>
            <w:r w:rsidRPr="003E29E0">
              <w:rPr>
                <w:rFonts w:cstheme="minorHAnsi"/>
                <w:i/>
                <w:iCs/>
                <w:vertAlign w:val="superscript"/>
              </w:rPr>
              <w:t>e</w:t>
            </w:r>
          </w:p>
          <w:p w14:paraId="241A458C" w14:textId="77777777" w:rsidR="003E29E0" w:rsidRPr="003E29E0" w:rsidRDefault="003E29E0" w:rsidP="003E29E0">
            <w:pPr>
              <w:numPr>
                <w:ilvl w:val="0"/>
                <w:numId w:val="7"/>
              </w:numPr>
              <w:spacing w:after="160" w:line="259" w:lineRule="auto"/>
              <w:rPr>
                <w:rFonts w:cstheme="minorHAnsi"/>
              </w:rPr>
            </w:pPr>
            <w:r w:rsidRPr="003E29E0">
              <w:rPr>
                <w:rFonts w:cstheme="minorHAnsi"/>
                <w:u w:val="single"/>
              </w:rPr>
              <w:t>Capital inputs</w:t>
            </w:r>
            <w:r w:rsidRPr="003E29E0">
              <w:rPr>
                <w:rFonts w:cstheme="minorHAnsi"/>
              </w:rPr>
              <w:t>: </w:t>
            </w:r>
            <w:r w:rsidRPr="003E29E0">
              <w:rPr>
                <w:rFonts w:cstheme="minorHAnsi"/>
                <w:i/>
                <w:iCs/>
              </w:rPr>
              <w:t>Unit-specific</w:t>
            </w:r>
            <w:r w:rsidRPr="003E29E0">
              <w:rPr>
                <w:rFonts w:cstheme="minorHAnsi"/>
              </w:rPr>
              <w:t>: Bed size; Patient days; Average daily census; case mix index; Unit type (e.g., cardiac, medical, surgical). </w:t>
            </w:r>
            <w:r w:rsidRPr="003E29E0">
              <w:rPr>
                <w:rFonts w:cstheme="minorHAnsi"/>
                <w:i/>
                <w:iCs/>
              </w:rPr>
              <w:t>Hospital-specific</w:t>
            </w:r>
            <w:r w:rsidRPr="003E29E0">
              <w:rPr>
                <w:rFonts w:cstheme="minorHAnsi"/>
              </w:rPr>
              <w:t>: Geographic region (East, West, Midwest, South); Bed size; Number of med., surg., or med-surg units; Hospital Type (community/urban; non-teaching/teaching); Type of EHR</w:t>
            </w:r>
          </w:p>
          <w:p w14:paraId="1EEAD6DD" w14:textId="035A1F90" w:rsidR="003E29E0" w:rsidRPr="003E29E0" w:rsidRDefault="003E29E0" w:rsidP="003E29E0">
            <w:pPr>
              <w:spacing w:after="160" w:line="259" w:lineRule="auto"/>
              <w:rPr>
                <w:rFonts w:cstheme="minorHAnsi"/>
              </w:rPr>
            </w:pPr>
            <w:r w:rsidRPr="003E29E0">
              <w:rPr>
                <w:rFonts w:cstheme="minorHAnsi"/>
                <w:b/>
                <w:bCs/>
              </w:rPr>
              <w:t>Technology</w:t>
            </w:r>
            <w:r w:rsidRPr="003E29E0">
              <w:rPr>
                <w:rFonts w:cstheme="minorHAnsi"/>
              </w:rPr>
              <w:t>: </w:t>
            </w:r>
            <w:r w:rsidRPr="003E29E0">
              <w:rPr>
                <w:rFonts w:cstheme="minorHAnsi"/>
                <w:i/>
                <w:iCs/>
              </w:rPr>
              <w:t>Unit-specific</w:t>
            </w:r>
            <w:r w:rsidRPr="003E29E0">
              <w:rPr>
                <w:rFonts w:cstheme="minorHAnsi"/>
              </w:rPr>
              <w:t>: READI discharge intervention; RN case manager/social worker/discharge planner/coordinator/expeditor involved in discharge transition care; Prescriptions filled prior to discharge. </w:t>
            </w:r>
            <w:r w:rsidRPr="003E29E0">
              <w:rPr>
                <w:rFonts w:cstheme="minorHAnsi"/>
                <w:i/>
                <w:iCs/>
              </w:rPr>
              <w:t>Hospital-specific</w:t>
            </w:r>
            <w:r w:rsidRPr="003E29E0">
              <w:rPr>
                <w:rFonts w:cstheme="minorHAnsi"/>
              </w:rPr>
              <w:t>: Discharge Care Model</w:t>
            </w:r>
            <w:r w:rsidRPr="003E29E0">
              <w:rPr>
                <w:rFonts w:cstheme="minorHAnsi"/>
                <w:b/>
                <w:bCs/>
                <w:i/>
                <w:iCs/>
                <w:vertAlign w:val="superscript"/>
              </w:rPr>
              <w:t>f</w:t>
            </w:r>
            <w:r w:rsidRPr="003E29E0">
              <w:rPr>
                <w:rFonts w:cstheme="minorHAnsi"/>
              </w:rPr>
              <w:t>; Formal readmission risk screening imbedded in the EHR; Interdisciplinary care coordination rounds; Guidelines include interdisciplinary discharge rounds.</w:t>
            </w:r>
          </w:p>
        </w:tc>
        <w:tc>
          <w:tcPr>
            <w:tcW w:w="0" w:type="auto"/>
            <w:hideMark/>
          </w:tcPr>
          <w:p w14:paraId="3241AF4F" w14:textId="77777777" w:rsidR="003E29E0" w:rsidRPr="003E29E0" w:rsidRDefault="003E29E0" w:rsidP="003E29E0">
            <w:pPr>
              <w:spacing w:after="160" w:line="259" w:lineRule="auto"/>
              <w:rPr>
                <w:rFonts w:cstheme="minorHAnsi"/>
              </w:rPr>
            </w:pPr>
            <w:r w:rsidRPr="003E29E0">
              <w:rPr>
                <w:rFonts w:cstheme="minorHAnsi"/>
                <w:b/>
                <w:bCs/>
              </w:rPr>
              <w:t>Demographic</w:t>
            </w:r>
            <w:r w:rsidRPr="003E29E0">
              <w:rPr>
                <w:rFonts w:cstheme="minorHAnsi"/>
              </w:rPr>
              <w:t>: Sex; Age; Race Ethnicity; Marital Status.</w:t>
            </w:r>
          </w:p>
          <w:p w14:paraId="1CEF2711" w14:textId="77777777" w:rsidR="003E29E0" w:rsidRPr="003E29E0" w:rsidRDefault="003E29E0" w:rsidP="003E29E0">
            <w:pPr>
              <w:spacing w:after="160" w:line="259" w:lineRule="auto"/>
              <w:rPr>
                <w:rFonts w:cstheme="minorHAnsi"/>
              </w:rPr>
            </w:pPr>
            <w:r w:rsidRPr="003E29E0">
              <w:rPr>
                <w:rFonts w:cstheme="minorHAnsi"/>
                <w:b/>
                <w:bCs/>
              </w:rPr>
              <w:t>Clinical</w:t>
            </w:r>
            <w:r w:rsidRPr="003E29E0">
              <w:rPr>
                <w:rFonts w:cstheme="minorHAnsi"/>
              </w:rPr>
              <w:t>: Admission type; Admission from (source); Service Type (medical/surgical); Payment type; Severity of Illness; Mortality risk; prior hospitalization (30 and 90 days); Elixhauser Comobidity Index; Length of Stay; ICU Stay</w:t>
            </w:r>
          </w:p>
        </w:tc>
        <w:tc>
          <w:tcPr>
            <w:tcW w:w="0" w:type="auto"/>
            <w:hideMark/>
          </w:tcPr>
          <w:p w14:paraId="1DBA87F3" w14:textId="77777777" w:rsidR="003E29E0" w:rsidRPr="003E29E0" w:rsidRDefault="003E29E0" w:rsidP="003E29E0">
            <w:pPr>
              <w:spacing w:after="160" w:line="259" w:lineRule="auto"/>
              <w:rPr>
                <w:rFonts w:cstheme="minorHAnsi"/>
              </w:rPr>
            </w:pPr>
            <w:r w:rsidRPr="003E29E0">
              <w:rPr>
                <w:rFonts w:cstheme="minorHAnsi"/>
              </w:rPr>
              <w:t>[Unobserved, not measured in this study]</w:t>
            </w:r>
          </w:p>
        </w:tc>
        <w:tc>
          <w:tcPr>
            <w:tcW w:w="0" w:type="auto"/>
            <w:hideMark/>
          </w:tcPr>
          <w:p w14:paraId="17FE47C7" w14:textId="77777777" w:rsidR="003E29E0" w:rsidRPr="003E29E0" w:rsidRDefault="003E29E0" w:rsidP="003E29E0">
            <w:pPr>
              <w:rPr>
                <w:rFonts w:cstheme="minorHAnsi"/>
              </w:rPr>
            </w:pPr>
            <w:r w:rsidRPr="003E29E0">
              <w:rPr>
                <w:rFonts w:cstheme="minorHAnsi"/>
                <w:b/>
                <w:bCs/>
              </w:rPr>
              <w:t>Patient readmission within 30 days</w:t>
            </w:r>
          </w:p>
        </w:tc>
      </w:tr>
    </w:tbl>
    <w:p w14:paraId="53574825" w14:textId="223E2219" w:rsidR="003E29E0" w:rsidRPr="003E29E0" w:rsidRDefault="003E29E0" w:rsidP="00AF62DE">
      <w:pPr>
        <w:spacing w:after="0"/>
        <w:ind w:left="360"/>
        <w:rPr>
          <w:rFonts w:cstheme="minorHAnsi"/>
        </w:rPr>
      </w:pPr>
      <w:r w:rsidRPr="003E29E0">
        <w:rPr>
          <w:rFonts w:cstheme="minorHAnsi"/>
          <w:vertAlign w:val="superscript"/>
        </w:rPr>
        <w:t>a</w:t>
      </w:r>
      <w:r w:rsidRPr="003E29E0">
        <w:rPr>
          <w:rFonts w:cstheme="minorHAnsi"/>
        </w:rPr>
        <w:t> Donabedian.</w:t>
      </w:r>
      <w:r w:rsidRPr="003E29E0">
        <w:rPr>
          <w:rFonts w:cstheme="minorHAnsi"/>
          <w:vertAlign w:val="superscript"/>
        </w:rPr>
        <w:t>17</w:t>
      </w:r>
    </w:p>
    <w:p w14:paraId="56778350" w14:textId="13D0B748" w:rsidR="003E29E0" w:rsidRPr="003E29E0" w:rsidRDefault="003E29E0" w:rsidP="00AF62DE">
      <w:pPr>
        <w:spacing w:after="0"/>
        <w:ind w:left="360"/>
        <w:rPr>
          <w:rFonts w:cstheme="minorHAnsi"/>
        </w:rPr>
      </w:pPr>
      <w:r w:rsidRPr="003E29E0">
        <w:rPr>
          <w:rFonts w:cstheme="minorHAnsi"/>
          <w:vertAlign w:val="superscript"/>
        </w:rPr>
        <w:t>b</w:t>
      </w:r>
      <w:r w:rsidRPr="003E29E0">
        <w:rPr>
          <w:rFonts w:cstheme="minorHAnsi"/>
        </w:rPr>
        <w:t> Mitchell et al.</w:t>
      </w:r>
      <w:r w:rsidRPr="003E29E0">
        <w:rPr>
          <w:rFonts w:cstheme="minorHAnsi"/>
          <w:vertAlign w:val="superscript"/>
        </w:rPr>
        <w:t>18</w:t>
      </w:r>
    </w:p>
    <w:p w14:paraId="41F58607" w14:textId="77751525" w:rsidR="003E29E0" w:rsidRPr="003E29E0" w:rsidRDefault="003E29E0" w:rsidP="00AF62DE">
      <w:pPr>
        <w:spacing w:after="0"/>
        <w:ind w:left="360"/>
        <w:rPr>
          <w:rFonts w:cstheme="minorHAnsi"/>
        </w:rPr>
      </w:pPr>
      <w:r w:rsidRPr="003E29E0">
        <w:rPr>
          <w:rFonts w:cstheme="minorHAnsi"/>
          <w:vertAlign w:val="superscript"/>
        </w:rPr>
        <w:t>c</w:t>
      </w:r>
      <w:r w:rsidRPr="003E29E0">
        <w:rPr>
          <w:rFonts w:cstheme="minorHAnsi"/>
        </w:rPr>
        <w:t> Source: Adapted from Craig and Harris.</w:t>
      </w:r>
      <w:r w:rsidRPr="003E29E0">
        <w:rPr>
          <w:rFonts w:cstheme="minorHAnsi"/>
          <w:vertAlign w:val="superscript"/>
        </w:rPr>
        <w:t>19</w:t>
      </w:r>
    </w:p>
    <w:p w14:paraId="03239EF3" w14:textId="58C83DB5" w:rsidR="003E29E0" w:rsidRPr="003E29E0" w:rsidRDefault="003E29E0" w:rsidP="00AF62DE">
      <w:pPr>
        <w:spacing w:after="0"/>
        <w:ind w:left="360"/>
        <w:rPr>
          <w:rFonts w:cstheme="minorHAnsi"/>
        </w:rPr>
      </w:pPr>
      <w:r w:rsidRPr="003E29E0">
        <w:rPr>
          <w:rFonts w:cstheme="minorHAnsi"/>
          <w:vertAlign w:val="superscript"/>
        </w:rPr>
        <w:t>d</w:t>
      </w:r>
      <w:r w:rsidRPr="003E29E0">
        <w:rPr>
          <w:rFonts w:cstheme="minorHAnsi"/>
        </w:rPr>
        <w:t> During the random forest recursive model selection process, some of these variables were eliminated from the final model. See Digital Supplement Figure A for the full list of variables included in the final model.</w:t>
      </w:r>
    </w:p>
    <w:p w14:paraId="0895930B" w14:textId="428CAF7E" w:rsidR="003E29E0" w:rsidRPr="003E29E0" w:rsidRDefault="003E29E0" w:rsidP="00AF62DE">
      <w:pPr>
        <w:spacing w:after="0"/>
        <w:ind w:left="360"/>
        <w:rPr>
          <w:rFonts w:cstheme="minorHAnsi"/>
        </w:rPr>
      </w:pPr>
      <w:r w:rsidRPr="003E29E0">
        <w:rPr>
          <w:rFonts w:cstheme="minorHAnsi"/>
          <w:vertAlign w:val="superscript"/>
        </w:rPr>
        <w:t>e</w:t>
      </w:r>
      <w:r w:rsidRPr="003E29E0">
        <w:rPr>
          <w:rFonts w:cstheme="minorHAnsi"/>
        </w:rPr>
        <w:t> All hospital employees (physicians, pharmacists, therapists, administrative, laboratory, house-keeping, etc.) on hospital payroll, per the American Hospital Association Annual Survey definition.</w:t>
      </w:r>
      <w:r w:rsidRPr="003E29E0">
        <w:rPr>
          <w:rFonts w:cstheme="minorHAnsi"/>
          <w:vertAlign w:val="superscript"/>
        </w:rPr>
        <w:t>20</w:t>
      </w:r>
    </w:p>
    <w:p w14:paraId="6D36BA67" w14:textId="302891B1" w:rsidR="003E29E0" w:rsidRPr="003E29E0" w:rsidRDefault="003E29E0" w:rsidP="00AF62DE">
      <w:pPr>
        <w:spacing w:after="0"/>
        <w:ind w:left="360"/>
        <w:rPr>
          <w:rFonts w:cstheme="minorHAnsi"/>
        </w:rPr>
      </w:pPr>
      <w:r w:rsidRPr="003E29E0">
        <w:rPr>
          <w:rFonts w:cstheme="minorHAnsi"/>
          <w:vertAlign w:val="superscript"/>
        </w:rPr>
        <w:t>f</w:t>
      </w:r>
      <w:r w:rsidRPr="003E29E0">
        <w:rPr>
          <w:rFonts w:cstheme="minorHAnsi"/>
        </w:rPr>
        <w:t> Established programs of discharge care based on local, state, or national discharge transition improvement initiatives.</w:t>
      </w:r>
      <w:r w:rsidRPr="003E29E0">
        <w:rPr>
          <w:rFonts w:cstheme="minorHAnsi"/>
          <w:vertAlign w:val="superscript"/>
        </w:rPr>
        <w:t>21</w:t>
      </w:r>
    </w:p>
    <w:p w14:paraId="020C95DC" w14:textId="77777777" w:rsidR="00AF62DE" w:rsidRDefault="00AF62DE" w:rsidP="003E29E0">
      <w:pPr>
        <w:rPr>
          <w:rFonts w:cstheme="minorHAnsi"/>
          <w:b/>
          <w:bCs/>
          <w:sz w:val="24"/>
          <w:szCs w:val="24"/>
        </w:rPr>
        <w:sectPr w:rsidR="00AF62DE" w:rsidSect="000E12D5">
          <w:pgSz w:w="15840" w:h="12240" w:orient="landscape"/>
          <w:pgMar w:top="1080" w:right="1080" w:bottom="1080" w:left="1080" w:header="720" w:footer="720" w:gutter="0"/>
          <w:cols w:space="720"/>
          <w:docGrid w:linePitch="360"/>
        </w:sectPr>
      </w:pPr>
    </w:p>
    <w:p w14:paraId="6799F519" w14:textId="77777777" w:rsidR="003E29E0" w:rsidRPr="003E29E0" w:rsidRDefault="003E29E0" w:rsidP="00AF62DE">
      <w:pPr>
        <w:pStyle w:val="Heading1"/>
      </w:pPr>
      <w:r w:rsidRPr="003E29E0">
        <w:t>3 METHODS</w:t>
      </w:r>
    </w:p>
    <w:p w14:paraId="185C9C2C" w14:textId="77777777" w:rsidR="003E29E0" w:rsidRPr="003E29E0" w:rsidRDefault="003E29E0" w:rsidP="00AF62DE">
      <w:pPr>
        <w:pStyle w:val="Heading2"/>
      </w:pPr>
      <w:r w:rsidRPr="003E29E0">
        <w:t>Approach</w:t>
      </w:r>
    </w:p>
    <w:p w14:paraId="33E00087" w14:textId="0F6EB44D" w:rsidR="003E29E0" w:rsidRPr="003E29E0" w:rsidRDefault="003E29E0" w:rsidP="003E29E0">
      <w:pPr>
        <w:rPr>
          <w:rFonts w:cstheme="minorHAnsi"/>
          <w:sz w:val="24"/>
          <w:szCs w:val="24"/>
        </w:rPr>
      </w:pPr>
      <w:r w:rsidRPr="003E29E0">
        <w:rPr>
          <w:rFonts w:cstheme="minorHAnsi"/>
          <w:sz w:val="24"/>
          <w:szCs w:val="24"/>
        </w:rPr>
        <w:t>To examine the relationship between nurse staffing and readmissions, this secondary analysis applied a machine learning (ML) approach</w:t>
      </w:r>
      <w:r w:rsidRPr="003E29E0">
        <w:rPr>
          <w:rFonts w:cstheme="minorHAnsi"/>
          <w:sz w:val="24"/>
          <w:szCs w:val="24"/>
          <w:vertAlign w:val="superscript"/>
        </w:rPr>
        <w:t>22</w:t>
      </w:r>
      <w:r w:rsidRPr="003E29E0">
        <w:rPr>
          <w:rFonts w:cstheme="minorHAnsi"/>
          <w:sz w:val="24"/>
          <w:szCs w:val="24"/>
        </w:rPr>
        <w:t> to a large multihospital dataset of adult inpatient discharges. ML methods “learn” data patterns from the data itself, without imposing restrictions on the functional form of the relationship among variables. Therefore, ML methods are capable of exposing the true data pattern behind the association of nurse staffing and readmissions, be it linear, curvilinear, a U-shape, or virtually any other potentially unknown pattern.</w:t>
      </w:r>
    </w:p>
    <w:p w14:paraId="33810BE4" w14:textId="21485950" w:rsidR="003E29E0" w:rsidRPr="003E29E0" w:rsidRDefault="003E29E0" w:rsidP="003E29E0">
      <w:pPr>
        <w:rPr>
          <w:rFonts w:cstheme="minorHAnsi"/>
          <w:sz w:val="24"/>
          <w:szCs w:val="24"/>
        </w:rPr>
      </w:pPr>
      <w:r w:rsidRPr="003E29E0">
        <w:rPr>
          <w:rFonts w:cstheme="minorHAnsi"/>
          <w:sz w:val="24"/>
          <w:szCs w:val="24"/>
        </w:rPr>
        <w:t>A unique feature of ML is that, being purely atheoretical and nonparametric, the association between the dependent variable (readmission) and an explanatory variable (e.g., staffing) is revealed as a partial dependence plot (PDP).</w:t>
      </w:r>
      <w:r w:rsidRPr="003E29E0">
        <w:rPr>
          <w:rFonts w:cstheme="minorHAnsi"/>
          <w:sz w:val="24"/>
          <w:szCs w:val="24"/>
          <w:vertAlign w:val="superscript"/>
        </w:rPr>
        <w:t>22, 23</w:t>
      </w:r>
      <w:r w:rsidRPr="003E29E0">
        <w:rPr>
          <w:rFonts w:cstheme="minorHAnsi"/>
          <w:sz w:val="24"/>
          <w:szCs w:val="24"/>
        </w:rPr>
        <w:t> A PDP shows how the predicted probability of readmission varies along the observed range of nurse staffing in the sample, while holding all other variables constant as observed. In constructing a PDP, neither the direction nor the magnitude of the association between readmissions and staffing (traditionally measured by a regression coefficient) is derived as a parameter; instead, the local marginal effect (the derivative of readmission likelihood with respect to staffing) is represented by the slope of the PDP at each staffing level and can vary in sign and magnitude along the range of observed staffing values.</w:t>
      </w:r>
    </w:p>
    <w:p w14:paraId="78B2034A" w14:textId="193569EB" w:rsidR="003E29E0" w:rsidRPr="003E29E0" w:rsidRDefault="003E29E0" w:rsidP="003E29E0">
      <w:pPr>
        <w:rPr>
          <w:rFonts w:cstheme="minorHAnsi"/>
          <w:sz w:val="24"/>
          <w:szCs w:val="24"/>
        </w:rPr>
      </w:pPr>
      <w:r w:rsidRPr="003E29E0">
        <w:rPr>
          <w:rFonts w:cstheme="minorHAnsi"/>
          <w:sz w:val="24"/>
          <w:szCs w:val="24"/>
        </w:rPr>
        <w:t>Like all observational (non-experimental) methods, ML methods are vulnerable to unobserved and unmeasured variables and potential reverse causality. For example, a hospital's decisions on level of or budgeted nurse staffing are likely linked to the patient case mix (hospitals treating more complex patients tend to have higher nurse staffing levels), which could create a positive pattern of association between staffing and readmissions in the absence of a causal pathway. In an attempt to partially mitigate endogeneity, we used a unique proprietary dataset collected by a team of economists and clinicians to examine the impact of nursing care on readmissions. As described in the Section </w:t>
      </w:r>
      <w:r w:rsidRPr="003E29E0">
        <w:rPr>
          <w:rFonts w:cstheme="minorHAnsi"/>
          <w:b/>
          <w:bCs/>
          <w:sz w:val="24"/>
          <w:szCs w:val="24"/>
        </w:rPr>
        <w:t>3.2</w:t>
      </w:r>
      <w:r w:rsidRPr="003E29E0">
        <w:rPr>
          <w:rFonts w:cstheme="minorHAnsi"/>
          <w:sz w:val="24"/>
          <w:szCs w:val="24"/>
        </w:rPr>
        <w:t>, the database includes all relevant structural input variables available in the EHR, a comprehensive set of technology variables capturing organizational practices relating to discharge, and an extensive set of patient characteristics. Nevertheless, our results should not be interpreted as causal, which is an overt limitation of our approach.</w:t>
      </w:r>
    </w:p>
    <w:p w14:paraId="60352970" w14:textId="77777777" w:rsidR="003E29E0" w:rsidRPr="003E29E0" w:rsidRDefault="003E29E0" w:rsidP="00AF62DE">
      <w:pPr>
        <w:pStyle w:val="Heading2"/>
      </w:pPr>
      <w:r w:rsidRPr="003E29E0">
        <w:t>Data</w:t>
      </w:r>
    </w:p>
    <w:p w14:paraId="72839BC1" w14:textId="27915F9C" w:rsidR="003E29E0" w:rsidRPr="003E29E0" w:rsidRDefault="003E29E0" w:rsidP="003E29E0">
      <w:pPr>
        <w:rPr>
          <w:rFonts w:cstheme="minorHAnsi"/>
          <w:sz w:val="24"/>
          <w:szCs w:val="24"/>
        </w:rPr>
      </w:pPr>
      <w:r w:rsidRPr="003E29E0">
        <w:rPr>
          <w:rFonts w:cstheme="minorHAnsi"/>
          <w:sz w:val="24"/>
          <w:szCs w:val="24"/>
        </w:rPr>
        <w:t>The Readiness Evaluation And Discharge Interventions (READI) study [NCT01873118; 20] was a multihospital cluster-randomized clinical trial, approved by [blinded for review] Institutional Review Board to test the impact of unit-based implementation of a discharge readiness assessment intervention on readmission and emergency department use. The study team recruited hospitals through a call for interest to Magnet-designated organizations coordinated by the American Nurse Credentialing Center of the American Nurses Association. The sample included nearly 145,000 adult (18+) inpatients discharged to home from 66 general medical, surgical, or medical-surgical units. Thirty-one US and two Saudi Arabia Magnet hospitals participated in the study between October 2014 and March 2017. Each hospital contributed 2 units that were randomly assigned to intervention or usual care control conditions. Data collection followed Donabedian's structure-process-outcomes model</w:t>
      </w:r>
      <w:r w:rsidRPr="003E29E0">
        <w:rPr>
          <w:rFonts w:cstheme="minorHAnsi"/>
          <w:sz w:val="24"/>
          <w:szCs w:val="24"/>
          <w:vertAlign w:val="superscript"/>
        </w:rPr>
        <w:t>17</w:t>
      </w:r>
      <w:r w:rsidRPr="003E29E0">
        <w:rPr>
          <w:rFonts w:cstheme="minorHAnsi"/>
          <w:sz w:val="24"/>
          <w:szCs w:val="24"/>
        </w:rPr>
        <w:t> and the economic theory of production.</w:t>
      </w:r>
      <w:r w:rsidRPr="003E29E0">
        <w:rPr>
          <w:rFonts w:cstheme="minorHAnsi"/>
          <w:sz w:val="24"/>
          <w:szCs w:val="24"/>
          <w:vertAlign w:val="superscript"/>
        </w:rPr>
        <w:t>19</w:t>
      </w:r>
    </w:p>
    <w:p w14:paraId="3DFB34CC" w14:textId="77777777" w:rsidR="003E29E0" w:rsidRPr="003E29E0" w:rsidRDefault="003E29E0" w:rsidP="003E29E0">
      <w:pPr>
        <w:rPr>
          <w:rFonts w:cstheme="minorHAnsi"/>
          <w:sz w:val="24"/>
          <w:szCs w:val="24"/>
        </w:rPr>
      </w:pPr>
      <w:r w:rsidRPr="003E29E0">
        <w:rPr>
          <w:rFonts w:cstheme="minorHAnsi"/>
          <w:sz w:val="24"/>
          <w:szCs w:val="24"/>
        </w:rPr>
        <w:t>The intervention involved augmenting the existing discharge standard-of-care protocol with a formalized discharge readiness assessment to inform patient preparation for discharge. The study was conducted in four phases over 19 months including a baseline phase followed by three intervention phases, each testing a different version of the discharge readiness assessment protocol. The intervention had high fidelity with more than 90% of nurses trained and more than 70% of patients assessed per study protocol on intervention units. Despite some evidence of potential effectiveness in units with high baseline readmission rates, the intervention was overall not effective in changing readmissions. We treated the READI intervention as a unit-specific discharge process variable in the study along with other variables in the “technology” category.</w:t>
      </w:r>
    </w:p>
    <w:p w14:paraId="69254F59" w14:textId="77777777" w:rsidR="003E29E0" w:rsidRPr="003E29E0" w:rsidRDefault="003E29E0" w:rsidP="00AF62DE">
      <w:pPr>
        <w:pStyle w:val="Heading2"/>
      </w:pPr>
      <w:r w:rsidRPr="003E29E0">
        <w:t>Sample</w:t>
      </w:r>
    </w:p>
    <w:p w14:paraId="5761EFFC" w14:textId="1C6FDEF5" w:rsidR="003E29E0" w:rsidRPr="003E29E0" w:rsidRDefault="003E29E0" w:rsidP="003E29E0">
      <w:pPr>
        <w:rPr>
          <w:rFonts w:cstheme="minorHAnsi"/>
          <w:sz w:val="24"/>
          <w:szCs w:val="24"/>
        </w:rPr>
      </w:pPr>
      <w:r w:rsidRPr="003E29E0">
        <w:rPr>
          <w:rFonts w:cstheme="minorHAnsi"/>
          <w:sz w:val="24"/>
          <w:szCs w:val="24"/>
        </w:rPr>
        <w:t>We used 137,778 adult (18+) inpatients discharged from 62 units in 31 US hospitals in the READI study. Following the scientific standards for ML methods,</w:t>
      </w:r>
      <w:r w:rsidRPr="003E29E0">
        <w:rPr>
          <w:rFonts w:cstheme="minorHAnsi"/>
          <w:sz w:val="24"/>
          <w:szCs w:val="24"/>
          <w:vertAlign w:val="superscript"/>
        </w:rPr>
        <w:t>22</w:t>
      </w:r>
      <w:r w:rsidRPr="003E29E0">
        <w:rPr>
          <w:rFonts w:cstheme="minorHAnsi"/>
          <w:sz w:val="24"/>
          <w:szCs w:val="24"/>
        </w:rPr>
        <w:t> we split the sample into a 70% learning sample of 96,444 observations and a 30% testing sample of 41,334 observations.</w:t>
      </w:r>
    </w:p>
    <w:p w14:paraId="63406A8A" w14:textId="77777777" w:rsidR="003E29E0" w:rsidRPr="003E29E0" w:rsidRDefault="003E29E0" w:rsidP="00AF62DE">
      <w:pPr>
        <w:pStyle w:val="Heading2"/>
      </w:pPr>
      <w:r w:rsidRPr="003E29E0">
        <w:t>Study variables and measures</w:t>
      </w:r>
    </w:p>
    <w:p w14:paraId="394421BA" w14:textId="4A8C78B2" w:rsidR="003E29E0" w:rsidRPr="003E29E0" w:rsidRDefault="003E29E0" w:rsidP="003E29E0">
      <w:pPr>
        <w:rPr>
          <w:rFonts w:cstheme="minorHAnsi"/>
          <w:sz w:val="24"/>
          <w:szCs w:val="24"/>
        </w:rPr>
      </w:pPr>
      <w:r w:rsidRPr="003E29E0">
        <w:rPr>
          <w:rFonts w:cstheme="minorHAnsi"/>
          <w:sz w:val="24"/>
          <w:szCs w:val="24"/>
        </w:rPr>
        <w:t>The outcome was 30-day all-cause same-hospital readmission, measured as a dichotomous variable (1 = patient had at least one readmission within 30 days post discharge; 0 = no readmissions). The primary exposure was unit nurse staffing, measured in hours per patient day (HPPD) with three continuous range variables: direct-care registered nurse nonovertime (RN non-OT HPPD), RN overtime (RN-OT HPPD), and unlicensed nursing personnel (non-RN HPPD). Nurse staffing was reported monthly by each study unit for a total of 1178 unit-month observations (62 units × 19 months) and linked to patients by the discharge month. We included three READI intervention features: a dichotomous variable for the study units' assignments (1, if randomized to intervention condition and 0, if randomized to usual standard of care control condition), a dichotomous variable for the study patients' discharge protocol (1, if discharged per study protocol on an intervention unit and 0, if discharged not per study protocol or if discharged from a control unit), and a categorical variable for the study month at discharge (1–19). Structural input variables, technology, and patient characteristics are included in Table </w:t>
      </w:r>
      <w:r w:rsidRPr="003E29E0">
        <w:rPr>
          <w:rFonts w:cstheme="minorHAnsi"/>
          <w:b/>
          <w:bCs/>
          <w:sz w:val="24"/>
          <w:szCs w:val="24"/>
        </w:rPr>
        <w:t>1</w:t>
      </w:r>
      <w:r w:rsidRPr="003E29E0">
        <w:rPr>
          <w:rFonts w:cstheme="minorHAnsi"/>
          <w:sz w:val="24"/>
          <w:szCs w:val="24"/>
        </w:rPr>
        <w:t>.</w:t>
      </w:r>
    </w:p>
    <w:p w14:paraId="05CE9E23" w14:textId="77777777" w:rsidR="003E29E0" w:rsidRPr="003E29E0" w:rsidRDefault="003E29E0" w:rsidP="00E3498D">
      <w:pPr>
        <w:pStyle w:val="Heading2"/>
      </w:pPr>
      <w:r w:rsidRPr="003E29E0">
        <w:t>Statistical analyses</w:t>
      </w:r>
    </w:p>
    <w:p w14:paraId="629555B7" w14:textId="77777777" w:rsidR="003E29E0" w:rsidRPr="003E29E0" w:rsidRDefault="003E29E0" w:rsidP="00E3498D">
      <w:pPr>
        <w:pStyle w:val="Heading3"/>
      </w:pPr>
      <w:r w:rsidRPr="003E29E0">
        <w:t>3.5.1 Model selection and performance</w:t>
      </w:r>
    </w:p>
    <w:p w14:paraId="160645BE" w14:textId="2EC3BA58" w:rsidR="003E29E0" w:rsidRPr="003E29E0" w:rsidRDefault="003E29E0" w:rsidP="003E29E0">
      <w:pPr>
        <w:rPr>
          <w:rFonts w:cstheme="minorHAnsi"/>
          <w:sz w:val="24"/>
          <w:szCs w:val="24"/>
        </w:rPr>
      </w:pPr>
      <w:r w:rsidRPr="003E29E0">
        <w:rPr>
          <w:rFonts w:cstheme="minorHAnsi"/>
          <w:sz w:val="24"/>
          <w:szCs w:val="24"/>
        </w:rPr>
        <w:t>Using the learning sample and starting with the full set of structural inputs and patient variables available in the READI dataset, we performed a random forest recursive feature elimination process using the caret package V6.0-84</w:t>
      </w:r>
      <w:r w:rsidRPr="003E29E0">
        <w:rPr>
          <w:rFonts w:cstheme="minorHAnsi"/>
          <w:sz w:val="24"/>
          <w:szCs w:val="24"/>
          <w:vertAlign w:val="superscript"/>
        </w:rPr>
        <w:t>24</w:t>
      </w:r>
      <w:r w:rsidRPr="003E29E0">
        <w:rPr>
          <w:rFonts w:cstheme="minorHAnsi"/>
          <w:sz w:val="24"/>
          <w:szCs w:val="24"/>
        </w:rPr>
        <w:t> with 10-fold cross-validation, 500 trees, and a minimum node size of six observations. We chose a random forest model as the best tool for learning about the relationships between the outcome and individual variables, given its robust classification power and easily interpretable learning mechanism.</w:t>
      </w:r>
      <w:r w:rsidRPr="003E29E0">
        <w:rPr>
          <w:rFonts w:cstheme="minorHAnsi"/>
          <w:sz w:val="24"/>
          <w:szCs w:val="24"/>
          <w:vertAlign w:val="superscript"/>
        </w:rPr>
        <w:t>25-27</w:t>
      </w:r>
      <w:r w:rsidRPr="003E29E0">
        <w:rPr>
          <w:rFonts w:cstheme="minorHAnsi"/>
          <w:sz w:val="24"/>
          <w:szCs w:val="24"/>
        </w:rPr>
        <w:t> A random forest is a set of decision trees that each use explanatory variables as logical “if/then” splits leading down the paths, or “branches,” ending either in a predicted readmission or in no predicted readmission. Randomly reshuffling the values of each of the explanatory variables one at a time while holding all other variables constant at the values observed for each patient in the sample, the algorithm sorts through a large number of different combinations of the variables and selects a model with the highest predictive performance. We measured predictive performance by following two statistics: the random-chance-adjusted proportion of correctly predicted outcomes, or Cohen's Kappa, and the area under the curve (AUC). Cohen's Kappa (</w:t>
      </w:r>
      <w:r w:rsidRPr="003E29E0">
        <w:rPr>
          <w:rFonts w:cstheme="minorHAnsi"/>
          <w:i/>
          <w:iCs/>
          <w:sz w:val="24"/>
          <w:szCs w:val="24"/>
        </w:rPr>
        <w:t>κ</w:t>
      </w:r>
      <w:r w:rsidRPr="003E29E0">
        <w:rPr>
          <w:rFonts w:cstheme="minorHAnsi"/>
          <w:sz w:val="24"/>
          <w:szCs w:val="24"/>
        </w:rPr>
        <w:t>) varies between 0 and 1 and has a similar interpretation to the traditional </w:t>
      </w:r>
      <w:r w:rsidRPr="003E29E0">
        <w:rPr>
          <w:rFonts w:cstheme="minorHAnsi"/>
          <w:i/>
          <w:iCs/>
          <w:sz w:val="24"/>
          <w:szCs w:val="24"/>
        </w:rPr>
        <w:t>R</w:t>
      </w:r>
      <w:r w:rsidRPr="003E29E0">
        <w:rPr>
          <w:rFonts w:cstheme="minorHAnsi"/>
          <w:sz w:val="24"/>
          <w:szCs w:val="24"/>
        </w:rPr>
        <w:t>-squared of the regression.</w:t>
      </w:r>
      <w:r w:rsidRPr="003E29E0">
        <w:rPr>
          <w:rFonts w:cstheme="minorHAnsi"/>
          <w:sz w:val="24"/>
          <w:szCs w:val="24"/>
          <w:vertAlign w:val="superscript"/>
        </w:rPr>
        <w:t>28</w:t>
      </w:r>
      <w:r w:rsidRPr="003E29E0">
        <w:rPr>
          <w:rFonts w:cstheme="minorHAnsi"/>
          <w:sz w:val="24"/>
          <w:szCs w:val="24"/>
        </w:rPr>
        <w:t> We also evaluated the importance of the three nurse staffing variables relative to other explanatory variables in our model. We measured a variable's importance by the size of reduction in the model's Cohen's Kappa (Δ</w:t>
      </w:r>
      <w:r w:rsidRPr="003E29E0">
        <w:rPr>
          <w:rFonts w:cstheme="minorHAnsi"/>
          <w:i/>
          <w:iCs/>
          <w:sz w:val="24"/>
          <w:szCs w:val="24"/>
        </w:rPr>
        <w:t>κ</w:t>
      </w:r>
      <w:r w:rsidRPr="003E29E0">
        <w:rPr>
          <w:rFonts w:cstheme="minorHAnsi"/>
          <w:sz w:val="24"/>
          <w:szCs w:val="24"/>
        </w:rPr>
        <w:t>) when the variable's values were reshuffled at random, with larger Δ</w:t>
      </w:r>
      <w:r w:rsidRPr="003E29E0">
        <w:rPr>
          <w:rFonts w:cstheme="minorHAnsi"/>
          <w:i/>
          <w:iCs/>
          <w:sz w:val="24"/>
          <w:szCs w:val="24"/>
        </w:rPr>
        <w:t>κ</w:t>
      </w:r>
      <w:r w:rsidRPr="003E29E0">
        <w:rPr>
          <w:rFonts w:cstheme="minorHAnsi"/>
          <w:sz w:val="24"/>
          <w:szCs w:val="24"/>
        </w:rPr>
        <w:t>s indicating more important variables. For our final model, we reported the Δ</w:t>
      </w:r>
      <w:r w:rsidRPr="003E29E0">
        <w:rPr>
          <w:rFonts w:cstheme="minorHAnsi"/>
          <w:i/>
          <w:iCs/>
          <w:sz w:val="24"/>
          <w:szCs w:val="24"/>
        </w:rPr>
        <w:t>κ</w:t>
      </w:r>
      <w:r w:rsidRPr="003E29E0">
        <w:rPr>
          <w:rFonts w:cstheme="minorHAnsi"/>
          <w:sz w:val="24"/>
          <w:szCs w:val="24"/>
        </w:rPr>
        <w:t> and AUC in both the learning and the testing samples. All other results were presented for the testing sample only (results in the learning sample were similar, see the sensitivity analysis in section 4.3 below).</w:t>
      </w:r>
    </w:p>
    <w:p w14:paraId="09AE51F5" w14:textId="77777777" w:rsidR="003E29E0" w:rsidRPr="003E29E0" w:rsidRDefault="003E29E0" w:rsidP="00E3498D">
      <w:pPr>
        <w:pStyle w:val="Heading3"/>
      </w:pPr>
      <w:r w:rsidRPr="003E29E0">
        <w:t>3.5.2 Sample descriptive characteristics</w:t>
      </w:r>
    </w:p>
    <w:p w14:paraId="7F8AE5DD" w14:textId="77777777" w:rsidR="003E29E0" w:rsidRPr="003E29E0" w:rsidRDefault="003E29E0" w:rsidP="003E29E0">
      <w:pPr>
        <w:rPr>
          <w:rFonts w:cstheme="minorHAnsi"/>
          <w:sz w:val="24"/>
          <w:szCs w:val="24"/>
        </w:rPr>
      </w:pPr>
      <w:r w:rsidRPr="003E29E0">
        <w:rPr>
          <w:rFonts w:cstheme="minorHAnsi"/>
          <w:sz w:val="24"/>
          <w:szCs w:val="24"/>
        </w:rPr>
        <w:t>Once the variables selected into the model were determined, we calculated sample descriptive statistics using counts and sample proportions for all categorical variables, means and interquartile ranges for continuous unit-level and hospital-level variables, and means and SDs for continuous patient-level variables.</w:t>
      </w:r>
    </w:p>
    <w:p w14:paraId="0EA14287" w14:textId="77777777" w:rsidR="003E29E0" w:rsidRPr="003E29E0" w:rsidRDefault="003E29E0" w:rsidP="00E3498D">
      <w:pPr>
        <w:pStyle w:val="Heading3"/>
      </w:pPr>
      <w:r w:rsidRPr="003E29E0">
        <w:t>3.5.3 Partial dependence plots</w:t>
      </w:r>
    </w:p>
    <w:p w14:paraId="5B81F69B" w14:textId="77777777" w:rsidR="003E29E0" w:rsidRPr="003E29E0" w:rsidRDefault="003E29E0" w:rsidP="003E29E0">
      <w:pPr>
        <w:rPr>
          <w:rFonts w:cstheme="minorHAnsi"/>
          <w:sz w:val="24"/>
          <w:szCs w:val="24"/>
        </w:rPr>
      </w:pPr>
      <w:r w:rsidRPr="003E29E0">
        <w:rPr>
          <w:rFonts w:cstheme="minorHAnsi"/>
          <w:sz w:val="24"/>
          <w:szCs w:val="24"/>
        </w:rPr>
        <w:t>We built partial dependence plots (PDPs) for the three nurse staffing variables as predictors of readmission in the learning sample, using a 100-point evenly spaced grid from the minimum value through the observed range of each variable. We then calculated 95% confidence bounds using the standard errors of the point predictions obtained after 100 bootstrap replications for each point.</w:t>
      </w:r>
    </w:p>
    <w:p w14:paraId="23DE6FAD" w14:textId="77777777" w:rsidR="003E29E0" w:rsidRPr="003E29E0" w:rsidRDefault="003E29E0" w:rsidP="00E3498D">
      <w:pPr>
        <w:pStyle w:val="Heading3"/>
      </w:pPr>
      <w:r w:rsidRPr="003E29E0">
        <w:t>3.5.4 Missing data</w:t>
      </w:r>
    </w:p>
    <w:p w14:paraId="276F11BF" w14:textId="66D8F427" w:rsidR="003E29E0" w:rsidRPr="003E29E0" w:rsidRDefault="003E29E0" w:rsidP="003E29E0">
      <w:pPr>
        <w:rPr>
          <w:rFonts w:cstheme="minorHAnsi"/>
          <w:sz w:val="24"/>
          <w:szCs w:val="24"/>
        </w:rPr>
      </w:pPr>
      <w:r w:rsidRPr="003E29E0">
        <w:rPr>
          <w:rFonts w:cstheme="minorHAnsi"/>
          <w:sz w:val="24"/>
          <w:szCs w:val="24"/>
        </w:rPr>
        <w:t>There were no missing values in the outcome variable. The nurse staffing variables were not reported by two units during the first study month, for a total of 236 patient observations (0.17%). Among the unit and hospital variables, missing data included: unit case mix index (12,508, 9.08% of patient observations), unit RN experience (10,180, 7.39% of observations), and unit nurse certification (6848, 4.97% of patient observations). These missing values were imputed using the missing forest algorithm in the R statistical computing environment.</w:t>
      </w:r>
      <w:r w:rsidRPr="003E29E0">
        <w:rPr>
          <w:rFonts w:cstheme="minorHAnsi"/>
          <w:sz w:val="24"/>
          <w:szCs w:val="24"/>
          <w:vertAlign w:val="superscript"/>
        </w:rPr>
        <w:t>24-27</w:t>
      </w:r>
      <w:r w:rsidRPr="003E29E0">
        <w:rPr>
          <w:rFonts w:cstheme="minorHAnsi"/>
          <w:sz w:val="24"/>
          <w:szCs w:val="24"/>
        </w:rPr>
        <w:t> Among the patient characteristics, several categorical variables had values coded as “unknown” in the hospitals' EHR (see Table </w:t>
      </w:r>
      <w:r w:rsidRPr="003E29E0">
        <w:rPr>
          <w:rFonts w:cstheme="minorHAnsi"/>
          <w:b/>
          <w:bCs/>
          <w:sz w:val="24"/>
          <w:szCs w:val="24"/>
        </w:rPr>
        <w:t>2</w:t>
      </w:r>
      <w:r w:rsidRPr="003E29E0">
        <w:rPr>
          <w:rFonts w:cstheme="minorHAnsi"/>
          <w:sz w:val="24"/>
          <w:szCs w:val="24"/>
        </w:rPr>
        <w:t>); the unknown category was preserved in the analyses. No continuous patient variables had missing values.</w:t>
      </w:r>
    </w:p>
    <w:p w14:paraId="6B089451" w14:textId="77777777" w:rsidR="003E29E0" w:rsidRPr="003E29E0" w:rsidRDefault="003E29E0" w:rsidP="00E3498D">
      <w:pPr>
        <w:spacing w:after="0"/>
        <w:rPr>
          <w:rFonts w:cstheme="minorHAnsi"/>
          <w:sz w:val="24"/>
          <w:szCs w:val="24"/>
        </w:rPr>
      </w:pPr>
      <w:r w:rsidRPr="003E29E0">
        <w:rPr>
          <w:rFonts w:cstheme="minorHAnsi"/>
          <w:b/>
          <w:bCs/>
          <w:sz w:val="24"/>
          <w:szCs w:val="24"/>
        </w:rPr>
        <w:t>TABLE 2. </w:t>
      </w:r>
      <w:r w:rsidRPr="003E29E0">
        <w:rPr>
          <w:rFonts w:cstheme="minorHAnsi"/>
          <w:sz w:val="24"/>
          <w:szCs w:val="24"/>
        </w:rPr>
        <w:t>Predictive accuracy of the model in the learning sample (</w:t>
      </w:r>
      <w:r w:rsidRPr="003E29E0">
        <w:rPr>
          <w:rFonts w:cstheme="minorHAnsi"/>
          <w:i/>
          <w:iCs/>
          <w:sz w:val="24"/>
          <w:szCs w:val="24"/>
        </w:rPr>
        <w:t>n</w:t>
      </w:r>
      <w:r w:rsidRPr="003E29E0">
        <w:rPr>
          <w:rFonts w:cstheme="minorHAnsi"/>
          <w:sz w:val="24"/>
          <w:szCs w:val="24"/>
        </w:rPr>
        <w:t> = 96,444) and the test sample (</w:t>
      </w:r>
      <w:r w:rsidRPr="003E29E0">
        <w:rPr>
          <w:rFonts w:cstheme="minorHAnsi"/>
          <w:i/>
          <w:iCs/>
          <w:sz w:val="24"/>
          <w:szCs w:val="24"/>
        </w:rPr>
        <w:t>n</w:t>
      </w:r>
      <w:r w:rsidRPr="003E29E0">
        <w:rPr>
          <w:rFonts w:cstheme="minorHAnsi"/>
          <w:sz w:val="24"/>
          <w:szCs w:val="24"/>
        </w:rPr>
        <w:t> = 41,334)</w:t>
      </w:r>
    </w:p>
    <w:tbl>
      <w:tblPr>
        <w:tblStyle w:val="TableGrid"/>
        <w:tblW w:w="0" w:type="auto"/>
        <w:tblLook w:val="04A0" w:firstRow="1" w:lastRow="0" w:firstColumn="1" w:lastColumn="0" w:noHBand="0" w:noVBand="1"/>
      </w:tblPr>
      <w:tblGrid>
        <w:gridCol w:w="5207"/>
        <w:gridCol w:w="1845"/>
        <w:gridCol w:w="1407"/>
      </w:tblGrid>
      <w:tr w:rsidR="00E3498D" w:rsidRPr="003E29E0" w14:paraId="0FA2B2E7" w14:textId="77777777" w:rsidTr="00E3498D">
        <w:tc>
          <w:tcPr>
            <w:tcW w:w="0" w:type="auto"/>
            <w:hideMark/>
          </w:tcPr>
          <w:p w14:paraId="432ECFA7" w14:textId="77777777" w:rsidR="003E29E0" w:rsidRPr="003E29E0" w:rsidRDefault="003E29E0" w:rsidP="00E3498D">
            <w:pPr>
              <w:spacing w:line="259" w:lineRule="auto"/>
              <w:rPr>
                <w:rFonts w:cstheme="minorHAnsi"/>
                <w:sz w:val="24"/>
                <w:szCs w:val="24"/>
              </w:rPr>
            </w:pPr>
          </w:p>
        </w:tc>
        <w:tc>
          <w:tcPr>
            <w:tcW w:w="0" w:type="auto"/>
            <w:hideMark/>
          </w:tcPr>
          <w:p w14:paraId="75E1069E" w14:textId="77777777" w:rsidR="003E29E0" w:rsidRPr="003E29E0" w:rsidRDefault="003E29E0" w:rsidP="00E3498D">
            <w:pPr>
              <w:spacing w:line="259" w:lineRule="auto"/>
              <w:rPr>
                <w:rFonts w:cstheme="minorHAnsi"/>
                <w:b/>
                <w:bCs/>
                <w:sz w:val="24"/>
                <w:szCs w:val="24"/>
              </w:rPr>
            </w:pPr>
            <w:r w:rsidRPr="003E29E0">
              <w:rPr>
                <w:rFonts w:cstheme="minorHAnsi"/>
                <w:b/>
                <w:bCs/>
                <w:sz w:val="24"/>
                <w:szCs w:val="24"/>
              </w:rPr>
              <w:t>Learning sample</w:t>
            </w:r>
          </w:p>
        </w:tc>
        <w:tc>
          <w:tcPr>
            <w:tcW w:w="0" w:type="auto"/>
            <w:hideMark/>
          </w:tcPr>
          <w:p w14:paraId="54C7CA24" w14:textId="77777777" w:rsidR="003E29E0" w:rsidRPr="003E29E0" w:rsidRDefault="003E29E0" w:rsidP="00E3498D">
            <w:pPr>
              <w:spacing w:line="259" w:lineRule="auto"/>
              <w:rPr>
                <w:rFonts w:cstheme="minorHAnsi"/>
                <w:b/>
                <w:bCs/>
                <w:sz w:val="24"/>
                <w:szCs w:val="24"/>
              </w:rPr>
            </w:pPr>
            <w:r w:rsidRPr="003E29E0">
              <w:rPr>
                <w:rFonts w:cstheme="minorHAnsi"/>
                <w:b/>
                <w:bCs/>
                <w:sz w:val="24"/>
                <w:szCs w:val="24"/>
              </w:rPr>
              <w:t>Test sample</w:t>
            </w:r>
          </w:p>
        </w:tc>
      </w:tr>
      <w:tr w:rsidR="003E29E0" w:rsidRPr="003E29E0" w14:paraId="248503FC" w14:textId="77777777" w:rsidTr="00E3498D">
        <w:tc>
          <w:tcPr>
            <w:tcW w:w="0" w:type="auto"/>
            <w:hideMark/>
          </w:tcPr>
          <w:p w14:paraId="6FB60A01" w14:textId="77777777" w:rsidR="003E29E0" w:rsidRPr="003E29E0" w:rsidRDefault="003E29E0" w:rsidP="00E3498D">
            <w:pPr>
              <w:spacing w:line="259" w:lineRule="auto"/>
              <w:rPr>
                <w:rFonts w:cstheme="minorHAnsi"/>
                <w:sz w:val="24"/>
                <w:szCs w:val="24"/>
              </w:rPr>
            </w:pPr>
            <w:r w:rsidRPr="003E29E0">
              <w:rPr>
                <w:rFonts w:cstheme="minorHAnsi"/>
                <w:sz w:val="24"/>
                <w:szCs w:val="24"/>
              </w:rPr>
              <w:t>Kappa</w:t>
            </w:r>
          </w:p>
        </w:tc>
        <w:tc>
          <w:tcPr>
            <w:tcW w:w="0" w:type="auto"/>
            <w:hideMark/>
          </w:tcPr>
          <w:p w14:paraId="35AAAA25" w14:textId="77777777" w:rsidR="003E29E0" w:rsidRPr="003E29E0" w:rsidRDefault="003E29E0" w:rsidP="00E3498D">
            <w:pPr>
              <w:spacing w:line="259" w:lineRule="auto"/>
              <w:rPr>
                <w:rFonts w:cstheme="minorHAnsi"/>
                <w:sz w:val="24"/>
                <w:szCs w:val="24"/>
              </w:rPr>
            </w:pPr>
            <w:r w:rsidRPr="003E29E0">
              <w:rPr>
                <w:rFonts w:cstheme="minorHAnsi"/>
                <w:sz w:val="24"/>
                <w:szCs w:val="24"/>
              </w:rPr>
              <w:t>0.23</w:t>
            </w:r>
          </w:p>
        </w:tc>
        <w:tc>
          <w:tcPr>
            <w:tcW w:w="0" w:type="auto"/>
            <w:hideMark/>
          </w:tcPr>
          <w:p w14:paraId="6F4E28ED" w14:textId="77777777" w:rsidR="003E29E0" w:rsidRPr="003E29E0" w:rsidRDefault="003E29E0" w:rsidP="00E3498D">
            <w:pPr>
              <w:spacing w:line="259" w:lineRule="auto"/>
              <w:rPr>
                <w:rFonts w:cstheme="minorHAnsi"/>
                <w:sz w:val="24"/>
                <w:szCs w:val="24"/>
              </w:rPr>
            </w:pPr>
            <w:r w:rsidRPr="003E29E0">
              <w:rPr>
                <w:rFonts w:cstheme="minorHAnsi"/>
                <w:sz w:val="24"/>
                <w:szCs w:val="24"/>
              </w:rPr>
              <w:t>0.13</w:t>
            </w:r>
          </w:p>
        </w:tc>
      </w:tr>
      <w:tr w:rsidR="003E29E0" w:rsidRPr="003E29E0" w14:paraId="0148F29B" w14:textId="77777777" w:rsidTr="00E3498D">
        <w:tc>
          <w:tcPr>
            <w:tcW w:w="0" w:type="auto"/>
            <w:hideMark/>
          </w:tcPr>
          <w:p w14:paraId="1DF6A601" w14:textId="77777777" w:rsidR="003E29E0" w:rsidRPr="003E29E0" w:rsidRDefault="003E29E0" w:rsidP="00E3498D">
            <w:pPr>
              <w:spacing w:line="259" w:lineRule="auto"/>
              <w:rPr>
                <w:rFonts w:cstheme="minorHAnsi"/>
                <w:sz w:val="24"/>
                <w:szCs w:val="24"/>
              </w:rPr>
            </w:pPr>
            <w:r w:rsidRPr="003E29E0">
              <w:rPr>
                <w:rFonts w:cstheme="minorHAnsi"/>
                <w:sz w:val="24"/>
                <w:szCs w:val="24"/>
              </w:rPr>
              <w:t>Specificity</w:t>
            </w:r>
          </w:p>
        </w:tc>
        <w:tc>
          <w:tcPr>
            <w:tcW w:w="0" w:type="auto"/>
            <w:hideMark/>
          </w:tcPr>
          <w:p w14:paraId="1A4B2478" w14:textId="77777777" w:rsidR="003E29E0" w:rsidRPr="003E29E0" w:rsidRDefault="003E29E0" w:rsidP="00E3498D">
            <w:pPr>
              <w:spacing w:line="259" w:lineRule="auto"/>
              <w:rPr>
                <w:rFonts w:cstheme="minorHAnsi"/>
                <w:sz w:val="24"/>
                <w:szCs w:val="24"/>
              </w:rPr>
            </w:pPr>
            <w:r w:rsidRPr="003E29E0">
              <w:rPr>
                <w:rFonts w:cstheme="minorHAnsi"/>
                <w:sz w:val="24"/>
                <w:szCs w:val="24"/>
              </w:rPr>
              <w:t>1.00</w:t>
            </w:r>
          </w:p>
        </w:tc>
        <w:tc>
          <w:tcPr>
            <w:tcW w:w="0" w:type="auto"/>
            <w:hideMark/>
          </w:tcPr>
          <w:p w14:paraId="4FC2DA99" w14:textId="77777777" w:rsidR="003E29E0" w:rsidRPr="003E29E0" w:rsidRDefault="003E29E0" w:rsidP="00E3498D">
            <w:pPr>
              <w:spacing w:line="259" w:lineRule="auto"/>
              <w:rPr>
                <w:rFonts w:cstheme="minorHAnsi"/>
                <w:sz w:val="24"/>
                <w:szCs w:val="24"/>
              </w:rPr>
            </w:pPr>
            <w:r w:rsidRPr="003E29E0">
              <w:rPr>
                <w:rFonts w:cstheme="minorHAnsi"/>
                <w:sz w:val="24"/>
                <w:szCs w:val="24"/>
              </w:rPr>
              <w:t>0.99</w:t>
            </w:r>
          </w:p>
        </w:tc>
      </w:tr>
      <w:tr w:rsidR="003E29E0" w:rsidRPr="003E29E0" w14:paraId="334DA181" w14:textId="77777777" w:rsidTr="00E3498D">
        <w:tc>
          <w:tcPr>
            <w:tcW w:w="0" w:type="auto"/>
            <w:hideMark/>
          </w:tcPr>
          <w:p w14:paraId="668FE1AC" w14:textId="77777777" w:rsidR="003E29E0" w:rsidRPr="003E29E0" w:rsidRDefault="003E29E0" w:rsidP="00E3498D">
            <w:pPr>
              <w:spacing w:line="259" w:lineRule="auto"/>
              <w:rPr>
                <w:rFonts w:cstheme="minorHAnsi"/>
                <w:sz w:val="24"/>
                <w:szCs w:val="24"/>
              </w:rPr>
            </w:pPr>
            <w:r w:rsidRPr="003E29E0">
              <w:rPr>
                <w:rFonts w:cstheme="minorHAnsi"/>
                <w:sz w:val="24"/>
                <w:szCs w:val="24"/>
              </w:rPr>
              <w:t>Sensitivity</w:t>
            </w:r>
          </w:p>
        </w:tc>
        <w:tc>
          <w:tcPr>
            <w:tcW w:w="0" w:type="auto"/>
            <w:hideMark/>
          </w:tcPr>
          <w:p w14:paraId="38D17A9F" w14:textId="77777777" w:rsidR="003E29E0" w:rsidRPr="003E29E0" w:rsidRDefault="003E29E0" w:rsidP="00E3498D">
            <w:pPr>
              <w:spacing w:line="259" w:lineRule="auto"/>
              <w:rPr>
                <w:rFonts w:cstheme="minorHAnsi"/>
                <w:sz w:val="24"/>
                <w:szCs w:val="24"/>
              </w:rPr>
            </w:pPr>
            <w:r w:rsidRPr="003E29E0">
              <w:rPr>
                <w:rFonts w:cstheme="minorHAnsi"/>
                <w:sz w:val="24"/>
                <w:szCs w:val="24"/>
              </w:rPr>
              <w:t>0.15</w:t>
            </w:r>
          </w:p>
        </w:tc>
        <w:tc>
          <w:tcPr>
            <w:tcW w:w="0" w:type="auto"/>
            <w:hideMark/>
          </w:tcPr>
          <w:p w14:paraId="575A03B8" w14:textId="77777777" w:rsidR="003E29E0" w:rsidRPr="003E29E0" w:rsidRDefault="003E29E0" w:rsidP="00E3498D">
            <w:pPr>
              <w:spacing w:line="259" w:lineRule="auto"/>
              <w:rPr>
                <w:rFonts w:cstheme="minorHAnsi"/>
                <w:sz w:val="24"/>
                <w:szCs w:val="24"/>
              </w:rPr>
            </w:pPr>
            <w:r w:rsidRPr="003E29E0">
              <w:rPr>
                <w:rFonts w:cstheme="minorHAnsi"/>
                <w:sz w:val="24"/>
                <w:szCs w:val="24"/>
              </w:rPr>
              <w:t>0.08</w:t>
            </w:r>
          </w:p>
        </w:tc>
      </w:tr>
      <w:tr w:rsidR="003E29E0" w:rsidRPr="003E29E0" w14:paraId="36070E94" w14:textId="77777777" w:rsidTr="00E3498D">
        <w:tc>
          <w:tcPr>
            <w:tcW w:w="0" w:type="auto"/>
            <w:hideMark/>
          </w:tcPr>
          <w:p w14:paraId="4439AEC6" w14:textId="77777777" w:rsidR="003E29E0" w:rsidRPr="003E29E0" w:rsidRDefault="003E29E0" w:rsidP="00E3498D">
            <w:pPr>
              <w:spacing w:line="259" w:lineRule="auto"/>
              <w:rPr>
                <w:rFonts w:cstheme="minorHAnsi"/>
                <w:sz w:val="24"/>
                <w:szCs w:val="24"/>
              </w:rPr>
            </w:pPr>
            <w:r w:rsidRPr="003E29E0">
              <w:rPr>
                <w:rFonts w:cstheme="minorHAnsi"/>
                <w:sz w:val="24"/>
                <w:szCs w:val="24"/>
              </w:rPr>
              <w:t>Positive predictive value</w:t>
            </w:r>
          </w:p>
        </w:tc>
        <w:tc>
          <w:tcPr>
            <w:tcW w:w="0" w:type="auto"/>
            <w:hideMark/>
          </w:tcPr>
          <w:p w14:paraId="73F2C4C2" w14:textId="77777777" w:rsidR="003E29E0" w:rsidRPr="003E29E0" w:rsidRDefault="003E29E0" w:rsidP="00E3498D">
            <w:pPr>
              <w:spacing w:line="259" w:lineRule="auto"/>
              <w:rPr>
                <w:rFonts w:cstheme="minorHAnsi"/>
                <w:sz w:val="24"/>
                <w:szCs w:val="24"/>
              </w:rPr>
            </w:pPr>
            <w:r w:rsidRPr="003E29E0">
              <w:rPr>
                <w:rFonts w:cstheme="minorHAnsi"/>
                <w:sz w:val="24"/>
                <w:szCs w:val="24"/>
              </w:rPr>
              <w:t>1.00</w:t>
            </w:r>
          </w:p>
        </w:tc>
        <w:tc>
          <w:tcPr>
            <w:tcW w:w="0" w:type="auto"/>
            <w:hideMark/>
          </w:tcPr>
          <w:p w14:paraId="437336B8" w14:textId="77777777" w:rsidR="003E29E0" w:rsidRPr="003E29E0" w:rsidRDefault="003E29E0" w:rsidP="00E3498D">
            <w:pPr>
              <w:spacing w:line="259" w:lineRule="auto"/>
              <w:rPr>
                <w:rFonts w:cstheme="minorHAnsi"/>
                <w:sz w:val="24"/>
                <w:szCs w:val="24"/>
              </w:rPr>
            </w:pPr>
            <w:r w:rsidRPr="003E29E0">
              <w:rPr>
                <w:rFonts w:cstheme="minorHAnsi"/>
                <w:sz w:val="24"/>
                <w:szCs w:val="24"/>
              </w:rPr>
              <w:t>0.86</w:t>
            </w:r>
          </w:p>
        </w:tc>
      </w:tr>
      <w:tr w:rsidR="003E29E0" w:rsidRPr="003E29E0" w14:paraId="7F6C2FC1" w14:textId="77777777" w:rsidTr="00E3498D">
        <w:tc>
          <w:tcPr>
            <w:tcW w:w="0" w:type="auto"/>
            <w:hideMark/>
          </w:tcPr>
          <w:p w14:paraId="47C72685" w14:textId="77777777" w:rsidR="003E29E0" w:rsidRPr="003E29E0" w:rsidRDefault="003E29E0" w:rsidP="00E3498D">
            <w:pPr>
              <w:spacing w:line="259" w:lineRule="auto"/>
              <w:rPr>
                <w:rFonts w:cstheme="minorHAnsi"/>
                <w:sz w:val="24"/>
                <w:szCs w:val="24"/>
              </w:rPr>
            </w:pPr>
            <w:r w:rsidRPr="003E29E0">
              <w:rPr>
                <w:rFonts w:cstheme="minorHAnsi"/>
                <w:sz w:val="24"/>
                <w:szCs w:val="24"/>
              </w:rPr>
              <w:t>Negative predictive value</w:t>
            </w:r>
          </w:p>
        </w:tc>
        <w:tc>
          <w:tcPr>
            <w:tcW w:w="0" w:type="auto"/>
            <w:hideMark/>
          </w:tcPr>
          <w:p w14:paraId="3E1DA597" w14:textId="77777777" w:rsidR="003E29E0" w:rsidRPr="003E29E0" w:rsidRDefault="003E29E0" w:rsidP="00E3498D">
            <w:pPr>
              <w:spacing w:line="259" w:lineRule="auto"/>
              <w:rPr>
                <w:rFonts w:cstheme="minorHAnsi"/>
                <w:sz w:val="24"/>
                <w:szCs w:val="24"/>
              </w:rPr>
            </w:pPr>
            <w:r w:rsidRPr="003E29E0">
              <w:rPr>
                <w:rFonts w:cstheme="minorHAnsi"/>
                <w:sz w:val="24"/>
                <w:szCs w:val="24"/>
              </w:rPr>
              <w:t>0.89</w:t>
            </w:r>
          </w:p>
        </w:tc>
        <w:tc>
          <w:tcPr>
            <w:tcW w:w="0" w:type="auto"/>
            <w:hideMark/>
          </w:tcPr>
          <w:p w14:paraId="12667391" w14:textId="77777777" w:rsidR="003E29E0" w:rsidRPr="003E29E0" w:rsidRDefault="003E29E0" w:rsidP="00E3498D">
            <w:pPr>
              <w:spacing w:line="259" w:lineRule="auto"/>
              <w:rPr>
                <w:rFonts w:cstheme="minorHAnsi"/>
                <w:sz w:val="24"/>
                <w:szCs w:val="24"/>
              </w:rPr>
            </w:pPr>
            <w:r w:rsidRPr="003E29E0">
              <w:rPr>
                <w:rFonts w:cstheme="minorHAnsi"/>
                <w:sz w:val="24"/>
                <w:szCs w:val="24"/>
              </w:rPr>
              <w:t>0.89</w:t>
            </w:r>
          </w:p>
        </w:tc>
      </w:tr>
      <w:tr w:rsidR="003E29E0" w:rsidRPr="003E29E0" w14:paraId="10C185A0" w14:textId="77777777" w:rsidTr="00E3498D">
        <w:tc>
          <w:tcPr>
            <w:tcW w:w="0" w:type="auto"/>
            <w:hideMark/>
          </w:tcPr>
          <w:p w14:paraId="7470F426" w14:textId="77777777" w:rsidR="003E29E0" w:rsidRPr="003E29E0" w:rsidRDefault="003E29E0" w:rsidP="00E3498D">
            <w:pPr>
              <w:spacing w:line="259" w:lineRule="auto"/>
              <w:rPr>
                <w:rFonts w:cstheme="minorHAnsi"/>
                <w:sz w:val="24"/>
                <w:szCs w:val="24"/>
              </w:rPr>
            </w:pPr>
            <w:r w:rsidRPr="003E29E0">
              <w:rPr>
                <w:rFonts w:cstheme="minorHAnsi"/>
                <w:sz w:val="24"/>
                <w:szCs w:val="24"/>
              </w:rPr>
              <w:t>Area under receiver operating characteristics curve</w:t>
            </w:r>
          </w:p>
        </w:tc>
        <w:tc>
          <w:tcPr>
            <w:tcW w:w="0" w:type="auto"/>
            <w:hideMark/>
          </w:tcPr>
          <w:p w14:paraId="2C534B85" w14:textId="77777777" w:rsidR="003E29E0" w:rsidRPr="003E29E0" w:rsidRDefault="003E29E0" w:rsidP="00E3498D">
            <w:pPr>
              <w:spacing w:line="259" w:lineRule="auto"/>
              <w:rPr>
                <w:rFonts w:cstheme="minorHAnsi"/>
                <w:sz w:val="24"/>
                <w:szCs w:val="24"/>
              </w:rPr>
            </w:pPr>
            <w:r w:rsidRPr="003E29E0">
              <w:rPr>
                <w:rFonts w:cstheme="minorHAnsi"/>
                <w:sz w:val="24"/>
                <w:szCs w:val="24"/>
              </w:rPr>
              <w:t>0.99</w:t>
            </w:r>
          </w:p>
        </w:tc>
        <w:tc>
          <w:tcPr>
            <w:tcW w:w="0" w:type="auto"/>
            <w:hideMark/>
          </w:tcPr>
          <w:p w14:paraId="1284EE95" w14:textId="77777777" w:rsidR="003E29E0" w:rsidRPr="003E29E0" w:rsidRDefault="003E29E0" w:rsidP="00E3498D">
            <w:pPr>
              <w:spacing w:line="259" w:lineRule="auto"/>
              <w:rPr>
                <w:rFonts w:cstheme="minorHAnsi"/>
                <w:sz w:val="24"/>
                <w:szCs w:val="24"/>
              </w:rPr>
            </w:pPr>
            <w:r w:rsidRPr="003E29E0">
              <w:rPr>
                <w:rFonts w:cstheme="minorHAnsi"/>
                <w:sz w:val="24"/>
                <w:szCs w:val="24"/>
              </w:rPr>
              <w:t>0.71</w:t>
            </w:r>
          </w:p>
        </w:tc>
      </w:tr>
    </w:tbl>
    <w:p w14:paraId="6B300724" w14:textId="77777777" w:rsidR="003E29E0" w:rsidRPr="003E29E0" w:rsidRDefault="003E29E0" w:rsidP="00E3498D">
      <w:pPr>
        <w:pStyle w:val="Heading1"/>
      </w:pPr>
      <w:r w:rsidRPr="003E29E0">
        <w:t>4 RESULTS</w:t>
      </w:r>
    </w:p>
    <w:p w14:paraId="2C8EDCE0" w14:textId="77777777" w:rsidR="003E29E0" w:rsidRPr="003E29E0" w:rsidRDefault="003E29E0" w:rsidP="00E3498D">
      <w:pPr>
        <w:pStyle w:val="Heading2"/>
      </w:pPr>
      <w:r w:rsidRPr="003E29E0">
        <w:t>Model selection and performance</w:t>
      </w:r>
    </w:p>
    <w:p w14:paraId="7FBC4D52" w14:textId="557F6DE6" w:rsidR="003E29E0" w:rsidRPr="003E29E0" w:rsidRDefault="003E29E0" w:rsidP="003E29E0">
      <w:pPr>
        <w:rPr>
          <w:rFonts w:cstheme="minorHAnsi"/>
          <w:sz w:val="24"/>
          <w:szCs w:val="24"/>
        </w:rPr>
      </w:pPr>
      <w:r w:rsidRPr="003E29E0">
        <w:rPr>
          <w:rFonts w:cstheme="minorHAnsi"/>
          <w:sz w:val="24"/>
          <w:szCs w:val="24"/>
        </w:rPr>
        <w:t>From the full set of 141 variables in the READI data, ML selected a subset of 60, including the three nurse staffing variables (</w:t>
      </w:r>
      <w:r w:rsidRPr="003E29E0">
        <w:rPr>
          <w:rFonts w:cstheme="minorHAnsi"/>
          <w:b/>
          <w:bCs/>
          <w:sz w:val="24"/>
          <w:szCs w:val="24"/>
        </w:rPr>
        <w:t>Supplemental File: Figure A</w:t>
      </w:r>
      <w:r w:rsidRPr="003E29E0">
        <w:rPr>
          <w:rFonts w:cstheme="minorHAnsi"/>
          <w:sz w:val="24"/>
          <w:szCs w:val="24"/>
        </w:rPr>
        <w:t>). The predictive accuracy of the final model was </w:t>
      </w:r>
      <w:r w:rsidRPr="003E29E0">
        <w:rPr>
          <w:rFonts w:cstheme="minorHAnsi"/>
          <w:i/>
          <w:iCs/>
          <w:sz w:val="24"/>
          <w:szCs w:val="24"/>
        </w:rPr>
        <w:t>κ</w:t>
      </w:r>
      <w:r w:rsidRPr="003E29E0">
        <w:rPr>
          <w:rFonts w:cstheme="minorHAnsi"/>
          <w:sz w:val="24"/>
          <w:szCs w:val="24"/>
        </w:rPr>
        <w:t> = 0.24 and AUC = 0.99 in the learning sample and </w:t>
      </w:r>
      <w:r w:rsidRPr="003E29E0">
        <w:rPr>
          <w:rFonts w:cstheme="minorHAnsi"/>
          <w:i/>
          <w:iCs/>
          <w:sz w:val="24"/>
          <w:szCs w:val="24"/>
        </w:rPr>
        <w:t>κ</w:t>
      </w:r>
      <w:r w:rsidRPr="003E29E0">
        <w:rPr>
          <w:rFonts w:cstheme="minorHAnsi"/>
          <w:sz w:val="24"/>
          <w:szCs w:val="24"/>
        </w:rPr>
        <w:t> = 0.13 and AUC = 0.71 in the testing sample. (Table </w:t>
      </w:r>
      <w:r w:rsidRPr="003E29E0">
        <w:rPr>
          <w:rFonts w:cstheme="minorHAnsi"/>
          <w:b/>
          <w:bCs/>
          <w:sz w:val="24"/>
          <w:szCs w:val="24"/>
        </w:rPr>
        <w:t>2</w:t>
      </w:r>
      <w:r w:rsidRPr="003E29E0">
        <w:rPr>
          <w:rFonts w:cstheme="minorHAnsi"/>
          <w:sz w:val="24"/>
          <w:szCs w:val="24"/>
        </w:rPr>
        <w:t>).</w:t>
      </w:r>
    </w:p>
    <w:p w14:paraId="75EF3BB8" w14:textId="230EA092" w:rsidR="003E29E0" w:rsidRPr="003E29E0" w:rsidRDefault="003E29E0" w:rsidP="003E29E0">
      <w:pPr>
        <w:rPr>
          <w:rFonts w:cstheme="minorHAnsi"/>
          <w:sz w:val="24"/>
          <w:szCs w:val="24"/>
        </w:rPr>
      </w:pPr>
      <w:r w:rsidRPr="003E29E0">
        <w:rPr>
          <w:rFonts w:cstheme="minorHAnsi"/>
          <w:sz w:val="24"/>
          <w:szCs w:val="24"/>
        </w:rPr>
        <w:t>In variable importance analysis, patient characteristics as a group were most important in predicting readmissions (joint Δ</w:t>
      </w:r>
      <w:r w:rsidRPr="003E29E0">
        <w:rPr>
          <w:rFonts w:cstheme="minorHAnsi"/>
          <w:i/>
          <w:iCs/>
          <w:sz w:val="24"/>
          <w:szCs w:val="24"/>
        </w:rPr>
        <w:t>κ</w:t>
      </w:r>
      <w:r w:rsidRPr="003E29E0">
        <w:rPr>
          <w:rFonts w:cstheme="minorHAnsi"/>
          <w:sz w:val="24"/>
          <w:szCs w:val="24"/>
        </w:rPr>
        <w:t> = 0.23). The three nurse staffing variables as a group (joint Δ</w:t>
      </w:r>
      <w:r w:rsidRPr="003E29E0">
        <w:rPr>
          <w:rFonts w:cstheme="minorHAnsi"/>
          <w:i/>
          <w:iCs/>
          <w:sz w:val="24"/>
          <w:szCs w:val="24"/>
        </w:rPr>
        <w:t>κ</w:t>
      </w:r>
      <w:r w:rsidRPr="003E29E0">
        <w:rPr>
          <w:rFonts w:cstheme="minorHAnsi"/>
          <w:sz w:val="24"/>
          <w:szCs w:val="24"/>
        </w:rPr>
        <w:t> = 0.04) were more important for predicting readmissions than other unit-specific structure variables but less important than hospital characteristics (joint Δ</w:t>
      </w:r>
      <w:r w:rsidRPr="003E29E0">
        <w:rPr>
          <w:rFonts w:cstheme="minorHAnsi"/>
          <w:i/>
          <w:iCs/>
          <w:sz w:val="24"/>
          <w:szCs w:val="24"/>
        </w:rPr>
        <w:t>κ</w:t>
      </w:r>
      <w:r w:rsidRPr="003E29E0">
        <w:rPr>
          <w:rFonts w:cstheme="minorHAnsi"/>
          <w:sz w:val="24"/>
          <w:szCs w:val="24"/>
        </w:rPr>
        <w:t> = 0.14). Individually, the nurse staffing variables ranked 15th (RN OT HPPD), 17th (RN non-OT HPPD), and 19th (non-RN HPPD) among the 60 variables in the model, and first, second, and seventh among the 32 labor, capital, and technology variables. Among the three READI study design features, unit assignment (intervention and control) and patient treatment status (per protocol and usual care) contributed very minimally to readmissions. (</w:t>
      </w:r>
      <w:r w:rsidRPr="003E29E0">
        <w:rPr>
          <w:rFonts w:cstheme="minorHAnsi"/>
          <w:b/>
          <w:bCs/>
          <w:sz w:val="24"/>
          <w:szCs w:val="24"/>
        </w:rPr>
        <w:t>Supplemental File: Figure A</w:t>
      </w:r>
      <w:r w:rsidRPr="003E29E0">
        <w:rPr>
          <w:rFonts w:cstheme="minorHAnsi"/>
          <w:sz w:val="24"/>
          <w:szCs w:val="24"/>
        </w:rPr>
        <w:t>).</w:t>
      </w:r>
    </w:p>
    <w:p w14:paraId="75D308A3" w14:textId="77777777" w:rsidR="003E29E0" w:rsidRPr="003E29E0" w:rsidRDefault="003E29E0" w:rsidP="00394307">
      <w:pPr>
        <w:pStyle w:val="Heading2"/>
      </w:pPr>
      <w:r w:rsidRPr="003E29E0">
        <w:t>Sample descriptive characteristics</w:t>
      </w:r>
    </w:p>
    <w:p w14:paraId="3BFF4CBA" w14:textId="2AF6CD55" w:rsidR="003E29E0" w:rsidRPr="003E29E0" w:rsidRDefault="003E29E0" w:rsidP="003E29E0">
      <w:pPr>
        <w:rPr>
          <w:rFonts w:cstheme="minorHAnsi"/>
          <w:sz w:val="24"/>
          <w:szCs w:val="24"/>
        </w:rPr>
      </w:pPr>
      <w:r w:rsidRPr="003E29E0">
        <w:rPr>
          <w:rFonts w:cstheme="minorHAnsi"/>
          <w:sz w:val="24"/>
          <w:szCs w:val="24"/>
        </w:rPr>
        <w:t>The readmission rate was 12.2%. Patient characteristics of the sample are presented in Table </w:t>
      </w:r>
      <w:r w:rsidRPr="003E29E0">
        <w:rPr>
          <w:rFonts w:cstheme="minorHAnsi"/>
          <w:b/>
          <w:bCs/>
          <w:sz w:val="24"/>
          <w:szCs w:val="24"/>
        </w:rPr>
        <w:t>3</w:t>
      </w:r>
      <w:r w:rsidRPr="003E29E0">
        <w:rPr>
          <w:rFonts w:cstheme="minorHAnsi"/>
          <w:sz w:val="24"/>
          <w:szCs w:val="24"/>
        </w:rPr>
        <w:t>; there were no significant differences between the learning and testing samples. The 62 study units were staffed with 10.3 h of nursing care per day (i.e., HPPD) including 6.77 RN non-OT HPPD, 0.20 RN OT HPPD, and 3.35 non-RN HPPD. The proportion of Bachelor of Science in Nursing (BSN)-prepared nurses was 68%, and the average nurse experience on the unit was 6 years. (Table </w:t>
      </w:r>
      <w:r w:rsidRPr="003E29E0">
        <w:rPr>
          <w:rFonts w:cstheme="minorHAnsi"/>
          <w:b/>
          <w:bCs/>
          <w:sz w:val="24"/>
          <w:szCs w:val="24"/>
        </w:rPr>
        <w:t>4</w:t>
      </w:r>
      <w:r w:rsidRPr="003E29E0">
        <w:rPr>
          <w:rFonts w:cstheme="minorHAnsi"/>
          <w:sz w:val="24"/>
          <w:szCs w:val="24"/>
        </w:rPr>
        <w:t>).</w:t>
      </w:r>
    </w:p>
    <w:p w14:paraId="4C2F4A9F" w14:textId="4ECBBDBE" w:rsidR="003E29E0" w:rsidRPr="003E29E0" w:rsidRDefault="003E29E0" w:rsidP="00394307">
      <w:pPr>
        <w:spacing w:after="0"/>
        <w:rPr>
          <w:rFonts w:cstheme="minorHAnsi"/>
          <w:sz w:val="24"/>
          <w:szCs w:val="24"/>
        </w:rPr>
      </w:pPr>
      <w:r w:rsidRPr="003E29E0">
        <w:rPr>
          <w:rFonts w:cstheme="minorHAnsi"/>
          <w:b/>
          <w:bCs/>
          <w:sz w:val="24"/>
          <w:szCs w:val="24"/>
        </w:rPr>
        <w:t>TABLE 3. </w:t>
      </w:r>
      <w:r w:rsidRPr="003E29E0">
        <w:rPr>
          <w:rFonts w:cstheme="minorHAnsi"/>
          <w:sz w:val="24"/>
          <w:szCs w:val="24"/>
        </w:rPr>
        <w:t>Select</w:t>
      </w:r>
      <w:r w:rsidRPr="003E29E0">
        <w:rPr>
          <w:rFonts w:cstheme="minorHAnsi"/>
          <w:i/>
          <w:iCs/>
          <w:sz w:val="24"/>
          <w:szCs w:val="24"/>
          <w:vertAlign w:val="superscript"/>
        </w:rPr>
        <w:t>a</w:t>
      </w:r>
      <w:r w:rsidRPr="003E29E0">
        <w:rPr>
          <w:rFonts w:cstheme="minorHAnsi"/>
          <w:sz w:val="24"/>
          <w:szCs w:val="24"/>
        </w:rPr>
        <w:t> descriptive characteristics of patients in the learning sample (</w:t>
      </w:r>
      <w:r w:rsidRPr="003E29E0">
        <w:rPr>
          <w:rFonts w:cstheme="minorHAnsi"/>
          <w:i/>
          <w:iCs/>
          <w:sz w:val="24"/>
          <w:szCs w:val="24"/>
        </w:rPr>
        <w:t>n</w:t>
      </w:r>
      <w:r w:rsidRPr="003E29E0">
        <w:rPr>
          <w:rFonts w:cstheme="minorHAnsi"/>
          <w:sz w:val="24"/>
          <w:szCs w:val="24"/>
        </w:rPr>
        <w:t> = 96,444) and test sample (</w:t>
      </w:r>
      <w:r w:rsidRPr="003E29E0">
        <w:rPr>
          <w:rFonts w:cstheme="minorHAnsi"/>
          <w:i/>
          <w:iCs/>
          <w:sz w:val="24"/>
          <w:szCs w:val="24"/>
        </w:rPr>
        <w:t>n</w:t>
      </w:r>
      <w:r w:rsidRPr="003E29E0">
        <w:rPr>
          <w:rFonts w:cstheme="minorHAnsi"/>
          <w:sz w:val="24"/>
          <w:szCs w:val="24"/>
        </w:rPr>
        <w:t> = 41,334)</w:t>
      </w:r>
    </w:p>
    <w:tbl>
      <w:tblPr>
        <w:tblStyle w:val="TableGrid"/>
        <w:tblW w:w="0" w:type="auto"/>
        <w:tblLook w:val="04A0" w:firstRow="1" w:lastRow="0" w:firstColumn="1" w:lastColumn="0" w:noHBand="0" w:noVBand="1"/>
      </w:tblPr>
      <w:tblGrid>
        <w:gridCol w:w="4581"/>
        <w:gridCol w:w="2091"/>
        <w:gridCol w:w="2091"/>
      </w:tblGrid>
      <w:tr w:rsidR="00394307" w:rsidRPr="003E29E0" w14:paraId="5D7D2349" w14:textId="77777777" w:rsidTr="00394307">
        <w:tc>
          <w:tcPr>
            <w:tcW w:w="0" w:type="auto"/>
            <w:hideMark/>
          </w:tcPr>
          <w:p w14:paraId="4D4E8170" w14:textId="77777777" w:rsidR="003E29E0" w:rsidRPr="003E29E0" w:rsidRDefault="003E29E0" w:rsidP="00394307">
            <w:pPr>
              <w:spacing w:line="259" w:lineRule="auto"/>
              <w:rPr>
                <w:rFonts w:cstheme="minorHAnsi"/>
                <w:b/>
                <w:bCs/>
                <w:sz w:val="24"/>
                <w:szCs w:val="24"/>
              </w:rPr>
            </w:pPr>
            <w:r w:rsidRPr="003E29E0">
              <w:rPr>
                <w:rFonts w:cstheme="minorHAnsi"/>
                <w:b/>
                <w:bCs/>
                <w:sz w:val="24"/>
                <w:szCs w:val="24"/>
              </w:rPr>
              <w:t>Characteristic</w:t>
            </w:r>
          </w:p>
        </w:tc>
        <w:tc>
          <w:tcPr>
            <w:tcW w:w="0" w:type="auto"/>
            <w:hideMark/>
          </w:tcPr>
          <w:p w14:paraId="57C8910F" w14:textId="77777777" w:rsidR="003E29E0" w:rsidRPr="003E29E0" w:rsidRDefault="003E29E0" w:rsidP="00394307">
            <w:pPr>
              <w:spacing w:line="259" w:lineRule="auto"/>
              <w:rPr>
                <w:rFonts w:cstheme="minorHAnsi"/>
                <w:b/>
                <w:bCs/>
                <w:sz w:val="24"/>
                <w:szCs w:val="24"/>
              </w:rPr>
            </w:pPr>
            <w:r w:rsidRPr="003E29E0">
              <w:rPr>
                <w:rFonts w:cstheme="minorHAnsi"/>
                <w:b/>
                <w:bCs/>
                <w:sz w:val="24"/>
                <w:szCs w:val="24"/>
              </w:rPr>
              <w:t>Learning sample</w:t>
            </w:r>
          </w:p>
        </w:tc>
        <w:tc>
          <w:tcPr>
            <w:tcW w:w="0" w:type="auto"/>
            <w:hideMark/>
          </w:tcPr>
          <w:p w14:paraId="4471D174" w14:textId="77777777" w:rsidR="003E29E0" w:rsidRPr="003E29E0" w:rsidRDefault="003E29E0" w:rsidP="00394307">
            <w:pPr>
              <w:spacing w:line="259" w:lineRule="auto"/>
              <w:rPr>
                <w:rFonts w:cstheme="minorHAnsi"/>
                <w:b/>
                <w:bCs/>
                <w:sz w:val="24"/>
                <w:szCs w:val="24"/>
              </w:rPr>
            </w:pPr>
            <w:r w:rsidRPr="003E29E0">
              <w:rPr>
                <w:rFonts w:cstheme="minorHAnsi"/>
                <w:b/>
                <w:bCs/>
                <w:sz w:val="24"/>
                <w:szCs w:val="24"/>
              </w:rPr>
              <w:t>Test sample</w:t>
            </w:r>
          </w:p>
        </w:tc>
      </w:tr>
      <w:tr w:rsidR="00394307" w:rsidRPr="003E29E0" w14:paraId="7C1FD092" w14:textId="77777777" w:rsidTr="00394307">
        <w:tc>
          <w:tcPr>
            <w:tcW w:w="0" w:type="auto"/>
            <w:hideMark/>
          </w:tcPr>
          <w:p w14:paraId="24BF80B0" w14:textId="77777777" w:rsidR="003E29E0" w:rsidRPr="003E29E0" w:rsidRDefault="003E29E0" w:rsidP="00394307">
            <w:pPr>
              <w:spacing w:line="259" w:lineRule="auto"/>
              <w:rPr>
                <w:rFonts w:cstheme="minorHAnsi"/>
                <w:b/>
                <w:bCs/>
                <w:sz w:val="24"/>
                <w:szCs w:val="24"/>
              </w:rPr>
            </w:pPr>
          </w:p>
        </w:tc>
        <w:tc>
          <w:tcPr>
            <w:tcW w:w="0" w:type="auto"/>
            <w:hideMark/>
          </w:tcPr>
          <w:p w14:paraId="61B89942" w14:textId="77777777" w:rsidR="003E29E0" w:rsidRPr="003E29E0" w:rsidRDefault="003E29E0" w:rsidP="00394307">
            <w:pPr>
              <w:spacing w:line="259" w:lineRule="auto"/>
              <w:rPr>
                <w:rFonts w:cstheme="minorHAnsi"/>
                <w:b/>
                <w:bCs/>
                <w:sz w:val="24"/>
                <w:szCs w:val="24"/>
              </w:rPr>
            </w:pPr>
            <w:r w:rsidRPr="003E29E0">
              <w:rPr>
                <w:rFonts w:cstheme="minorHAnsi"/>
                <w:b/>
                <w:bCs/>
                <w:i/>
                <w:iCs/>
                <w:sz w:val="24"/>
                <w:szCs w:val="24"/>
              </w:rPr>
              <w:t>n</w:t>
            </w:r>
            <w:r w:rsidRPr="003E29E0">
              <w:rPr>
                <w:rFonts w:cstheme="minorHAnsi"/>
                <w:b/>
                <w:bCs/>
                <w:sz w:val="24"/>
                <w:szCs w:val="24"/>
              </w:rPr>
              <w:t> (%) or Mean (SD)</w:t>
            </w:r>
          </w:p>
        </w:tc>
        <w:tc>
          <w:tcPr>
            <w:tcW w:w="0" w:type="auto"/>
            <w:hideMark/>
          </w:tcPr>
          <w:p w14:paraId="01DC5119" w14:textId="77777777" w:rsidR="003E29E0" w:rsidRPr="003E29E0" w:rsidRDefault="003E29E0" w:rsidP="00394307">
            <w:pPr>
              <w:spacing w:line="259" w:lineRule="auto"/>
              <w:rPr>
                <w:rFonts w:cstheme="minorHAnsi"/>
                <w:b/>
                <w:bCs/>
                <w:sz w:val="24"/>
                <w:szCs w:val="24"/>
              </w:rPr>
            </w:pPr>
            <w:r w:rsidRPr="003E29E0">
              <w:rPr>
                <w:rFonts w:cstheme="minorHAnsi"/>
                <w:b/>
                <w:bCs/>
                <w:i/>
                <w:iCs/>
                <w:sz w:val="24"/>
                <w:szCs w:val="24"/>
              </w:rPr>
              <w:t>n</w:t>
            </w:r>
            <w:r w:rsidRPr="003E29E0">
              <w:rPr>
                <w:rFonts w:cstheme="minorHAnsi"/>
                <w:b/>
                <w:bCs/>
                <w:sz w:val="24"/>
                <w:szCs w:val="24"/>
              </w:rPr>
              <w:t> (%) or Mean (SD)</w:t>
            </w:r>
          </w:p>
        </w:tc>
      </w:tr>
      <w:tr w:rsidR="00394307" w:rsidRPr="003E29E0" w14:paraId="42960419" w14:textId="77777777" w:rsidTr="00394307">
        <w:tc>
          <w:tcPr>
            <w:tcW w:w="0" w:type="auto"/>
            <w:hideMark/>
          </w:tcPr>
          <w:p w14:paraId="711FE4F1" w14:textId="77777777" w:rsidR="00394307" w:rsidRPr="003E29E0" w:rsidRDefault="00394307" w:rsidP="00394307">
            <w:pPr>
              <w:rPr>
                <w:rFonts w:cstheme="minorHAnsi"/>
                <w:sz w:val="24"/>
                <w:szCs w:val="24"/>
              </w:rPr>
            </w:pPr>
            <w:r w:rsidRPr="003E29E0">
              <w:rPr>
                <w:rFonts w:cstheme="minorHAnsi"/>
                <w:i/>
                <w:iCs/>
                <w:sz w:val="24"/>
                <w:szCs w:val="24"/>
              </w:rPr>
              <w:t>Primary outcome: 30-day readmission</w:t>
            </w:r>
          </w:p>
        </w:tc>
        <w:tc>
          <w:tcPr>
            <w:tcW w:w="0" w:type="auto"/>
          </w:tcPr>
          <w:p w14:paraId="6F9EDE7F" w14:textId="77777777" w:rsidR="00394307" w:rsidRPr="003E29E0" w:rsidRDefault="00394307" w:rsidP="00394307">
            <w:pPr>
              <w:rPr>
                <w:rFonts w:cstheme="minorHAnsi"/>
                <w:sz w:val="24"/>
                <w:szCs w:val="24"/>
              </w:rPr>
            </w:pPr>
          </w:p>
        </w:tc>
        <w:tc>
          <w:tcPr>
            <w:tcW w:w="0" w:type="auto"/>
          </w:tcPr>
          <w:p w14:paraId="6B915C7C" w14:textId="004BA5AF" w:rsidR="00394307" w:rsidRPr="003E29E0" w:rsidRDefault="00394307" w:rsidP="00394307">
            <w:pPr>
              <w:spacing w:line="259" w:lineRule="auto"/>
              <w:rPr>
                <w:rFonts w:cstheme="minorHAnsi"/>
                <w:sz w:val="24"/>
                <w:szCs w:val="24"/>
              </w:rPr>
            </w:pPr>
          </w:p>
        </w:tc>
      </w:tr>
      <w:tr w:rsidR="00394307" w:rsidRPr="003E29E0" w14:paraId="1E785C2D" w14:textId="77777777" w:rsidTr="00394307">
        <w:tc>
          <w:tcPr>
            <w:tcW w:w="0" w:type="auto"/>
            <w:hideMark/>
          </w:tcPr>
          <w:p w14:paraId="10280116" w14:textId="77777777" w:rsidR="003E29E0" w:rsidRPr="003E29E0" w:rsidRDefault="003E29E0" w:rsidP="00E839CA">
            <w:pPr>
              <w:spacing w:line="259" w:lineRule="auto"/>
              <w:ind w:left="336"/>
              <w:rPr>
                <w:rFonts w:cstheme="minorHAnsi"/>
                <w:sz w:val="24"/>
                <w:szCs w:val="24"/>
              </w:rPr>
            </w:pPr>
            <w:r w:rsidRPr="003E29E0">
              <w:rPr>
                <w:rFonts w:cstheme="minorHAnsi"/>
                <w:sz w:val="24"/>
                <w:szCs w:val="24"/>
              </w:rPr>
              <w:t>No readmission</w:t>
            </w:r>
          </w:p>
        </w:tc>
        <w:tc>
          <w:tcPr>
            <w:tcW w:w="0" w:type="auto"/>
            <w:hideMark/>
          </w:tcPr>
          <w:p w14:paraId="69BE5FD6" w14:textId="77777777" w:rsidR="003E29E0" w:rsidRPr="003E29E0" w:rsidRDefault="003E29E0" w:rsidP="00394307">
            <w:pPr>
              <w:spacing w:line="259" w:lineRule="auto"/>
              <w:rPr>
                <w:rFonts w:cstheme="minorHAnsi"/>
                <w:sz w:val="24"/>
                <w:szCs w:val="24"/>
              </w:rPr>
            </w:pPr>
            <w:r w:rsidRPr="003E29E0">
              <w:rPr>
                <w:rFonts w:cstheme="minorHAnsi"/>
                <w:sz w:val="24"/>
                <w:szCs w:val="24"/>
              </w:rPr>
              <w:t>84 585 (87.70%)</w:t>
            </w:r>
          </w:p>
        </w:tc>
        <w:tc>
          <w:tcPr>
            <w:tcW w:w="0" w:type="auto"/>
            <w:hideMark/>
          </w:tcPr>
          <w:p w14:paraId="476F9372" w14:textId="77777777" w:rsidR="003E29E0" w:rsidRPr="003E29E0" w:rsidRDefault="003E29E0" w:rsidP="00394307">
            <w:pPr>
              <w:spacing w:line="259" w:lineRule="auto"/>
              <w:rPr>
                <w:rFonts w:cstheme="minorHAnsi"/>
                <w:sz w:val="24"/>
                <w:szCs w:val="24"/>
              </w:rPr>
            </w:pPr>
            <w:r w:rsidRPr="003E29E0">
              <w:rPr>
                <w:rFonts w:cstheme="minorHAnsi"/>
                <w:sz w:val="24"/>
                <w:szCs w:val="24"/>
              </w:rPr>
              <w:t>36 333 (87.90%)</w:t>
            </w:r>
          </w:p>
        </w:tc>
      </w:tr>
      <w:tr w:rsidR="00394307" w:rsidRPr="003E29E0" w14:paraId="778956E9" w14:textId="77777777" w:rsidTr="00394307">
        <w:tc>
          <w:tcPr>
            <w:tcW w:w="0" w:type="auto"/>
            <w:hideMark/>
          </w:tcPr>
          <w:p w14:paraId="0A74E312" w14:textId="77777777" w:rsidR="003E29E0" w:rsidRPr="003E29E0" w:rsidRDefault="003E29E0" w:rsidP="00E839CA">
            <w:pPr>
              <w:spacing w:line="259" w:lineRule="auto"/>
              <w:ind w:left="336"/>
              <w:rPr>
                <w:rFonts w:cstheme="minorHAnsi"/>
                <w:sz w:val="24"/>
                <w:szCs w:val="24"/>
              </w:rPr>
            </w:pPr>
            <w:r w:rsidRPr="003E29E0">
              <w:rPr>
                <w:rFonts w:cstheme="minorHAnsi"/>
                <w:sz w:val="24"/>
                <w:szCs w:val="24"/>
              </w:rPr>
              <w:t>Readmission</w:t>
            </w:r>
          </w:p>
        </w:tc>
        <w:tc>
          <w:tcPr>
            <w:tcW w:w="0" w:type="auto"/>
            <w:hideMark/>
          </w:tcPr>
          <w:p w14:paraId="4137F046" w14:textId="77777777" w:rsidR="003E29E0" w:rsidRPr="003E29E0" w:rsidRDefault="003E29E0" w:rsidP="00394307">
            <w:pPr>
              <w:spacing w:line="259" w:lineRule="auto"/>
              <w:rPr>
                <w:rFonts w:cstheme="minorHAnsi"/>
                <w:sz w:val="24"/>
                <w:szCs w:val="24"/>
              </w:rPr>
            </w:pPr>
            <w:r w:rsidRPr="003E29E0">
              <w:rPr>
                <w:rFonts w:cstheme="minorHAnsi"/>
                <w:sz w:val="24"/>
                <w:szCs w:val="24"/>
              </w:rPr>
              <w:t>11 859 (12.30%)</w:t>
            </w:r>
          </w:p>
        </w:tc>
        <w:tc>
          <w:tcPr>
            <w:tcW w:w="0" w:type="auto"/>
            <w:hideMark/>
          </w:tcPr>
          <w:p w14:paraId="1A0972E4" w14:textId="77777777" w:rsidR="003E29E0" w:rsidRPr="003E29E0" w:rsidRDefault="003E29E0" w:rsidP="00394307">
            <w:pPr>
              <w:spacing w:line="259" w:lineRule="auto"/>
              <w:rPr>
                <w:rFonts w:cstheme="minorHAnsi"/>
                <w:sz w:val="24"/>
                <w:szCs w:val="24"/>
              </w:rPr>
            </w:pPr>
            <w:r w:rsidRPr="003E29E0">
              <w:rPr>
                <w:rFonts w:cstheme="minorHAnsi"/>
                <w:sz w:val="24"/>
                <w:szCs w:val="24"/>
              </w:rPr>
              <w:t>5001 (12.10%)</w:t>
            </w:r>
          </w:p>
        </w:tc>
      </w:tr>
      <w:tr w:rsidR="00394307" w:rsidRPr="003E29E0" w14:paraId="02D490E0" w14:textId="77777777" w:rsidTr="00394307">
        <w:tc>
          <w:tcPr>
            <w:tcW w:w="0" w:type="auto"/>
            <w:hideMark/>
          </w:tcPr>
          <w:p w14:paraId="36A4AF19" w14:textId="77777777" w:rsidR="00394307" w:rsidRPr="003E29E0" w:rsidRDefault="00394307" w:rsidP="00394307">
            <w:pPr>
              <w:rPr>
                <w:rFonts w:cstheme="minorHAnsi"/>
                <w:sz w:val="24"/>
                <w:szCs w:val="24"/>
              </w:rPr>
            </w:pPr>
            <w:r w:rsidRPr="003E29E0">
              <w:rPr>
                <w:rFonts w:cstheme="minorHAnsi"/>
                <w:i/>
                <w:iCs/>
                <w:sz w:val="24"/>
                <w:szCs w:val="24"/>
              </w:rPr>
              <w:t>Patient characteristics</w:t>
            </w:r>
          </w:p>
        </w:tc>
        <w:tc>
          <w:tcPr>
            <w:tcW w:w="0" w:type="auto"/>
          </w:tcPr>
          <w:p w14:paraId="66DE31B0" w14:textId="77777777" w:rsidR="00394307" w:rsidRPr="003E29E0" w:rsidRDefault="00394307" w:rsidP="00394307">
            <w:pPr>
              <w:rPr>
                <w:rFonts w:cstheme="minorHAnsi"/>
                <w:sz w:val="24"/>
                <w:szCs w:val="24"/>
              </w:rPr>
            </w:pPr>
          </w:p>
        </w:tc>
        <w:tc>
          <w:tcPr>
            <w:tcW w:w="0" w:type="auto"/>
          </w:tcPr>
          <w:p w14:paraId="6AD830C9" w14:textId="5CE41FCC" w:rsidR="00394307" w:rsidRPr="003E29E0" w:rsidRDefault="00394307" w:rsidP="00394307">
            <w:pPr>
              <w:spacing w:line="259" w:lineRule="auto"/>
              <w:rPr>
                <w:rFonts w:cstheme="minorHAnsi"/>
                <w:sz w:val="24"/>
                <w:szCs w:val="24"/>
              </w:rPr>
            </w:pPr>
          </w:p>
        </w:tc>
      </w:tr>
      <w:tr w:rsidR="00394307" w:rsidRPr="003E29E0" w14:paraId="6F0D0F18" w14:textId="77777777" w:rsidTr="00394307">
        <w:tc>
          <w:tcPr>
            <w:tcW w:w="0" w:type="auto"/>
            <w:hideMark/>
          </w:tcPr>
          <w:p w14:paraId="529D2817" w14:textId="77777777" w:rsidR="00394307" w:rsidRPr="003E29E0" w:rsidRDefault="00394307" w:rsidP="00E839CA">
            <w:pPr>
              <w:ind w:left="336"/>
              <w:rPr>
                <w:rFonts w:cstheme="minorHAnsi"/>
                <w:sz w:val="24"/>
                <w:szCs w:val="24"/>
              </w:rPr>
            </w:pPr>
            <w:r w:rsidRPr="003E29E0">
              <w:rPr>
                <w:rFonts w:cstheme="minorHAnsi"/>
                <w:sz w:val="24"/>
                <w:szCs w:val="24"/>
              </w:rPr>
              <w:t>Patient sex</w:t>
            </w:r>
          </w:p>
        </w:tc>
        <w:tc>
          <w:tcPr>
            <w:tcW w:w="0" w:type="auto"/>
          </w:tcPr>
          <w:p w14:paraId="7217E7D3" w14:textId="77777777" w:rsidR="00394307" w:rsidRPr="003E29E0" w:rsidRDefault="00394307" w:rsidP="00394307">
            <w:pPr>
              <w:rPr>
                <w:rFonts w:cstheme="minorHAnsi"/>
                <w:sz w:val="24"/>
                <w:szCs w:val="24"/>
              </w:rPr>
            </w:pPr>
          </w:p>
        </w:tc>
        <w:tc>
          <w:tcPr>
            <w:tcW w:w="0" w:type="auto"/>
          </w:tcPr>
          <w:p w14:paraId="2FC68C9C" w14:textId="3CB04D95" w:rsidR="00394307" w:rsidRPr="003E29E0" w:rsidRDefault="00394307" w:rsidP="00394307">
            <w:pPr>
              <w:spacing w:line="259" w:lineRule="auto"/>
              <w:rPr>
                <w:rFonts w:cstheme="minorHAnsi"/>
                <w:sz w:val="24"/>
                <w:szCs w:val="24"/>
              </w:rPr>
            </w:pPr>
          </w:p>
        </w:tc>
      </w:tr>
      <w:tr w:rsidR="00394307" w:rsidRPr="003E29E0" w14:paraId="28D01D26" w14:textId="77777777" w:rsidTr="00394307">
        <w:tc>
          <w:tcPr>
            <w:tcW w:w="0" w:type="auto"/>
            <w:hideMark/>
          </w:tcPr>
          <w:p w14:paraId="6308F511" w14:textId="77777777" w:rsidR="003E29E0" w:rsidRPr="003E29E0" w:rsidRDefault="003E29E0" w:rsidP="00B86E37">
            <w:pPr>
              <w:spacing w:line="259" w:lineRule="auto"/>
              <w:ind w:left="696"/>
              <w:rPr>
                <w:rFonts w:cstheme="minorHAnsi"/>
                <w:sz w:val="24"/>
                <w:szCs w:val="24"/>
              </w:rPr>
            </w:pPr>
            <w:r w:rsidRPr="003E29E0">
              <w:rPr>
                <w:rFonts w:cstheme="minorHAnsi"/>
                <w:sz w:val="24"/>
                <w:szCs w:val="24"/>
              </w:rPr>
              <w:t>Male</w:t>
            </w:r>
          </w:p>
        </w:tc>
        <w:tc>
          <w:tcPr>
            <w:tcW w:w="0" w:type="auto"/>
            <w:hideMark/>
          </w:tcPr>
          <w:p w14:paraId="69AE7600" w14:textId="77777777" w:rsidR="003E29E0" w:rsidRPr="003E29E0" w:rsidRDefault="003E29E0" w:rsidP="00394307">
            <w:pPr>
              <w:spacing w:line="259" w:lineRule="auto"/>
              <w:rPr>
                <w:rFonts w:cstheme="minorHAnsi"/>
                <w:sz w:val="24"/>
                <w:szCs w:val="24"/>
              </w:rPr>
            </w:pPr>
            <w:r w:rsidRPr="003E29E0">
              <w:rPr>
                <w:rFonts w:cstheme="minorHAnsi"/>
                <w:sz w:val="24"/>
                <w:szCs w:val="24"/>
              </w:rPr>
              <w:t>47 265 (49.01%)</w:t>
            </w:r>
          </w:p>
        </w:tc>
        <w:tc>
          <w:tcPr>
            <w:tcW w:w="0" w:type="auto"/>
            <w:hideMark/>
          </w:tcPr>
          <w:p w14:paraId="64F1BC42" w14:textId="77777777" w:rsidR="003E29E0" w:rsidRPr="003E29E0" w:rsidRDefault="003E29E0" w:rsidP="00394307">
            <w:pPr>
              <w:spacing w:line="259" w:lineRule="auto"/>
              <w:rPr>
                <w:rFonts w:cstheme="minorHAnsi"/>
                <w:sz w:val="24"/>
                <w:szCs w:val="24"/>
              </w:rPr>
            </w:pPr>
            <w:r w:rsidRPr="003E29E0">
              <w:rPr>
                <w:rFonts w:cstheme="minorHAnsi"/>
                <w:sz w:val="24"/>
                <w:szCs w:val="24"/>
              </w:rPr>
              <w:t>20 168 (48.79%)</w:t>
            </w:r>
          </w:p>
        </w:tc>
      </w:tr>
      <w:tr w:rsidR="00394307" w:rsidRPr="003E29E0" w14:paraId="0ED87689" w14:textId="77777777" w:rsidTr="00394307">
        <w:tc>
          <w:tcPr>
            <w:tcW w:w="0" w:type="auto"/>
            <w:hideMark/>
          </w:tcPr>
          <w:p w14:paraId="52FB073B" w14:textId="77777777" w:rsidR="003E29E0" w:rsidRPr="003E29E0" w:rsidRDefault="003E29E0" w:rsidP="00B86E37">
            <w:pPr>
              <w:spacing w:line="259" w:lineRule="auto"/>
              <w:ind w:left="696"/>
              <w:rPr>
                <w:rFonts w:cstheme="minorHAnsi"/>
                <w:sz w:val="24"/>
                <w:szCs w:val="24"/>
              </w:rPr>
            </w:pPr>
            <w:r w:rsidRPr="003E29E0">
              <w:rPr>
                <w:rFonts w:cstheme="minorHAnsi"/>
                <w:sz w:val="24"/>
                <w:szCs w:val="24"/>
              </w:rPr>
              <w:t>Female</w:t>
            </w:r>
          </w:p>
        </w:tc>
        <w:tc>
          <w:tcPr>
            <w:tcW w:w="0" w:type="auto"/>
            <w:hideMark/>
          </w:tcPr>
          <w:p w14:paraId="035146C4" w14:textId="77777777" w:rsidR="003E29E0" w:rsidRPr="003E29E0" w:rsidRDefault="003E29E0" w:rsidP="00394307">
            <w:pPr>
              <w:spacing w:line="259" w:lineRule="auto"/>
              <w:rPr>
                <w:rFonts w:cstheme="minorHAnsi"/>
                <w:sz w:val="24"/>
                <w:szCs w:val="24"/>
              </w:rPr>
            </w:pPr>
            <w:r w:rsidRPr="003E29E0">
              <w:rPr>
                <w:rFonts w:cstheme="minorHAnsi"/>
                <w:sz w:val="24"/>
                <w:szCs w:val="24"/>
              </w:rPr>
              <w:t>49 179 (50.99%)</w:t>
            </w:r>
          </w:p>
        </w:tc>
        <w:tc>
          <w:tcPr>
            <w:tcW w:w="0" w:type="auto"/>
            <w:hideMark/>
          </w:tcPr>
          <w:p w14:paraId="601488FF" w14:textId="77777777" w:rsidR="003E29E0" w:rsidRPr="003E29E0" w:rsidRDefault="003E29E0" w:rsidP="00394307">
            <w:pPr>
              <w:spacing w:line="259" w:lineRule="auto"/>
              <w:rPr>
                <w:rFonts w:cstheme="minorHAnsi"/>
                <w:sz w:val="24"/>
                <w:szCs w:val="24"/>
              </w:rPr>
            </w:pPr>
            <w:r w:rsidRPr="003E29E0">
              <w:rPr>
                <w:rFonts w:cstheme="minorHAnsi"/>
                <w:sz w:val="24"/>
                <w:szCs w:val="24"/>
              </w:rPr>
              <w:t>21 166 (51.21%)</w:t>
            </w:r>
          </w:p>
        </w:tc>
      </w:tr>
      <w:tr w:rsidR="00394307" w:rsidRPr="003E29E0" w14:paraId="5BF60EF4" w14:textId="77777777" w:rsidTr="00394307">
        <w:tc>
          <w:tcPr>
            <w:tcW w:w="0" w:type="auto"/>
            <w:hideMark/>
          </w:tcPr>
          <w:p w14:paraId="21480C5C" w14:textId="77777777" w:rsidR="003E29E0" w:rsidRPr="003E29E0" w:rsidRDefault="003E29E0" w:rsidP="00E839CA">
            <w:pPr>
              <w:spacing w:line="259" w:lineRule="auto"/>
              <w:ind w:left="336"/>
              <w:rPr>
                <w:rFonts w:cstheme="minorHAnsi"/>
                <w:sz w:val="24"/>
                <w:szCs w:val="24"/>
              </w:rPr>
            </w:pPr>
            <w:r w:rsidRPr="003E29E0">
              <w:rPr>
                <w:rFonts w:cstheme="minorHAnsi"/>
                <w:sz w:val="24"/>
                <w:szCs w:val="24"/>
              </w:rPr>
              <w:t>Patient age</w:t>
            </w:r>
          </w:p>
        </w:tc>
        <w:tc>
          <w:tcPr>
            <w:tcW w:w="0" w:type="auto"/>
            <w:hideMark/>
          </w:tcPr>
          <w:p w14:paraId="640EEDCD" w14:textId="77777777" w:rsidR="003E29E0" w:rsidRPr="003E29E0" w:rsidRDefault="003E29E0" w:rsidP="00394307">
            <w:pPr>
              <w:spacing w:line="259" w:lineRule="auto"/>
              <w:rPr>
                <w:rFonts w:cstheme="minorHAnsi"/>
                <w:sz w:val="24"/>
                <w:szCs w:val="24"/>
              </w:rPr>
            </w:pPr>
            <w:r w:rsidRPr="003E29E0">
              <w:rPr>
                <w:rFonts w:cstheme="minorHAnsi"/>
                <w:sz w:val="24"/>
                <w:szCs w:val="24"/>
              </w:rPr>
              <w:t>60.10 (17.38)</w:t>
            </w:r>
          </w:p>
        </w:tc>
        <w:tc>
          <w:tcPr>
            <w:tcW w:w="0" w:type="auto"/>
            <w:hideMark/>
          </w:tcPr>
          <w:p w14:paraId="2BC5BD25" w14:textId="77777777" w:rsidR="003E29E0" w:rsidRPr="003E29E0" w:rsidRDefault="003E29E0" w:rsidP="00394307">
            <w:pPr>
              <w:spacing w:line="259" w:lineRule="auto"/>
              <w:rPr>
                <w:rFonts w:cstheme="minorHAnsi"/>
                <w:sz w:val="24"/>
                <w:szCs w:val="24"/>
              </w:rPr>
            </w:pPr>
            <w:r w:rsidRPr="003E29E0">
              <w:rPr>
                <w:rFonts w:cstheme="minorHAnsi"/>
                <w:sz w:val="24"/>
                <w:szCs w:val="24"/>
              </w:rPr>
              <w:t>60.09 (17.36)</w:t>
            </w:r>
          </w:p>
        </w:tc>
      </w:tr>
      <w:tr w:rsidR="00394307" w:rsidRPr="003E29E0" w14:paraId="22C2A46C" w14:textId="77777777" w:rsidTr="00394307">
        <w:tc>
          <w:tcPr>
            <w:tcW w:w="0" w:type="auto"/>
            <w:hideMark/>
          </w:tcPr>
          <w:p w14:paraId="0C86ADE8" w14:textId="77777777" w:rsidR="00394307" w:rsidRPr="003E29E0" w:rsidRDefault="00394307" w:rsidP="00394307">
            <w:pPr>
              <w:rPr>
                <w:rFonts w:cstheme="minorHAnsi"/>
                <w:sz w:val="24"/>
                <w:szCs w:val="24"/>
              </w:rPr>
            </w:pPr>
            <w:r w:rsidRPr="003E29E0">
              <w:rPr>
                <w:rFonts w:cstheme="minorHAnsi"/>
                <w:sz w:val="24"/>
                <w:szCs w:val="24"/>
              </w:rPr>
              <w:t>Patient race</w:t>
            </w:r>
          </w:p>
        </w:tc>
        <w:tc>
          <w:tcPr>
            <w:tcW w:w="0" w:type="auto"/>
          </w:tcPr>
          <w:p w14:paraId="25CA5DF2" w14:textId="77777777" w:rsidR="00394307" w:rsidRPr="003E29E0" w:rsidRDefault="00394307" w:rsidP="00394307">
            <w:pPr>
              <w:rPr>
                <w:rFonts w:cstheme="minorHAnsi"/>
                <w:sz w:val="24"/>
                <w:szCs w:val="24"/>
              </w:rPr>
            </w:pPr>
          </w:p>
        </w:tc>
        <w:tc>
          <w:tcPr>
            <w:tcW w:w="0" w:type="auto"/>
          </w:tcPr>
          <w:p w14:paraId="09A890AB" w14:textId="7D6AFD5C" w:rsidR="00394307" w:rsidRPr="003E29E0" w:rsidRDefault="00394307" w:rsidP="00394307">
            <w:pPr>
              <w:spacing w:line="259" w:lineRule="auto"/>
              <w:rPr>
                <w:rFonts w:cstheme="minorHAnsi"/>
                <w:sz w:val="24"/>
                <w:szCs w:val="24"/>
              </w:rPr>
            </w:pPr>
          </w:p>
        </w:tc>
      </w:tr>
      <w:tr w:rsidR="00394307" w:rsidRPr="003E29E0" w14:paraId="3197AEAB" w14:textId="77777777" w:rsidTr="00394307">
        <w:tc>
          <w:tcPr>
            <w:tcW w:w="0" w:type="auto"/>
            <w:hideMark/>
          </w:tcPr>
          <w:p w14:paraId="202A94D5" w14:textId="77777777" w:rsidR="003E29E0" w:rsidRPr="003E29E0" w:rsidRDefault="003E29E0" w:rsidP="00E839CA">
            <w:pPr>
              <w:spacing w:line="259" w:lineRule="auto"/>
              <w:ind w:left="336"/>
              <w:rPr>
                <w:rFonts w:cstheme="minorHAnsi"/>
                <w:sz w:val="24"/>
                <w:szCs w:val="24"/>
              </w:rPr>
            </w:pPr>
            <w:r w:rsidRPr="003E29E0">
              <w:rPr>
                <w:rFonts w:cstheme="minorHAnsi"/>
                <w:sz w:val="24"/>
                <w:szCs w:val="24"/>
              </w:rPr>
              <w:t>American Indian or Alaska Native</w:t>
            </w:r>
          </w:p>
        </w:tc>
        <w:tc>
          <w:tcPr>
            <w:tcW w:w="0" w:type="auto"/>
            <w:hideMark/>
          </w:tcPr>
          <w:p w14:paraId="1C9C81CD" w14:textId="77777777" w:rsidR="003E29E0" w:rsidRPr="003E29E0" w:rsidRDefault="003E29E0" w:rsidP="00394307">
            <w:pPr>
              <w:spacing w:line="259" w:lineRule="auto"/>
              <w:rPr>
                <w:rFonts w:cstheme="minorHAnsi"/>
                <w:sz w:val="24"/>
                <w:szCs w:val="24"/>
              </w:rPr>
            </w:pPr>
            <w:r w:rsidRPr="003E29E0">
              <w:rPr>
                <w:rFonts w:cstheme="minorHAnsi"/>
                <w:sz w:val="24"/>
                <w:szCs w:val="24"/>
              </w:rPr>
              <w:t>858 (0.89%)</w:t>
            </w:r>
          </w:p>
        </w:tc>
        <w:tc>
          <w:tcPr>
            <w:tcW w:w="0" w:type="auto"/>
            <w:hideMark/>
          </w:tcPr>
          <w:p w14:paraId="3B2C67D2" w14:textId="77777777" w:rsidR="003E29E0" w:rsidRPr="003E29E0" w:rsidRDefault="003E29E0" w:rsidP="00394307">
            <w:pPr>
              <w:spacing w:line="259" w:lineRule="auto"/>
              <w:rPr>
                <w:rFonts w:cstheme="minorHAnsi"/>
                <w:sz w:val="24"/>
                <w:szCs w:val="24"/>
              </w:rPr>
            </w:pPr>
            <w:r w:rsidRPr="003E29E0">
              <w:rPr>
                <w:rFonts w:cstheme="minorHAnsi"/>
                <w:sz w:val="24"/>
                <w:szCs w:val="24"/>
              </w:rPr>
              <w:t>348 (0.84%)</w:t>
            </w:r>
          </w:p>
        </w:tc>
      </w:tr>
      <w:tr w:rsidR="00394307" w:rsidRPr="003E29E0" w14:paraId="77AB9F6C" w14:textId="77777777" w:rsidTr="00394307">
        <w:tc>
          <w:tcPr>
            <w:tcW w:w="0" w:type="auto"/>
            <w:hideMark/>
          </w:tcPr>
          <w:p w14:paraId="2314A59F" w14:textId="77777777" w:rsidR="003E29E0" w:rsidRPr="003E29E0" w:rsidRDefault="003E29E0" w:rsidP="00E839CA">
            <w:pPr>
              <w:spacing w:line="259" w:lineRule="auto"/>
              <w:ind w:left="336"/>
              <w:rPr>
                <w:rFonts w:cstheme="minorHAnsi"/>
                <w:sz w:val="24"/>
                <w:szCs w:val="24"/>
              </w:rPr>
            </w:pPr>
            <w:r w:rsidRPr="003E29E0">
              <w:rPr>
                <w:rFonts w:cstheme="minorHAnsi"/>
                <w:sz w:val="24"/>
                <w:szCs w:val="24"/>
              </w:rPr>
              <w:t>Asian</w:t>
            </w:r>
          </w:p>
        </w:tc>
        <w:tc>
          <w:tcPr>
            <w:tcW w:w="0" w:type="auto"/>
            <w:hideMark/>
          </w:tcPr>
          <w:p w14:paraId="6A2293E2" w14:textId="77777777" w:rsidR="003E29E0" w:rsidRPr="003E29E0" w:rsidRDefault="003E29E0" w:rsidP="00394307">
            <w:pPr>
              <w:spacing w:line="259" w:lineRule="auto"/>
              <w:rPr>
                <w:rFonts w:cstheme="minorHAnsi"/>
                <w:sz w:val="24"/>
                <w:szCs w:val="24"/>
              </w:rPr>
            </w:pPr>
            <w:r w:rsidRPr="003E29E0">
              <w:rPr>
                <w:rFonts w:cstheme="minorHAnsi"/>
                <w:sz w:val="24"/>
                <w:szCs w:val="24"/>
              </w:rPr>
              <w:t>3320 (3.44%)</w:t>
            </w:r>
          </w:p>
        </w:tc>
        <w:tc>
          <w:tcPr>
            <w:tcW w:w="0" w:type="auto"/>
            <w:hideMark/>
          </w:tcPr>
          <w:p w14:paraId="4B903E1C" w14:textId="77777777" w:rsidR="003E29E0" w:rsidRPr="003E29E0" w:rsidRDefault="003E29E0" w:rsidP="00394307">
            <w:pPr>
              <w:spacing w:line="259" w:lineRule="auto"/>
              <w:rPr>
                <w:rFonts w:cstheme="minorHAnsi"/>
                <w:sz w:val="24"/>
                <w:szCs w:val="24"/>
              </w:rPr>
            </w:pPr>
            <w:r w:rsidRPr="003E29E0">
              <w:rPr>
                <w:rFonts w:cstheme="minorHAnsi"/>
                <w:sz w:val="24"/>
                <w:szCs w:val="24"/>
              </w:rPr>
              <w:t>1416 (3.43%)</w:t>
            </w:r>
          </w:p>
        </w:tc>
      </w:tr>
      <w:tr w:rsidR="00394307" w:rsidRPr="003E29E0" w14:paraId="75C2B916" w14:textId="77777777" w:rsidTr="00394307">
        <w:tc>
          <w:tcPr>
            <w:tcW w:w="0" w:type="auto"/>
            <w:hideMark/>
          </w:tcPr>
          <w:p w14:paraId="0E0FD79E" w14:textId="77777777" w:rsidR="003E29E0" w:rsidRPr="003E29E0" w:rsidRDefault="003E29E0" w:rsidP="00E839CA">
            <w:pPr>
              <w:spacing w:line="259" w:lineRule="auto"/>
              <w:ind w:left="336"/>
              <w:rPr>
                <w:rFonts w:cstheme="minorHAnsi"/>
                <w:sz w:val="24"/>
                <w:szCs w:val="24"/>
              </w:rPr>
            </w:pPr>
            <w:r w:rsidRPr="003E29E0">
              <w:rPr>
                <w:rFonts w:cstheme="minorHAnsi"/>
                <w:sz w:val="24"/>
                <w:szCs w:val="24"/>
              </w:rPr>
              <w:t>Black or African American</w:t>
            </w:r>
          </w:p>
        </w:tc>
        <w:tc>
          <w:tcPr>
            <w:tcW w:w="0" w:type="auto"/>
            <w:hideMark/>
          </w:tcPr>
          <w:p w14:paraId="10CF72BC" w14:textId="77777777" w:rsidR="003E29E0" w:rsidRPr="003E29E0" w:rsidRDefault="003E29E0" w:rsidP="00394307">
            <w:pPr>
              <w:spacing w:line="259" w:lineRule="auto"/>
              <w:rPr>
                <w:rFonts w:cstheme="minorHAnsi"/>
                <w:sz w:val="24"/>
                <w:szCs w:val="24"/>
              </w:rPr>
            </w:pPr>
            <w:r w:rsidRPr="003E29E0">
              <w:rPr>
                <w:rFonts w:cstheme="minorHAnsi"/>
                <w:sz w:val="24"/>
                <w:szCs w:val="24"/>
              </w:rPr>
              <w:t>14 717 (15.26%)</w:t>
            </w:r>
          </w:p>
        </w:tc>
        <w:tc>
          <w:tcPr>
            <w:tcW w:w="0" w:type="auto"/>
            <w:hideMark/>
          </w:tcPr>
          <w:p w14:paraId="017161D4" w14:textId="77777777" w:rsidR="003E29E0" w:rsidRPr="003E29E0" w:rsidRDefault="003E29E0" w:rsidP="00394307">
            <w:pPr>
              <w:spacing w:line="259" w:lineRule="auto"/>
              <w:rPr>
                <w:rFonts w:cstheme="minorHAnsi"/>
                <w:sz w:val="24"/>
                <w:szCs w:val="24"/>
              </w:rPr>
            </w:pPr>
            <w:r w:rsidRPr="003E29E0">
              <w:rPr>
                <w:rFonts w:cstheme="minorHAnsi"/>
                <w:sz w:val="24"/>
                <w:szCs w:val="24"/>
              </w:rPr>
              <w:t>6288 (15.21%)</w:t>
            </w:r>
          </w:p>
        </w:tc>
      </w:tr>
      <w:tr w:rsidR="00394307" w:rsidRPr="003E29E0" w14:paraId="6E944170" w14:textId="77777777" w:rsidTr="00394307">
        <w:tc>
          <w:tcPr>
            <w:tcW w:w="0" w:type="auto"/>
            <w:hideMark/>
          </w:tcPr>
          <w:p w14:paraId="4A436E3D" w14:textId="77777777" w:rsidR="003E29E0" w:rsidRPr="003E29E0" w:rsidRDefault="003E29E0" w:rsidP="00E839CA">
            <w:pPr>
              <w:spacing w:line="259" w:lineRule="auto"/>
              <w:ind w:left="336"/>
              <w:rPr>
                <w:rFonts w:cstheme="minorHAnsi"/>
                <w:sz w:val="24"/>
                <w:szCs w:val="24"/>
              </w:rPr>
            </w:pPr>
            <w:r w:rsidRPr="003E29E0">
              <w:rPr>
                <w:rFonts w:cstheme="minorHAnsi"/>
                <w:sz w:val="24"/>
                <w:szCs w:val="24"/>
              </w:rPr>
              <w:t>Native Hawaiian or other Pacific Islander</w:t>
            </w:r>
          </w:p>
        </w:tc>
        <w:tc>
          <w:tcPr>
            <w:tcW w:w="0" w:type="auto"/>
            <w:hideMark/>
          </w:tcPr>
          <w:p w14:paraId="17E8F919" w14:textId="77777777" w:rsidR="003E29E0" w:rsidRPr="003E29E0" w:rsidRDefault="003E29E0" w:rsidP="00394307">
            <w:pPr>
              <w:spacing w:line="259" w:lineRule="auto"/>
              <w:rPr>
                <w:rFonts w:cstheme="minorHAnsi"/>
                <w:sz w:val="24"/>
                <w:szCs w:val="24"/>
              </w:rPr>
            </w:pPr>
            <w:r w:rsidRPr="003E29E0">
              <w:rPr>
                <w:rFonts w:cstheme="minorHAnsi"/>
                <w:sz w:val="24"/>
                <w:szCs w:val="24"/>
              </w:rPr>
              <w:t>305 (0.32%)</w:t>
            </w:r>
          </w:p>
        </w:tc>
        <w:tc>
          <w:tcPr>
            <w:tcW w:w="0" w:type="auto"/>
            <w:hideMark/>
          </w:tcPr>
          <w:p w14:paraId="5FA8ECE0" w14:textId="77777777" w:rsidR="003E29E0" w:rsidRPr="003E29E0" w:rsidRDefault="003E29E0" w:rsidP="00394307">
            <w:pPr>
              <w:spacing w:line="259" w:lineRule="auto"/>
              <w:rPr>
                <w:rFonts w:cstheme="minorHAnsi"/>
                <w:sz w:val="24"/>
                <w:szCs w:val="24"/>
              </w:rPr>
            </w:pPr>
            <w:r w:rsidRPr="003E29E0">
              <w:rPr>
                <w:rFonts w:cstheme="minorHAnsi"/>
                <w:sz w:val="24"/>
                <w:szCs w:val="24"/>
              </w:rPr>
              <w:t>146 (0.35%)</w:t>
            </w:r>
          </w:p>
        </w:tc>
      </w:tr>
      <w:tr w:rsidR="00394307" w:rsidRPr="003E29E0" w14:paraId="3D55E6C0" w14:textId="77777777" w:rsidTr="00394307">
        <w:tc>
          <w:tcPr>
            <w:tcW w:w="0" w:type="auto"/>
            <w:hideMark/>
          </w:tcPr>
          <w:p w14:paraId="489F4D63" w14:textId="77777777" w:rsidR="003E29E0" w:rsidRPr="003E29E0" w:rsidRDefault="003E29E0" w:rsidP="00E839CA">
            <w:pPr>
              <w:spacing w:line="259" w:lineRule="auto"/>
              <w:ind w:left="336"/>
              <w:rPr>
                <w:rFonts w:cstheme="minorHAnsi"/>
                <w:sz w:val="24"/>
                <w:szCs w:val="24"/>
              </w:rPr>
            </w:pPr>
            <w:r w:rsidRPr="003E29E0">
              <w:rPr>
                <w:rFonts w:cstheme="minorHAnsi"/>
                <w:sz w:val="24"/>
                <w:szCs w:val="24"/>
              </w:rPr>
              <w:t>White</w:t>
            </w:r>
          </w:p>
        </w:tc>
        <w:tc>
          <w:tcPr>
            <w:tcW w:w="0" w:type="auto"/>
            <w:hideMark/>
          </w:tcPr>
          <w:p w14:paraId="2268B7CB" w14:textId="77777777" w:rsidR="003E29E0" w:rsidRPr="003E29E0" w:rsidRDefault="003E29E0" w:rsidP="00394307">
            <w:pPr>
              <w:spacing w:line="259" w:lineRule="auto"/>
              <w:rPr>
                <w:rFonts w:cstheme="minorHAnsi"/>
                <w:sz w:val="24"/>
                <w:szCs w:val="24"/>
              </w:rPr>
            </w:pPr>
            <w:r w:rsidRPr="003E29E0">
              <w:rPr>
                <w:rFonts w:cstheme="minorHAnsi"/>
                <w:sz w:val="24"/>
                <w:szCs w:val="24"/>
              </w:rPr>
              <w:t>65 847 (68.27%)</w:t>
            </w:r>
          </w:p>
        </w:tc>
        <w:tc>
          <w:tcPr>
            <w:tcW w:w="0" w:type="auto"/>
            <w:hideMark/>
          </w:tcPr>
          <w:p w14:paraId="265F9EA5" w14:textId="77777777" w:rsidR="003E29E0" w:rsidRPr="003E29E0" w:rsidRDefault="003E29E0" w:rsidP="00394307">
            <w:pPr>
              <w:spacing w:line="259" w:lineRule="auto"/>
              <w:rPr>
                <w:rFonts w:cstheme="minorHAnsi"/>
                <w:sz w:val="24"/>
                <w:szCs w:val="24"/>
              </w:rPr>
            </w:pPr>
            <w:r w:rsidRPr="003E29E0">
              <w:rPr>
                <w:rFonts w:cstheme="minorHAnsi"/>
                <w:sz w:val="24"/>
                <w:szCs w:val="24"/>
              </w:rPr>
              <w:t>28 318 (68.51%)</w:t>
            </w:r>
          </w:p>
        </w:tc>
      </w:tr>
      <w:tr w:rsidR="00394307" w:rsidRPr="003E29E0" w14:paraId="146F0342" w14:textId="77777777" w:rsidTr="00394307">
        <w:tc>
          <w:tcPr>
            <w:tcW w:w="0" w:type="auto"/>
            <w:hideMark/>
          </w:tcPr>
          <w:p w14:paraId="2382202E" w14:textId="77777777" w:rsidR="003E29E0" w:rsidRPr="003E29E0" w:rsidRDefault="003E29E0" w:rsidP="00E839CA">
            <w:pPr>
              <w:spacing w:line="259" w:lineRule="auto"/>
              <w:ind w:left="336"/>
              <w:rPr>
                <w:rFonts w:cstheme="minorHAnsi"/>
                <w:sz w:val="24"/>
                <w:szCs w:val="24"/>
              </w:rPr>
            </w:pPr>
            <w:r w:rsidRPr="003E29E0">
              <w:rPr>
                <w:rFonts w:cstheme="minorHAnsi"/>
                <w:sz w:val="24"/>
                <w:szCs w:val="24"/>
              </w:rPr>
              <w:t>Unknown</w:t>
            </w:r>
          </w:p>
        </w:tc>
        <w:tc>
          <w:tcPr>
            <w:tcW w:w="0" w:type="auto"/>
            <w:hideMark/>
          </w:tcPr>
          <w:p w14:paraId="521942AD" w14:textId="77777777" w:rsidR="003E29E0" w:rsidRPr="003E29E0" w:rsidRDefault="003E29E0" w:rsidP="00394307">
            <w:pPr>
              <w:spacing w:line="259" w:lineRule="auto"/>
              <w:rPr>
                <w:rFonts w:cstheme="minorHAnsi"/>
                <w:sz w:val="24"/>
                <w:szCs w:val="24"/>
              </w:rPr>
            </w:pPr>
            <w:r w:rsidRPr="003E29E0">
              <w:rPr>
                <w:rFonts w:cstheme="minorHAnsi"/>
                <w:sz w:val="24"/>
                <w:szCs w:val="24"/>
              </w:rPr>
              <w:t>11 397 (11.82%)</w:t>
            </w:r>
          </w:p>
        </w:tc>
        <w:tc>
          <w:tcPr>
            <w:tcW w:w="0" w:type="auto"/>
            <w:hideMark/>
          </w:tcPr>
          <w:p w14:paraId="2E1FC901" w14:textId="77777777" w:rsidR="003E29E0" w:rsidRPr="003E29E0" w:rsidRDefault="003E29E0" w:rsidP="00394307">
            <w:pPr>
              <w:spacing w:line="259" w:lineRule="auto"/>
              <w:rPr>
                <w:rFonts w:cstheme="minorHAnsi"/>
                <w:sz w:val="24"/>
                <w:szCs w:val="24"/>
              </w:rPr>
            </w:pPr>
            <w:r w:rsidRPr="003E29E0">
              <w:rPr>
                <w:rFonts w:cstheme="minorHAnsi"/>
                <w:sz w:val="24"/>
                <w:szCs w:val="24"/>
              </w:rPr>
              <w:t>4818 (11.66%)</w:t>
            </w:r>
          </w:p>
        </w:tc>
      </w:tr>
      <w:tr w:rsidR="00394307" w:rsidRPr="003E29E0" w14:paraId="0A7C458C" w14:textId="77777777" w:rsidTr="00394307">
        <w:tc>
          <w:tcPr>
            <w:tcW w:w="0" w:type="auto"/>
            <w:hideMark/>
          </w:tcPr>
          <w:p w14:paraId="37BB3ADA" w14:textId="77777777" w:rsidR="00394307" w:rsidRPr="003E29E0" w:rsidRDefault="00394307" w:rsidP="00394307">
            <w:pPr>
              <w:rPr>
                <w:rFonts w:cstheme="minorHAnsi"/>
                <w:sz w:val="24"/>
                <w:szCs w:val="24"/>
              </w:rPr>
            </w:pPr>
            <w:r w:rsidRPr="003E29E0">
              <w:rPr>
                <w:rFonts w:cstheme="minorHAnsi"/>
                <w:sz w:val="24"/>
                <w:szCs w:val="24"/>
              </w:rPr>
              <w:t>Patient ethnicity</w:t>
            </w:r>
          </w:p>
        </w:tc>
        <w:tc>
          <w:tcPr>
            <w:tcW w:w="0" w:type="auto"/>
          </w:tcPr>
          <w:p w14:paraId="24CD8727" w14:textId="77777777" w:rsidR="00394307" w:rsidRPr="003E29E0" w:rsidRDefault="00394307" w:rsidP="00394307">
            <w:pPr>
              <w:rPr>
                <w:rFonts w:cstheme="minorHAnsi"/>
                <w:sz w:val="24"/>
                <w:szCs w:val="24"/>
              </w:rPr>
            </w:pPr>
          </w:p>
        </w:tc>
        <w:tc>
          <w:tcPr>
            <w:tcW w:w="0" w:type="auto"/>
          </w:tcPr>
          <w:p w14:paraId="01DCB0EE" w14:textId="703B8DC9" w:rsidR="00394307" w:rsidRPr="003E29E0" w:rsidRDefault="00394307" w:rsidP="00394307">
            <w:pPr>
              <w:spacing w:line="259" w:lineRule="auto"/>
              <w:rPr>
                <w:rFonts w:cstheme="minorHAnsi"/>
                <w:sz w:val="24"/>
                <w:szCs w:val="24"/>
              </w:rPr>
            </w:pPr>
          </w:p>
        </w:tc>
      </w:tr>
      <w:tr w:rsidR="00394307" w:rsidRPr="003E29E0" w14:paraId="337461A1" w14:textId="77777777" w:rsidTr="00394307">
        <w:tc>
          <w:tcPr>
            <w:tcW w:w="0" w:type="auto"/>
            <w:hideMark/>
          </w:tcPr>
          <w:p w14:paraId="5C84D058" w14:textId="77777777" w:rsidR="003E29E0" w:rsidRPr="003E29E0" w:rsidRDefault="003E29E0" w:rsidP="00E839CA">
            <w:pPr>
              <w:spacing w:line="259" w:lineRule="auto"/>
              <w:ind w:left="336"/>
              <w:rPr>
                <w:rFonts w:cstheme="minorHAnsi"/>
                <w:sz w:val="24"/>
                <w:szCs w:val="24"/>
              </w:rPr>
            </w:pPr>
            <w:r w:rsidRPr="003E29E0">
              <w:rPr>
                <w:rFonts w:cstheme="minorHAnsi"/>
                <w:sz w:val="24"/>
                <w:szCs w:val="24"/>
              </w:rPr>
              <w:t>Not Hispanic</w:t>
            </w:r>
          </w:p>
        </w:tc>
        <w:tc>
          <w:tcPr>
            <w:tcW w:w="0" w:type="auto"/>
            <w:hideMark/>
          </w:tcPr>
          <w:p w14:paraId="6E39B18C" w14:textId="77777777" w:rsidR="003E29E0" w:rsidRPr="003E29E0" w:rsidRDefault="003E29E0" w:rsidP="00394307">
            <w:pPr>
              <w:spacing w:line="259" w:lineRule="auto"/>
              <w:rPr>
                <w:rFonts w:cstheme="minorHAnsi"/>
                <w:sz w:val="24"/>
                <w:szCs w:val="24"/>
              </w:rPr>
            </w:pPr>
            <w:r w:rsidRPr="003E29E0">
              <w:rPr>
                <w:rFonts w:cstheme="minorHAnsi"/>
                <w:sz w:val="24"/>
                <w:szCs w:val="24"/>
              </w:rPr>
              <w:t>84 517 (87.63%)</w:t>
            </w:r>
          </w:p>
        </w:tc>
        <w:tc>
          <w:tcPr>
            <w:tcW w:w="0" w:type="auto"/>
            <w:hideMark/>
          </w:tcPr>
          <w:p w14:paraId="365D46DD" w14:textId="77777777" w:rsidR="003E29E0" w:rsidRPr="003E29E0" w:rsidRDefault="003E29E0" w:rsidP="00394307">
            <w:pPr>
              <w:spacing w:line="259" w:lineRule="auto"/>
              <w:rPr>
                <w:rFonts w:cstheme="minorHAnsi"/>
                <w:sz w:val="24"/>
                <w:szCs w:val="24"/>
              </w:rPr>
            </w:pPr>
            <w:r w:rsidRPr="003E29E0">
              <w:rPr>
                <w:rFonts w:cstheme="minorHAnsi"/>
                <w:sz w:val="24"/>
                <w:szCs w:val="24"/>
              </w:rPr>
              <w:t>36 129 (87.41%)</w:t>
            </w:r>
          </w:p>
        </w:tc>
      </w:tr>
      <w:tr w:rsidR="00394307" w:rsidRPr="003E29E0" w14:paraId="3DC014AF" w14:textId="77777777" w:rsidTr="00394307">
        <w:tc>
          <w:tcPr>
            <w:tcW w:w="0" w:type="auto"/>
            <w:hideMark/>
          </w:tcPr>
          <w:p w14:paraId="12D2330F" w14:textId="77777777" w:rsidR="003E29E0" w:rsidRPr="003E29E0" w:rsidRDefault="003E29E0" w:rsidP="00E839CA">
            <w:pPr>
              <w:spacing w:line="259" w:lineRule="auto"/>
              <w:ind w:left="336"/>
              <w:rPr>
                <w:rFonts w:cstheme="minorHAnsi"/>
                <w:sz w:val="24"/>
                <w:szCs w:val="24"/>
              </w:rPr>
            </w:pPr>
            <w:r w:rsidRPr="003E29E0">
              <w:rPr>
                <w:rFonts w:cstheme="minorHAnsi"/>
                <w:sz w:val="24"/>
                <w:szCs w:val="24"/>
              </w:rPr>
              <w:t>Hispanic</w:t>
            </w:r>
          </w:p>
        </w:tc>
        <w:tc>
          <w:tcPr>
            <w:tcW w:w="0" w:type="auto"/>
            <w:hideMark/>
          </w:tcPr>
          <w:p w14:paraId="24FD8A90" w14:textId="77777777" w:rsidR="003E29E0" w:rsidRPr="003E29E0" w:rsidRDefault="003E29E0" w:rsidP="00394307">
            <w:pPr>
              <w:spacing w:line="259" w:lineRule="auto"/>
              <w:rPr>
                <w:rFonts w:cstheme="minorHAnsi"/>
                <w:sz w:val="24"/>
                <w:szCs w:val="24"/>
              </w:rPr>
            </w:pPr>
            <w:r w:rsidRPr="003E29E0">
              <w:rPr>
                <w:rFonts w:cstheme="minorHAnsi"/>
                <w:sz w:val="24"/>
                <w:szCs w:val="24"/>
              </w:rPr>
              <w:t>10 407 (10.79%)</w:t>
            </w:r>
          </w:p>
        </w:tc>
        <w:tc>
          <w:tcPr>
            <w:tcW w:w="0" w:type="auto"/>
            <w:hideMark/>
          </w:tcPr>
          <w:p w14:paraId="2DB96E10" w14:textId="77777777" w:rsidR="003E29E0" w:rsidRPr="003E29E0" w:rsidRDefault="003E29E0" w:rsidP="00394307">
            <w:pPr>
              <w:spacing w:line="259" w:lineRule="auto"/>
              <w:rPr>
                <w:rFonts w:cstheme="minorHAnsi"/>
                <w:sz w:val="24"/>
                <w:szCs w:val="24"/>
              </w:rPr>
            </w:pPr>
            <w:r w:rsidRPr="003E29E0">
              <w:rPr>
                <w:rFonts w:cstheme="minorHAnsi"/>
                <w:sz w:val="24"/>
                <w:szCs w:val="24"/>
              </w:rPr>
              <w:t>4554 (11.02%)</w:t>
            </w:r>
          </w:p>
        </w:tc>
      </w:tr>
      <w:tr w:rsidR="00394307" w:rsidRPr="003E29E0" w14:paraId="2BC422AE" w14:textId="77777777" w:rsidTr="00394307">
        <w:tc>
          <w:tcPr>
            <w:tcW w:w="0" w:type="auto"/>
            <w:hideMark/>
          </w:tcPr>
          <w:p w14:paraId="0CE6523F" w14:textId="77777777" w:rsidR="003E29E0" w:rsidRPr="003E29E0" w:rsidRDefault="003E29E0" w:rsidP="00E839CA">
            <w:pPr>
              <w:spacing w:line="259" w:lineRule="auto"/>
              <w:ind w:left="336"/>
              <w:rPr>
                <w:rFonts w:cstheme="minorHAnsi"/>
                <w:sz w:val="24"/>
                <w:szCs w:val="24"/>
              </w:rPr>
            </w:pPr>
            <w:r w:rsidRPr="003E29E0">
              <w:rPr>
                <w:rFonts w:cstheme="minorHAnsi"/>
                <w:sz w:val="24"/>
                <w:szCs w:val="24"/>
              </w:rPr>
              <w:t>Unknown</w:t>
            </w:r>
          </w:p>
        </w:tc>
        <w:tc>
          <w:tcPr>
            <w:tcW w:w="0" w:type="auto"/>
            <w:hideMark/>
          </w:tcPr>
          <w:p w14:paraId="7AEDF81A" w14:textId="77777777" w:rsidR="003E29E0" w:rsidRPr="003E29E0" w:rsidRDefault="003E29E0" w:rsidP="00394307">
            <w:pPr>
              <w:spacing w:line="259" w:lineRule="auto"/>
              <w:rPr>
                <w:rFonts w:cstheme="minorHAnsi"/>
                <w:sz w:val="24"/>
                <w:szCs w:val="24"/>
              </w:rPr>
            </w:pPr>
            <w:r w:rsidRPr="003E29E0">
              <w:rPr>
                <w:rFonts w:cstheme="minorHAnsi"/>
                <w:sz w:val="24"/>
                <w:szCs w:val="24"/>
              </w:rPr>
              <w:t>1520 (1.58%)</w:t>
            </w:r>
          </w:p>
        </w:tc>
        <w:tc>
          <w:tcPr>
            <w:tcW w:w="0" w:type="auto"/>
            <w:hideMark/>
          </w:tcPr>
          <w:p w14:paraId="1653E6A6" w14:textId="77777777" w:rsidR="003E29E0" w:rsidRPr="003E29E0" w:rsidRDefault="003E29E0" w:rsidP="00394307">
            <w:pPr>
              <w:spacing w:line="259" w:lineRule="auto"/>
              <w:rPr>
                <w:rFonts w:cstheme="minorHAnsi"/>
                <w:sz w:val="24"/>
                <w:szCs w:val="24"/>
              </w:rPr>
            </w:pPr>
            <w:r w:rsidRPr="003E29E0">
              <w:rPr>
                <w:rFonts w:cstheme="minorHAnsi"/>
                <w:sz w:val="24"/>
                <w:szCs w:val="24"/>
              </w:rPr>
              <w:t>651 (1.57%)</w:t>
            </w:r>
          </w:p>
        </w:tc>
      </w:tr>
      <w:tr w:rsidR="00394307" w:rsidRPr="003E29E0" w14:paraId="4748B198" w14:textId="77777777" w:rsidTr="00394307">
        <w:tc>
          <w:tcPr>
            <w:tcW w:w="0" w:type="auto"/>
            <w:hideMark/>
          </w:tcPr>
          <w:p w14:paraId="3F5F4EDA" w14:textId="77777777" w:rsidR="00394307" w:rsidRPr="003E29E0" w:rsidRDefault="00394307" w:rsidP="00394307">
            <w:pPr>
              <w:rPr>
                <w:rFonts w:cstheme="minorHAnsi"/>
                <w:sz w:val="24"/>
                <w:szCs w:val="24"/>
              </w:rPr>
            </w:pPr>
            <w:r w:rsidRPr="003E29E0">
              <w:rPr>
                <w:rFonts w:cstheme="minorHAnsi"/>
                <w:sz w:val="24"/>
                <w:szCs w:val="24"/>
              </w:rPr>
              <w:t>Patient marital status</w:t>
            </w:r>
          </w:p>
        </w:tc>
        <w:tc>
          <w:tcPr>
            <w:tcW w:w="0" w:type="auto"/>
          </w:tcPr>
          <w:p w14:paraId="4660D770" w14:textId="77777777" w:rsidR="00394307" w:rsidRPr="003E29E0" w:rsidRDefault="00394307" w:rsidP="00394307">
            <w:pPr>
              <w:rPr>
                <w:rFonts w:cstheme="minorHAnsi"/>
                <w:sz w:val="24"/>
                <w:szCs w:val="24"/>
              </w:rPr>
            </w:pPr>
          </w:p>
        </w:tc>
        <w:tc>
          <w:tcPr>
            <w:tcW w:w="0" w:type="auto"/>
          </w:tcPr>
          <w:p w14:paraId="1E7345C7" w14:textId="238EFBD1" w:rsidR="00394307" w:rsidRPr="003E29E0" w:rsidRDefault="00394307" w:rsidP="00394307">
            <w:pPr>
              <w:spacing w:line="259" w:lineRule="auto"/>
              <w:rPr>
                <w:rFonts w:cstheme="minorHAnsi"/>
                <w:sz w:val="24"/>
                <w:szCs w:val="24"/>
              </w:rPr>
            </w:pPr>
          </w:p>
        </w:tc>
      </w:tr>
      <w:tr w:rsidR="00394307" w:rsidRPr="003E29E0" w14:paraId="7F4DD6C7" w14:textId="77777777" w:rsidTr="00394307">
        <w:tc>
          <w:tcPr>
            <w:tcW w:w="0" w:type="auto"/>
            <w:hideMark/>
          </w:tcPr>
          <w:p w14:paraId="4AD1E6F0" w14:textId="77777777" w:rsidR="003E29E0" w:rsidRPr="003E29E0" w:rsidRDefault="003E29E0" w:rsidP="00E839CA">
            <w:pPr>
              <w:spacing w:line="259" w:lineRule="auto"/>
              <w:ind w:left="336"/>
              <w:rPr>
                <w:rFonts w:cstheme="minorHAnsi"/>
                <w:sz w:val="24"/>
                <w:szCs w:val="24"/>
              </w:rPr>
            </w:pPr>
            <w:r w:rsidRPr="003E29E0">
              <w:rPr>
                <w:rFonts w:cstheme="minorHAnsi"/>
                <w:sz w:val="24"/>
                <w:szCs w:val="24"/>
              </w:rPr>
              <w:t>Not married</w:t>
            </w:r>
          </w:p>
        </w:tc>
        <w:tc>
          <w:tcPr>
            <w:tcW w:w="0" w:type="auto"/>
            <w:hideMark/>
          </w:tcPr>
          <w:p w14:paraId="71957368" w14:textId="77777777" w:rsidR="003E29E0" w:rsidRPr="003E29E0" w:rsidRDefault="003E29E0" w:rsidP="00394307">
            <w:pPr>
              <w:spacing w:line="259" w:lineRule="auto"/>
              <w:rPr>
                <w:rFonts w:cstheme="minorHAnsi"/>
                <w:sz w:val="24"/>
                <w:szCs w:val="24"/>
              </w:rPr>
            </w:pPr>
            <w:r w:rsidRPr="003E29E0">
              <w:rPr>
                <w:rFonts w:cstheme="minorHAnsi"/>
                <w:sz w:val="24"/>
                <w:szCs w:val="24"/>
              </w:rPr>
              <w:t>41 988 (43.54%)</w:t>
            </w:r>
          </w:p>
        </w:tc>
        <w:tc>
          <w:tcPr>
            <w:tcW w:w="0" w:type="auto"/>
            <w:hideMark/>
          </w:tcPr>
          <w:p w14:paraId="0D793E0B" w14:textId="77777777" w:rsidR="003E29E0" w:rsidRPr="003E29E0" w:rsidRDefault="003E29E0" w:rsidP="00394307">
            <w:pPr>
              <w:spacing w:line="259" w:lineRule="auto"/>
              <w:rPr>
                <w:rFonts w:cstheme="minorHAnsi"/>
                <w:sz w:val="24"/>
                <w:szCs w:val="24"/>
              </w:rPr>
            </w:pPr>
            <w:r w:rsidRPr="003E29E0">
              <w:rPr>
                <w:rFonts w:cstheme="minorHAnsi"/>
                <w:sz w:val="24"/>
                <w:szCs w:val="24"/>
              </w:rPr>
              <w:t>18 197 (44.02%)</w:t>
            </w:r>
          </w:p>
        </w:tc>
      </w:tr>
      <w:tr w:rsidR="00394307" w:rsidRPr="003E29E0" w14:paraId="431CAC76" w14:textId="77777777" w:rsidTr="00394307">
        <w:tc>
          <w:tcPr>
            <w:tcW w:w="0" w:type="auto"/>
            <w:hideMark/>
          </w:tcPr>
          <w:p w14:paraId="683585A1" w14:textId="77777777" w:rsidR="003E29E0" w:rsidRPr="003E29E0" w:rsidRDefault="003E29E0" w:rsidP="00E839CA">
            <w:pPr>
              <w:spacing w:line="259" w:lineRule="auto"/>
              <w:ind w:left="336"/>
              <w:rPr>
                <w:rFonts w:cstheme="minorHAnsi"/>
                <w:sz w:val="24"/>
                <w:szCs w:val="24"/>
              </w:rPr>
            </w:pPr>
            <w:r w:rsidRPr="003E29E0">
              <w:rPr>
                <w:rFonts w:cstheme="minorHAnsi"/>
                <w:sz w:val="24"/>
                <w:szCs w:val="24"/>
              </w:rPr>
              <w:t>Married</w:t>
            </w:r>
          </w:p>
        </w:tc>
        <w:tc>
          <w:tcPr>
            <w:tcW w:w="0" w:type="auto"/>
            <w:hideMark/>
          </w:tcPr>
          <w:p w14:paraId="68545CB5" w14:textId="77777777" w:rsidR="003E29E0" w:rsidRPr="003E29E0" w:rsidRDefault="003E29E0" w:rsidP="00394307">
            <w:pPr>
              <w:spacing w:line="259" w:lineRule="auto"/>
              <w:rPr>
                <w:rFonts w:cstheme="minorHAnsi"/>
                <w:sz w:val="24"/>
                <w:szCs w:val="24"/>
              </w:rPr>
            </w:pPr>
            <w:r w:rsidRPr="003E29E0">
              <w:rPr>
                <w:rFonts w:cstheme="minorHAnsi"/>
                <w:sz w:val="24"/>
                <w:szCs w:val="24"/>
              </w:rPr>
              <w:t>43 968 (45.59%)</w:t>
            </w:r>
          </w:p>
        </w:tc>
        <w:tc>
          <w:tcPr>
            <w:tcW w:w="0" w:type="auto"/>
            <w:hideMark/>
          </w:tcPr>
          <w:p w14:paraId="07758930" w14:textId="77777777" w:rsidR="003E29E0" w:rsidRPr="003E29E0" w:rsidRDefault="003E29E0" w:rsidP="00394307">
            <w:pPr>
              <w:spacing w:line="259" w:lineRule="auto"/>
              <w:rPr>
                <w:rFonts w:cstheme="minorHAnsi"/>
                <w:sz w:val="24"/>
                <w:szCs w:val="24"/>
              </w:rPr>
            </w:pPr>
            <w:r w:rsidRPr="003E29E0">
              <w:rPr>
                <w:rFonts w:cstheme="minorHAnsi"/>
                <w:sz w:val="24"/>
                <w:szCs w:val="24"/>
              </w:rPr>
              <w:t>18 566 (44.92%)</w:t>
            </w:r>
          </w:p>
        </w:tc>
      </w:tr>
      <w:tr w:rsidR="00394307" w:rsidRPr="003E29E0" w14:paraId="76B4C748" w14:textId="77777777" w:rsidTr="00394307">
        <w:tc>
          <w:tcPr>
            <w:tcW w:w="0" w:type="auto"/>
            <w:hideMark/>
          </w:tcPr>
          <w:p w14:paraId="3E110348" w14:textId="77777777" w:rsidR="003E29E0" w:rsidRPr="003E29E0" w:rsidRDefault="003E29E0" w:rsidP="00E839CA">
            <w:pPr>
              <w:spacing w:line="259" w:lineRule="auto"/>
              <w:ind w:left="336"/>
              <w:rPr>
                <w:rFonts w:cstheme="minorHAnsi"/>
                <w:sz w:val="24"/>
                <w:szCs w:val="24"/>
              </w:rPr>
            </w:pPr>
            <w:r w:rsidRPr="003E29E0">
              <w:rPr>
                <w:rFonts w:cstheme="minorHAnsi"/>
                <w:sz w:val="24"/>
                <w:szCs w:val="24"/>
              </w:rPr>
              <w:t>Unknown</w:t>
            </w:r>
          </w:p>
        </w:tc>
        <w:tc>
          <w:tcPr>
            <w:tcW w:w="0" w:type="auto"/>
            <w:hideMark/>
          </w:tcPr>
          <w:p w14:paraId="2DB7C7E2" w14:textId="77777777" w:rsidR="003E29E0" w:rsidRPr="003E29E0" w:rsidRDefault="003E29E0" w:rsidP="00394307">
            <w:pPr>
              <w:spacing w:line="259" w:lineRule="auto"/>
              <w:rPr>
                <w:rFonts w:cstheme="minorHAnsi"/>
                <w:sz w:val="24"/>
                <w:szCs w:val="24"/>
              </w:rPr>
            </w:pPr>
            <w:r w:rsidRPr="003E29E0">
              <w:rPr>
                <w:rFonts w:cstheme="minorHAnsi"/>
                <w:sz w:val="24"/>
                <w:szCs w:val="24"/>
              </w:rPr>
              <w:t>10 488 (10.87%)</w:t>
            </w:r>
          </w:p>
        </w:tc>
        <w:tc>
          <w:tcPr>
            <w:tcW w:w="0" w:type="auto"/>
            <w:hideMark/>
          </w:tcPr>
          <w:p w14:paraId="7E7C0410" w14:textId="77777777" w:rsidR="003E29E0" w:rsidRPr="003E29E0" w:rsidRDefault="003E29E0" w:rsidP="00394307">
            <w:pPr>
              <w:spacing w:line="259" w:lineRule="auto"/>
              <w:rPr>
                <w:rFonts w:cstheme="minorHAnsi"/>
                <w:sz w:val="24"/>
                <w:szCs w:val="24"/>
              </w:rPr>
            </w:pPr>
            <w:r w:rsidRPr="003E29E0">
              <w:rPr>
                <w:rFonts w:cstheme="minorHAnsi"/>
                <w:sz w:val="24"/>
                <w:szCs w:val="24"/>
              </w:rPr>
              <w:t>4571 (11.06%)</w:t>
            </w:r>
          </w:p>
        </w:tc>
      </w:tr>
      <w:tr w:rsidR="00394307" w:rsidRPr="003E29E0" w14:paraId="1B04254C" w14:textId="77777777" w:rsidTr="00394307">
        <w:tc>
          <w:tcPr>
            <w:tcW w:w="0" w:type="auto"/>
            <w:hideMark/>
          </w:tcPr>
          <w:p w14:paraId="157A06CB" w14:textId="77777777" w:rsidR="00394307" w:rsidRPr="003E29E0" w:rsidRDefault="00394307" w:rsidP="00394307">
            <w:pPr>
              <w:rPr>
                <w:rFonts w:cstheme="minorHAnsi"/>
                <w:sz w:val="24"/>
                <w:szCs w:val="24"/>
              </w:rPr>
            </w:pPr>
            <w:r w:rsidRPr="003E29E0">
              <w:rPr>
                <w:rFonts w:cstheme="minorHAnsi"/>
                <w:sz w:val="24"/>
                <w:szCs w:val="24"/>
              </w:rPr>
              <w:t>Admission type</w:t>
            </w:r>
          </w:p>
        </w:tc>
        <w:tc>
          <w:tcPr>
            <w:tcW w:w="0" w:type="auto"/>
          </w:tcPr>
          <w:p w14:paraId="05634941" w14:textId="77777777" w:rsidR="00394307" w:rsidRPr="003E29E0" w:rsidRDefault="00394307" w:rsidP="00394307">
            <w:pPr>
              <w:rPr>
                <w:rFonts w:cstheme="minorHAnsi"/>
                <w:sz w:val="24"/>
                <w:szCs w:val="24"/>
              </w:rPr>
            </w:pPr>
          </w:p>
        </w:tc>
        <w:tc>
          <w:tcPr>
            <w:tcW w:w="0" w:type="auto"/>
          </w:tcPr>
          <w:p w14:paraId="104DFD89" w14:textId="66097FD5" w:rsidR="00394307" w:rsidRPr="003E29E0" w:rsidRDefault="00394307" w:rsidP="00394307">
            <w:pPr>
              <w:spacing w:line="259" w:lineRule="auto"/>
              <w:rPr>
                <w:rFonts w:cstheme="minorHAnsi"/>
                <w:sz w:val="24"/>
                <w:szCs w:val="24"/>
              </w:rPr>
            </w:pPr>
          </w:p>
        </w:tc>
      </w:tr>
      <w:tr w:rsidR="00394307" w:rsidRPr="003E29E0" w14:paraId="4577064C" w14:textId="77777777" w:rsidTr="00394307">
        <w:tc>
          <w:tcPr>
            <w:tcW w:w="0" w:type="auto"/>
            <w:hideMark/>
          </w:tcPr>
          <w:p w14:paraId="091794C0" w14:textId="77777777" w:rsidR="003E29E0" w:rsidRPr="003E29E0" w:rsidRDefault="003E29E0" w:rsidP="00E839CA">
            <w:pPr>
              <w:spacing w:line="259" w:lineRule="auto"/>
              <w:ind w:left="336"/>
              <w:rPr>
                <w:rFonts w:cstheme="minorHAnsi"/>
                <w:sz w:val="24"/>
                <w:szCs w:val="24"/>
              </w:rPr>
            </w:pPr>
            <w:r w:rsidRPr="003E29E0">
              <w:rPr>
                <w:rFonts w:cstheme="minorHAnsi"/>
                <w:sz w:val="24"/>
                <w:szCs w:val="24"/>
              </w:rPr>
              <w:t>Emergency</w:t>
            </w:r>
          </w:p>
        </w:tc>
        <w:tc>
          <w:tcPr>
            <w:tcW w:w="0" w:type="auto"/>
            <w:hideMark/>
          </w:tcPr>
          <w:p w14:paraId="68B24FCE" w14:textId="77777777" w:rsidR="003E29E0" w:rsidRPr="003E29E0" w:rsidRDefault="003E29E0" w:rsidP="00394307">
            <w:pPr>
              <w:spacing w:line="259" w:lineRule="auto"/>
              <w:rPr>
                <w:rFonts w:cstheme="minorHAnsi"/>
                <w:sz w:val="24"/>
                <w:szCs w:val="24"/>
              </w:rPr>
            </w:pPr>
            <w:r w:rsidRPr="003E29E0">
              <w:rPr>
                <w:rFonts w:cstheme="minorHAnsi"/>
                <w:sz w:val="24"/>
                <w:szCs w:val="24"/>
              </w:rPr>
              <w:t>52 613 (54.55%)</w:t>
            </w:r>
          </w:p>
        </w:tc>
        <w:tc>
          <w:tcPr>
            <w:tcW w:w="0" w:type="auto"/>
            <w:hideMark/>
          </w:tcPr>
          <w:p w14:paraId="1BAC8BAC" w14:textId="77777777" w:rsidR="003E29E0" w:rsidRPr="003E29E0" w:rsidRDefault="003E29E0" w:rsidP="00394307">
            <w:pPr>
              <w:spacing w:line="259" w:lineRule="auto"/>
              <w:rPr>
                <w:rFonts w:cstheme="minorHAnsi"/>
                <w:sz w:val="24"/>
                <w:szCs w:val="24"/>
              </w:rPr>
            </w:pPr>
            <w:r w:rsidRPr="003E29E0">
              <w:rPr>
                <w:rFonts w:cstheme="minorHAnsi"/>
                <w:sz w:val="24"/>
                <w:szCs w:val="24"/>
              </w:rPr>
              <w:t>22 582 (54.63%)</w:t>
            </w:r>
          </w:p>
        </w:tc>
      </w:tr>
      <w:tr w:rsidR="00394307" w:rsidRPr="003E29E0" w14:paraId="7A36604A" w14:textId="77777777" w:rsidTr="00394307">
        <w:tc>
          <w:tcPr>
            <w:tcW w:w="0" w:type="auto"/>
            <w:hideMark/>
          </w:tcPr>
          <w:p w14:paraId="02397006" w14:textId="77777777" w:rsidR="003E29E0" w:rsidRPr="003E29E0" w:rsidRDefault="003E29E0" w:rsidP="00E839CA">
            <w:pPr>
              <w:spacing w:line="259" w:lineRule="auto"/>
              <w:ind w:left="336"/>
              <w:rPr>
                <w:rFonts w:cstheme="minorHAnsi"/>
                <w:sz w:val="24"/>
                <w:szCs w:val="24"/>
              </w:rPr>
            </w:pPr>
            <w:r w:rsidRPr="003E29E0">
              <w:rPr>
                <w:rFonts w:cstheme="minorHAnsi"/>
                <w:sz w:val="24"/>
                <w:szCs w:val="24"/>
              </w:rPr>
              <w:t>Urgent</w:t>
            </w:r>
          </w:p>
        </w:tc>
        <w:tc>
          <w:tcPr>
            <w:tcW w:w="0" w:type="auto"/>
            <w:hideMark/>
          </w:tcPr>
          <w:p w14:paraId="708B448F" w14:textId="77777777" w:rsidR="003E29E0" w:rsidRPr="003E29E0" w:rsidRDefault="003E29E0" w:rsidP="00394307">
            <w:pPr>
              <w:spacing w:line="259" w:lineRule="auto"/>
              <w:rPr>
                <w:rFonts w:cstheme="minorHAnsi"/>
                <w:sz w:val="24"/>
                <w:szCs w:val="24"/>
              </w:rPr>
            </w:pPr>
            <w:r w:rsidRPr="003E29E0">
              <w:rPr>
                <w:rFonts w:cstheme="minorHAnsi"/>
                <w:sz w:val="24"/>
                <w:szCs w:val="24"/>
              </w:rPr>
              <w:t>17 626 (18.28%)</w:t>
            </w:r>
          </w:p>
        </w:tc>
        <w:tc>
          <w:tcPr>
            <w:tcW w:w="0" w:type="auto"/>
            <w:hideMark/>
          </w:tcPr>
          <w:p w14:paraId="29D20C80" w14:textId="77777777" w:rsidR="003E29E0" w:rsidRPr="003E29E0" w:rsidRDefault="003E29E0" w:rsidP="00394307">
            <w:pPr>
              <w:spacing w:line="259" w:lineRule="auto"/>
              <w:rPr>
                <w:rFonts w:cstheme="minorHAnsi"/>
                <w:sz w:val="24"/>
                <w:szCs w:val="24"/>
              </w:rPr>
            </w:pPr>
            <w:r w:rsidRPr="003E29E0">
              <w:rPr>
                <w:rFonts w:cstheme="minorHAnsi"/>
                <w:sz w:val="24"/>
                <w:szCs w:val="24"/>
              </w:rPr>
              <w:t>7536 (18.23%)</w:t>
            </w:r>
          </w:p>
        </w:tc>
      </w:tr>
      <w:tr w:rsidR="00394307" w:rsidRPr="003E29E0" w14:paraId="418DCCCD" w14:textId="77777777" w:rsidTr="00394307">
        <w:tc>
          <w:tcPr>
            <w:tcW w:w="0" w:type="auto"/>
            <w:hideMark/>
          </w:tcPr>
          <w:p w14:paraId="1318F644" w14:textId="77777777" w:rsidR="003E29E0" w:rsidRPr="003E29E0" w:rsidRDefault="003E29E0" w:rsidP="00E839CA">
            <w:pPr>
              <w:spacing w:line="259" w:lineRule="auto"/>
              <w:ind w:left="336"/>
              <w:rPr>
                <w:rFonts w:cstheme="minorHAnsi"/>
                <w:sz w:val="24"/>
                <w:szCs w:val="24"/>
              </w:rPr>
            </w:pPr>
            <w:r w:rsidRPr="003E29E0">
              <w:rPr>
                <w:rFonts w:cstheme="minorHAnsi"/>
                <w:sz w:val="24"/>
                <w:szCs w:val="24"/>
              </w:rPr>
              <w:t>Elective</w:t>
            </w:r>
          </w:p>
        </w:tc>
        <w:tc>
          <w:tcPr>
            <w:tcW w:w="0" w:type="auto"/>
            <w:hideMark/>
          </w:tcPr>
          <w:p w14:paraId="3FAC3A16" w14:textId="77777777" w:rsidR="003E29E0" w:rsidRPr="003E29E0" w:rsidRDefault="003E29E0" w:rsidP="00394307">
            <w:pPr>
              <w:spacing w:line="259" w:lineRule="auto"/>
              <w:rPr>
                <w:rFonts w:cstheme="minorHAnsi"/>
                <w:sz w:val="24"/>
                <w:szCs w:val="24"/>
              </w:rPr>
            </w:pPr>
            <w:r w:rsidRPr="003E29E0">
              <w:rPr>
                <w:rFonts w:cstheme="minorHAnsi"/>
                <w:sz w:val="24"/>
                <w:szCs w:val="24"/>
              </w:rPr>
              <w:t>17 451 (18.09%)</w:t>
            </w:r>
          </w:p>
        </w:tc>
        <w:tc>
          <w:tcPr>
            <w:tcW w:w="0" w:type="auto"/>
            <w:hideMark/>
          </w:tcPr>
          <w:p w14:paraId="4D3D3E59" w14:textId="77777777" w:rsidR="003E29E0" w:rsidRPr="003E29E0" w:rsidRDefault="003E29E0" w:rsidP="00394307">
            <w:pPr>
              <w:spacing w:line="259" w:lineRule="auto"/>
              <w:rPr>
                <w:rFonts w:cstheme="minorHAnsi"/>
                <w:sz w:val="24"/>
                <w:szCs w:val="24"/>
              </w:rPr>
            </w:pPr>
            <w:r w:rsidRPr="003E29E0">
              <w:rPr>
                <w:rFonts w:cstheme="minorHAnsi"/>
                <w:sz w:val="24"/>
                <w:szCs w:val="24"/>
              </w:rPr>
              <w:t>7543 (18.25%)</w:t>
            </w:r>
          </w:p>
        </w:tc>
      </w:tr>
      <w:tr w:rsidR="00394307" w:rsidRPr="003E29E0" w14:paraId="7692ADED" w14:textId="77777777" w:rsidTr="00394307">
        <w:tc>
          <w:tcPr>
            <w:tcW w:w="0" w:type="auto"/>
            <w:hideMark/>
          </w:tcPr>
          <w:p w14:paraId="77F6A099" w14:textId="77777777" w:rsidR="003E29E0" w:rsidRPr="003E29E0" w:rsidRDefault="003E29E0" w:rsidP="00E839CA">
            <w:pPr>
              <w:spacing w:line="259" w:lineRule="auto"/>
              <w:ind w:left="336"/>
              <w:rPr>
                <w:rFonts w:cstheme="minorHAnsi"/>
                <w:sz w:val="24"/>
                <w:szCs w:val="24"/>
              </w:rPr>
            </w:pPr>
            <w:r w:rsidRPr="003E29E0">
              <w:rPr>
                <w:rFonts w:cstheme="minorHAnsi"/>
                <w:sz w:val="24"/>
                <w:szCs w:val="24"/>
              </w:rPr>
              <w:t>Unknown</w:t>
            </w:r>
          </w:p>
        </w:tc>
        <w:tc>
          <w:tcPr>
            <w:tcW w:w="0" w:type="auto"/>
            <w:hideMark/>
          </w:tcPr>
          <w:p w14:paraId="4B7BFC67" w14:textId="77777777" w:rsidR="003E29E0" w:rsidRPr="003E29E0" w:rsidRDefault="003E29E0" w:rsidP="00394307">
            <w:pPr>
              <w:spacing w:line="259" w:lineRule="auto"/>
              <w:rPr>
                <w:rFonts w:cstheme="minorHAnsi"/>
                <w:sz w:val="24"/>
                <w:szCs w:val="24"/>
              </w:rPr>
            </w:pPr>
            <w:r w:rsidRPr="003E29E0">
              <w:rPr>
                <w:rFonts w:cstheme="minorHAnsi"/>
                <w:sz w:val="24"/>
                <w:szCs w:val="24"/>
              </w:rPr>
              <w:t>8754 (9.08%)</w:t>
            </w:r>
          </w:p>
        </w:tc>
        <w:tc>
          <w:tcPr>
            <w:tcW w:w="0" w:type="auto"/>
            <w:hideMark/>
          </w:tcPr>
          <w:p w14:paraId="6E8EC7C4" w14:textId="77777777" w:rsidR="003E29E0" w:rsidRPr="003E29E0" w:rsidRDefault="003E29E0" w:rsidP="00394307">
            <w:pPr>
              <w:spacing w:line="259" w:lineRule="auto"/>
              <w:rPr>
                <w:rFonts w:cstheme="minorHAnsi"/>
                <w:sz w:val="24"/>
                <w:szCs w:val="24"/>
              </w:rPr>
            </w:pPr>
            <w:r w:rsidRPr="003E29E0">
              <w:rPr>
                <w:rFonts w:cstheme="minorHAnsi"/>
                <w:sz w:val="24"/>
                <w:szCs w:val="24"/>
              </w:rPr>
              <w:t>3673 (8.89%)</w:t>
            </w:r>
          </w:p>
        </w:tc>
      </w:tr>
      <w:tr w:rsidR="00394307" w:rsidRPr="003E29E0" w14:paraId="21565136" w14:textId="77777777" w:rsidTr="00394307">
        <w:tc>
          <w:tcPr>
            <w:tcW w:w="0" w:type="auto"/>
            <w:hideMark/>
          </w:tcPr>
          <w:p w14:paraId="4F3BDA10" w14:textId="77777777" w:rsidR="00394307" w:rsidRPr="003E29E0" w:rsidRDefault="00394307" w:rsidP="00394307">
            <w:pPr>
              <w:rPr>
                <w:rFonts w:cstheme="minorHAnsi"/>
                <w:sz w:val="24"/>
                <w:szCs w:val="24"/>
              </w:rPr>
            </w:pPr>
            <w:r w:rsidRPr="003E29E0">
              <w:rPr>
                <w:rFonts w:cstheme="minorHAnsi"/>
                <w:sz w:val="24"/>
                <w:szCs w:val="24"/>
              </w:rPr>
              <w:t>Admission source</w:t>
            </w:r>
          </w:p>
        </w:tc>
        <w:tc>
          <w:tcPr>
            <w:tcW w:w="0" w:type="auto"/>
          </w:tcPr>
          <w:p w14:paraId="46296C2F" w14:textId="77777777" w:rsidR="00394307" w:rsidRPr="003E29E0" w:rsidRDefault="00394307" w:rsidP="00394307">
            <w:pPr>
              <w:rPr>
                <w:rFonts w:cstheme="minorHAnsi"/>
                <w:sz w:val="24"/>
                <w:szCs w:val="24"/>
              </w:rPr>
            </w:pPr>
          </w:p>
        </w:tc>
        <w:tc>
          <w:tcPr>
            <w:tcW w:w="0" w:type="auto"/>
          </w:tcPr>
          <w:p w14:paraId="74274386" w14:textId="232B4D29" w:rsidR="00394307" w:rsidRPr="003E29E0" w:rsidRDefault="00394307" w:rsidP="00394307">
            <w:pPr>
              <w:spacing w:line="259" w:lineRule="auto"/>
              <w:rPr>
                <w:rFonts w:cstheme="minorHAnsi"/>
                <w:sz w:val="24"/>
                <w:szCs w:val="24"/>
              </w:rPr>
            </w:pPr>
          </w:p>
        </w:tc>
      </w:tr>
      <w:tr w:rsidR="00394307" w:rsidRPr="003E29E0" w14:paraId="062B210D" w14:textId="77777777" w:rsidTr="00394307">
        <w:tc>
          <w:tcPr>
            <w:tcW w:w="0" w:type="auto"/>
            <w:hideMark/>
          </w:tcPr>
          <w:p w14:paraId="07763CE4" w14:textId="77777777" w:rsidR="003E29E0" w:rsidRPr="003E29E0" w:rsidRDefault="003E29E0" w:rsidP="00E839CA">
            <w:pPr>
              <w:spacing w:line="259" w:lineRule="auto"/>
              <w:ind w:left="336"/>
              <w:rPr>
                <w:rFonts w:cstheme="minorHAnsi"/>
                <w:sz w:val="24"/>
                <w:szCs w:val="24"/>
              </w:rPr>
            </w:pPr>
            <w:r w:rsidRPr="003E29E0">
              <w:rPr>
                <w:rFonts w:cstheme="minorHAnsi"/>
                <w:sz w:val="24"/>
                <w:szCs w:val="24"/>
              </w:rPr>
              <w:t>Physician referral</w:t>
            </w:r>
          </w:p>
        </w:tc>
        <w:tc>
          <w:tcPr>
            <w:tcW w:w="0" w:type="auto"/>
            <w:hideMark/>
          </w:tcPr>
          <w:p w14:paraId="5E0ABA1D" w14:textId="77777777" w:rsidR="003E29E0" w:rsidRPr="003E29E0" w:rsidRDefault="003E29E0" w:rsidP="00394307">
            <w:pPr>
              <w:spacing w:line="259" w:lineRule="auto"/>
              <w:rPr>
                <w:rFonts w:cstheme="minorHAnsi"/>
                <w:sz w:val="24"/>
                <w:szCs w:val="24"/>
              </w:rPr>
            </w:pPr>
            <w:r w:rsidRPr="003E29E0">
              <w:rPr>
                <w:rFonts w:cstheme="minorHAnsi"/>
                <w:sz w:val="24"/>
                <w:szCs w:val="24"/>
              </w:rPr>
              <w:t>36 540 (37.89%)</w:t>
            </w:r>
          </w:p>
        </w:tc>
        <w:tc>
          <w:tcPr>
            <w:tcW w:w="0" w:type="auto"/>
            <w:hideMark/>
          </w:tcPr>
          <w:p w14:paraId="5C92C8B8" w14:textId="77777777" w:rsidR="003E29E0" w:rsidRPr="003E29E0" w:rsidRDefault="003E29E0" w:rsidP="00394307">
            <w:pPr>
              <w:spacing w:line="259" w:lineRule="auto"/>
              <w:rPr>
                <w:rFonts w:cstheme="minorHAnsi"/>
                <w:sz w:val="24"/>
                <w:szCs w:val="24"/>
              </w:rPr>
            </w:pPr>
            <w:r w:rsidRPr="003E29E0">
              <w:rPr>
                <w:rFonts w:cstheme="minorHAnsi"/>
                <w:sz w:val="24"/>
                <w:szCs w:val="24"/>
              </w:rPr>
              <w:t>15 822 (38.28%)</w:t>
            </w:r>
          </w:p>
        </w:tc>
      </w:tr>
      <w:tr w:rsidR="00394307" w:rsidRPr="003E29E0" w14:paraId="19DD6A75" w14:textId="77777777" w:rsidTr="00394307">
        <w:tc>
          <w:tcPr>
            <w:tcW w:w="0" w:type="auto"/>
            <w:hideMark/>
          </w:tcPr>
          <w:p w14:paraId="3F9F99E8" w14:textId="77777777" w:rsidR="003E29E0" w:rsidRPr="003E29E0" w:rsidRDefault="003E29E0" w:rsidP="00E839CA">
            <w:pPr>
              <w:spacing w:line="259" w:lineRule="auto"/>
              <w:ind w:left="336"/>
              <w:rPr>
                <w:rFonts w:cstheme="minorHAnsi"/>
                <w:sz w:val="24"/>
                <w:szCs w:val="24"/>
              </w:rPr>
            </w:pPr>
            <w:r w:rsidRPr="003E29E0">
              <w:rPr>
                <w:rFonts w:cstheme="minorHAnsi"/>
                <w:sz w:val="24"/>
                <w:szCs w:val="24"/>
              </w:rPr>
              <w:t>Clinic referral</w:t>
            </w:r>
          </w:p>
        </w:tc>
        <w:tc>
          <w:tcPr>
            <w:tcW w:w="0" w:type="auto"/>
            <w:hideMark/>
          </w:tcPr>
          <w:p w14:paraId="68E03D3C" w14:textId="77777777" w:rsidR="003E29E0" w:rsidRPr="003E29E0" w:rsidRDefault="003E29E0" w:rsidP="00394307">
            <w:pPr>
              <w:spacing w:line="259" w:lineRule="auto"/>
              <w:rPr>
                <w:rFonts w:cstheme="minorHAnsi"/>
                <w:sz w:val="24"/>
                <w:szCs w:val="24"/>
              </w:rPr>
            </w:pPr>
            <w:r w:rsidRPr="003E29E0">
              <w:rPr>
                <w:rFonts w:cstheme="minorHAnsi"/>
                <w:sz w:val="24"/>
                <w:szCs w:val="24"/>
              </w:rPr>
              <w:t>6247 (6.48%)</w:t>
            </w:r>
          </w:p>
        </w:tc>
        <w:tc>
          <w:tcPr>
            <w:tcW w:w="0" w:type="auto"/>
            <w:hideMark/>
          </w:tcPr>
          <w:p w14:paraId="7D9A0C79" w14:textId="77777777" w:rsidR="003E29E0" w:rsidRPr="003E29E0" w:rsidRDefault="003E29E0" w:rsidP="00394307">
            <w:pPr>
              <w:spacing w:line="259" w:lineRule="auto"/>
              <w:rPr>
                <w:rFonts w:cstheme="minorHAnsi"/>
                <w:sz w:val="24"/>
                <w:szCs w:val="24"/>
              </w:rPr>
            </w:pPr>
            <w:r w:rsidRPr="003E29E0">
              <w:rPr>
                <w:rFonts w:cstheme="minorHAnsi"/>
                <w:sz w:val="24"/>
                <w:szCs w:val="24"/>
              </w:rPr>
              <w:t>2662 (6.44%)</w:t>
            </w:r>
          </w:p>
        </w:tc>
      </w:tr>
      <w:tr w:rsidR="00394307" w:rsidRPr="003E29E0" w14:paraId="3E4D8B20" w14:textId="77777777" w:rsidTr="00394307">
        <w:tc>
          <w:tcPr>
            <w:tcW w:w="0" w:type="auto"/>
            <w:hideMark/>
          </w:tcPr>
          <w:p w14:paraId="5E49BE94" w14:textId="77777777" w:rsidR="003E29E0" w:rsidRPr="003E29E0" w:rsidRDefault="003E29E0" w:rsidP="00E839CA">
            <w:pPr>
              <w:spacing w:line="259" w:lineRule="auto"/>
              <w:ind w:left="336"/>
              <w:rPr>
                <w:rFonts w:cstheme="minorHAnsi"/>
                <w:sz w:val="24"/>
                <w:szCs w:val="24"/>
              </w:rPr>
            </w:pPr>
            <w:r w:rsidRPr="003E29E0">
              <w:rPr>
                <w:rFonts w:cstheme="minorHAnsi"/>
                <w:sz w:val="24"/>
                <w:szCs w:val="24"/>
              </w:rPr>
              <w:t>Managed care referral</w:t>
            </w:r>
          </w:p>
        </w:tc>
        <w:tc>
          <w:tcPr>
            <w:tcW w:w="0" w:type="auto"/>
            <w:hideMark/>
          </w:tcPr>
          <w:p w14:paraId="4E2116D2" w14:textId="77777777" w:rsidR="003E29E0" w:rsidRPr="003E29E0" w:rsidRDefault="003E29E0" w:rsidP="00394307">
            <w:pPr>
              <w:spacing w:line="259" w:lineRule="auto"/>
              <w:rPr>
                <w:rFonts w:cstheme="minorHAnsi"/>
                <w:sz w:val="24"/>
                <w:szCs w:val="24"/>
              </w:rPr>
            </w:pPr>
            <w:r w:rsidRPr="003E29E0">
              <w:rPr>
                <w:rFonts w:cstheme="minorHAnsi"/>
                <w:sz w:val="24"/>
                <w:szCs w:val="24"/>
              </w:rPr>
              <w:t>185 (0.19%)</w:t>
            </w:r>
          </w:p>
        </w:tc>
        <w:tc>
          <w:tcPr>
            <w:tcW w:w="0" w:type="auto"/>
            <w:hideMark/>
          </w:tcPr>
          <w:p w14:paraId="66755512" w14:textId="77777777" w:rsidR="003E29E0" w:rsidRPr="003E29E0" w:rsidRDefault="003E29E0" w:rsidP="00394307">
            <w:pPr>
              <w:spacing w:line="259" w:lineRule="auto"/>
              <w:rPr>
                <w:rFonts w:cstheme="minorHAnsi"/>
                <w:sz w:val="24"/>
                <w:szCs w:val="24"/>
              </w:rPr>
            </w:pPr>
            <w:r w:rsidRPr="003E29E0">
              <w:rPr>
                <w:rFonts w:cstheme="minorHAnsi"/>
                <w:sz w:val="24"/>
                <w:szCs w:val="24"/>
              </w:rPr>
              <w:t>79 (0.19%)</w:t>
            </w:r>
          </w:p>
        </w:tc>
      </w:tr>
      <w:tr w:rsidR="00394307" w:rsidRPr="003E29E0" w14:paraId="609A9F74" w14:textId="77777777" w:rsidTr="00394307">
        <w:tc>
          <w:tcPr>
            <w:tcW w:w="0" w:type="auto"/>
            <w:hideMark/>
          </w:tcPr>
          <w:p w14:paraId="3FDF2091" w14:textId="77777777" w:rsidR="003E29E0" w:rsidRPr="003E29E0" w:rsidRDefault="003E29E0" w:rsidP="00E839CA">
            <w:pPr>
              <w:spacing w:line="259" w:lineRule="auto"/>
              <w:ind w:left="336"/>
              <w:rPr>
                <w:rFonts w:cstheme="minorHAnsi"/>
                <w:sz w:val="24"/>
                <w:szCs w:val="24"/>
              </w:rPr>
            </w:pPr>
            <w:r w:rsidRPr="003E29E0">
              <w:rPr>
                <w:rFonts w:cstheme="minorHAnsi"/>
                <w:sz w:val="24"/>
                <w:szCs w:val="24"/>
              </w:rPr>
              <w:t>Transfer from hospital</w:t>
            </w:r>
          </w:p>
        </w:tc>
        <w:tc>
          <w:tcPr>
            <w:tcW w:w="0" w:type="auto"/>
            <w:hideMark/>
          </w:tcPr>
          <w:p w14:paraId="6DF141A0" w14:textId="77777777" w:rsidR="003E29E0" w:rsidRPr="003E29E0" w:rsidRDefault="003E29E0" w:rsidP="00394307">
            <w:pPr>
              <w:spacing w:line="259" w:lineRule="auto"/>
              <w:rPr>
                <w:rFonts w:cstheme="minorHAnsi"/>
                <w:sz w:val="24"/>
                <w:szCs w:val="24"/>
              </w:rPr>
            </w:pPr>
            <w:r w:rsidRPr="003E29E0">
              <w:rPr>
                <w:rFonts w:cstheme="minorHAnsi"/>
                <w:sz w:val="24"/>
                <w:szCs w:val="24"/>
              </w:rPr>
              <w:t>3022 (3.13%)</w:t>
            </w:r>
          </w:p>
        </w:tc>
        <w:tc>
          <w:tcPr>
            <w:tcW w:w="0" w:type="auto"/>
            <w:hideMark/>
          </w:tcPr>
          <w:p w14:paraId="5B6F86FE" w14:textId="77777777" w:rsidR="003E29E0" w:rsidRPr="003E29E0" w:rsidRDefault="003E29E0" w:rsidP="00394307">
            <w:pPr>
              <w:spacing w:line="259" w:lineRule="auto"/>
              <w:rPr>
                <w:rFonts w:cstheme="minorHAnsi"/>
                <w:sz w:val="24"/>
                <w:szCs w:val="24"/>
              </w:rPr>
            </w:pPr>
            <w:r w:rsidRPr="003E29E0">
              <w:rPr>
                <w:rFonts w:cstheme="minorHAnsi"/>
                <w:sz w:val="24"/>
                <w:szCs w:val="24"/>
              </w:rPr>
              <w:t>1271 (3.07%)</w:t>
            </w:r>
          </w:p>
        </w:tc>
      </w:tr>
      <w:tr w:rsidR="00394307" w:rsidRPr="003E29E0" w14:paraId="05709B8A" w14:textId="77777777" w:rsidTr="00394307">
        <w:tc>
          <w:tcPr>
            <w:tcW w:w="0" w:type="auto"/>
            <w:hideMark/>
          </w:tcPr>
          <w:p w14:paraId="26E41589" w14:textId="77777777" w:rsidR="003E29E0" w:rsidRPr="003E29E0" w:rsidRDefault="003E29E0" w:rsidP="00E839CA">
            <w:pPr>
              <w:spacing w:line="259" w:lineRule="auto"/>
              <w:ind w:left="336"/>
              <w:rPr>
                <w:rFonts w:cstheme="minorHAnsi"/>
                <w:sz w:val="24"/>
                <w:szCs w:val="24"/>
              </w:rPr>
            </w:pPr>
            <w:r w:rsidRPr="003E29E0">
              <w:rPr>
                <w:rFonts w:cstheme="minorHAnsi"/>
                <w:sz w:val="24"/>
                <w:szCs w:val="24"/>
              </w:rPr>
              <w:t>Transfer from another healthcare facility</w:t>
            </w:r>
          </w:p>
        </w:tc>
        <w:tc>
          <w:tcPr>
            <w:tcW w:w="0" w:type="auto"/>
            <w:hideMark/>
          </w:tcPr>
          <w:p w14:paraId="171AEDEE" w14:textId="77777777" w:rsidR="003E29E0" w:rsidRPr="003E29E0" w:rsidRDefault="003E29E0" w:rsidP="00394307">
            <w:pPr>
              <w:spacing w:line="259" w:lineRule="auto"/>
              <w:rPr>
                <w:rFonts w:cstheme="minorHAnsi"/>
                <w:sz w:val="24"/>
                <w:szCs w:val="24"/>
              </w:rPr>
            </w:pPr>
            <w:r w:rsidRPr="003E29E0">
              <w:rPr>
                <w:rFonts w:cstheme="minorHAnsi"/>
                <w:sz w:val="24"/>
                <w:szCs w:val="24"/>
              </w:rPr>
              <w:t>2199 (2.28%)</w:t>
            </w:r>
          </w:p>
        </w:tc>
        <w:tc>
          <w:tcPr>
            <w:tcW w:w="0" w:type="auto"/>
            <w:hideMark/>
          </w:tcPr>
          <w:p w14:paraId="7F269009" w14:textId="77777777" w:rsidR="003E29E0" w:rsidRPr="003E29E0" w:rsidRDefault="003E29E0" w:rsidP="00394307">
            <w:pPr>
              <w:spacing w:line="259" w:lineRule="auto"/>
              <w:rPr>
                <w:rFonts w:cstheme="minorHAnsi"/>
                <w:sz w:val="24"/>
                <w:szCs w:val="24"/>
              </w:rPr>
            </w:pPr>
            <w:r w:rsidRPr="003E29E0">
              <w:rPr>
                <w:rFonts w:cstheme="minorHAnsi"/>
                <w:sz w:val="24"/>
                <w:szCs w:val="24"/>
              </w:rPr>
              <w:t>966 (2.34%)</w:t>
            </w:r>
          </w:p>
        </w:tc>
      </w:tr>
      <w:tr w:rsidR="00394307" w:rsidRPr="003E29E0" w14:paraId="5B8E2F20" w14:textId="77777777" w:rsidTr="00394307">
        <w:tc>
          <w:tcPr>
            <w:tcW w:w="0" w:type="auto"/>
            <w:hideMark/>
          </w:tcPr>
          <w:p w14:paraId="4C0BB0C2" w14:textId="77777777" w:rsidR="003E29E0" w:rsidRPr="003E29E0" w:rsidRDefault="003E29E0" w:rsidP="00E839CA">
            <w:pPr>
              <w:spacing w:line="259" w:lineRule="auto"/>
              <w:ind w:left="336"/>
              <w:rPr>
                <w:rFonts w:cstheme="minorHAnsi"/>
                <w:sz w:val="24"/>
                <w:szCs w:val="24"/>
              </w:rPr>
            </w:pPr>
            <w:r w:rsidRPr="003E29E0">
              <w:rPr>
                <w:rFonts w:cstheme="minorHAnsi"/>
                <w:sz w:val="24"/>
                <w:szCs w:val="24"/>
              </w:rPr>
              <w:t>Emergency department</w:t>
            </w:r>
          </w:p>
        </w:tc>
        <w:tc>
          <w:tcPr>
            <w:tcW w:w="0" w:type="auto"/>
            <w:hideMark/>
          </w:tcPr>
          <w:p w14:paraId="7788E215" w14:textId="77777777" w:rsidR="003E29E0" w:rsidRPr="003E29E0" w:rsidRDefault="003E29E0" w:rsidP="00394307">
            <w:pPr>
              <w:spacing w:line="259" w:lineRule="auto"/>
              <w:rPr>
                <w:rFonts w:cstheme="minorHAnsi"/>
                <w:sz w:val="24"/>
                <w:szCs w:val="24"/>
              </w:rPr>
            </w:pPr>
            <w:r w:rsidRPr="003E29E0">
              <w:rPr>
                <w:rFonts w:cstheme="minorHAnsi"/>
                <w:sz w:val="24"/>
                <w:szCs w:val="24"/>
              </w:rPr>
              <w:t>19 605 (20.33%)</w:t>
            </w:r>
          </w:p>
        </w:tc>
        <w:tc>
          <w:tcPr>
            <w:tcW w:w="0" w:type="auto"/>
            <w:hideMark/>
          </w:tcPr>
          <w:p w14:paraId="59563723" w14:textId="77777777" w:rsidR="003E29E0" w:rsidRPr="003E29E0" w:rsidRDefault="003E29E0" w:rsidP="00394307">
            <w:pPr>
              <w:spacing w:line="259" w:lineRule="auto"/>
              <w:rPr>
                <w:rFonts w:cstheme="minorHAnsi"/>
                <w:sz w:val="24"/>
                <w:szCs w:val="24"/>
              </w:rPr>
            </w:pPr>
            <w:r w:rsidRPr="003E29E0">
              <w:rPr>
                <w:rFonts w:cstheme="minorHAnsi"/>
                <w:sz w:val="24"/>
                <w:szCs w:val="24"/>
              </w:rPr>
              <w:t>8356 (20.22%)</w:t>
            </w:r>
          </w:p>
        </w:tc>
      </w:tr>
      <w:tr w:rsidR="00394307" w:rsidRPr="003E29E0" w14:paraId="1928DF5E" w14:textId="77777777" w:rsidTr="00394307">
        <w:tc>
          <w:tcPr>
            <w:tcW w:w="0" w:type="auto"/>
            <w:hideMark/>
          </w:tcPr>
          <w:p w14:paraId="78B2D0AA" w14:textId="77777777" w:rsidR="003E29E0" w:rsidRPr="003E29E0" w:rsidRDefault="003E29E0" w:rsidP="00E839CA">
            <w:pPr>
              <w:spacing w:line="259" w:lineRule="auto"/>
              <w:ind w:left="336"/>
              <w:rPr>
                <w:rFonts w:cstheme="minorHAnsi"/>
                <w:sz w:val="24"/>
                <w:szCs w:val="24"/>
              </w:rPr>
            </w:pPr>
            <w:r w:rsidRPr="003E29E0">
              <w:rPr>
                <w:rFonts w:cstheme="minorHAnsi"/>
                <w:sz w:val="24"/>
                <w:szCs w:val="24"/>
              </w:rPr>
              <w:t>Unknown</w:t>
            </w:r>
          </w:p>
        </w:tc>
        <w:tc>
          <w:tcPr>
            <w:tcW w:w="0" w:type="auto"/>
            <w:hideMark/>
          </w:tcPr>
          <w:p w14:paraId="7EFBF520" w14:textId="77777777" w:rsidR="003E29E0" w:rsidRPr="003E29E0" w:rsidRDefault="003E29E0" w:rsidP="00394307">
            <w:pPr>
              <w:spacing w:line="259" w:lineRule="auto"/>
              <w:rPr>
                <w:rFonts w:cstheme="minorHAnsi"/>
                <w:sz w:val="24"/>
                <w:szCs w:val="24"/>
              </w:rPr>
            </w:pPr>
            <w:r w:rsidRPr="003E29E0">
              <w:rPr>
                <w:rFonts w:cstheme="minorHAnsi"/>
                <w:sz w:val="24"/>
                <w:szCs w:val="24"/>
              </w:rPr>
              <w:t>28 646 (29.70%)</w:t>
            </w:r>
          </w:p>
        </w:tc>
        <w:tc>
          <w:tcPr>
            <w:tcW w:w="0" w:type="auto"/>
            <w:hideMark/>
          </w:tcPr>
          <w:p w14:paraId="22F7D812" w14:textId="77777777" w:rsidR="003E29E0" w:rsidRPr="003E29E0" w:rsidRDefault="003E29E0" w:rsidP="00394307">
            <w:pPr>
              <w:spacing w:line="259" w:lineRule="auto"/>
              <w:rPr>
                <w:rFonts w:cstheme="minorHAnsi"/>
                <w:sz w:val="24"/>
                <w:szCs w:val="24"/>
              </w:rPr>
            </w:pPr>
            <w:r w:rsidRPr="003E29E0">
              <w:rPr>
                <w:rFonts w:cstheme="minorHAnsi"/>
                <w:sz w:val="24"/>
                <w:szCs w:val="24"/>
              </w:rPr>
              <w:t>12 177 (29.46%)</w:t>
            </w:r>
          </w:p>
        </w:tc>
      </w:tr>
      <w:tr w:rsidR="00394307" w:rsidRPr="003E29E0" w14:paraId="3CC3440C" w14:textId="77777777" w:rsidTr="00394307">
        <w:tc>
          <w:tcPr>
            <w:tcW w:w="0" w:type="auto"/>
            <w:hideMark/>
          </w:tcPr>
          <w:p w14:paraId="4F919F36" w14:textId="77777777" w:rsidR="00394307" w:rsidRPr="003E29E0" w:rsidRDefault="00394307" w:rsidP="00394307">
            <w:pPr>
              <w:rPr>
                <w:rFonts w:cstheme="minorHAnsi"/>
                <w:sz w:val="24"/>
                <w:szCs w:val="24"/>
              </w:rPr>
            </w:pPr>
            <w:r w:rsidRPr="003E29E0">
              <w:rPr>
                <w:rFonts w:cstheme="minorHAnsi"/>
                <w:sz w:val="24"/>
                <w:szCs w:val="24"/>
              </w:rPr>
              <w:t>Service type</w:t>
            </w:r>
          </w:p>
        </w:tc>
        <w:tc>
          <w:tcPr>
            <w:tcW w:w="0" w:type="auto"/>
          </w:tcPr>
          <w:p w14:paraId="2095AC84" w14:textId="77777777" w:rsidR="00394307" w:rsidRPr="003E29E0" w:rsidRDefault="00394307" w:rsidP="00394307">
            <w:pPr>
              <w:rPr>
                <w:rFonts w:cstheme="minorHAnsi"/>
                <w:sz w:val="24"/>
                <w:szCs w:val="24"/>
              </w:rPr>
            </w:pPr>
          </w:p>
        </w:tc>
        <w:tc>
          <w:tcPr>
            <w:tcW w:w="0" w:type="auto"/>
          </w:tcPr>
          <w:p w14:paraId="500DCECC" w14:textId="1070B9B9" w:rsidR="00394307" w:rsidRPr="003E29E0" w:rsidRDefault="00394307" w:rsidP="00394307">
            <w:pPr>
              <w:spacing w:line="259" w:lineRule="auto"/>
              <w:rPr>
                <w:rFonts w:cstheme="minorHAnsi"/>
                <w:sz w:val="24"/>
                <w:szCs w:val="24"/>
              </w:rPr>
            </w:pPr>
          </w:p>
        </w:tc>
      </w:tr>
      <w:tr w:rsidR="00394307" w:rsidRPr="003E29E0" w14:paraId="04BD796C" w14:textId="77777777" w:rsidTr="00394307">
        <w:tc>
          <w:tcPr>
            <w:tcW w:w="0" w:type="auto"/>
            <w:hideMark/>
          </w:tcPr>
          <w:p w14:paraId="2A165554" w14:textId="77777777" w:rsidR="003E29E0" w:rsidRPr="003E29E0" w:rsidRDefault="003E29E0" w:rsidP="00E839CA">
            <w:pPr>
              <w:spacing w:line="259" w:lineRule="auto"/>
              <w:ind w:left="336"/>
              <w:rPr>
                <w:rFonts w:cstheme="minorHAnsi"/>
                <w:sz w:val="24"/>
                <w:szCs w:val="24"/>
              </w:rPr>
            </w:pPr>
            <w:r w:rsidRPr="003E29E0">
              <w:rPr>
                <w:rFonts w:cstheme="minorHAnsi"/>
                <w:sz w:val="24"/>
                <w:szCs w:val="24"/>
              </w:rPr>
              <w:t>Medical</w:t>
            </w:r>
          </w:p>
        </w:tc>
        <w:tc>
          <w:tcPr>
            <w:tcW w:w="0" w:type="auto"/>
            <w:hideMark/>
          </w:tcPr>
          <w:p w14:paraId="35D4509B" w14:textId="77777777" w:rsidR="003E29E0" w:rsidRPr="003E29E0" w:rsidRDefault="003E29E0" w:rsidP="00394307">
            <w:pPr>
              <w:spacing w:line="259" w:lineRule="auto"/>
              <w:rPr>
                <w:rFonts w:cstheme="minorHAnsi"/>
                <w:sz w:val="24"/>
                <w:szCs w:val="24"/>
              </w:rPr>
            </w:pPr>
            <w:r w:rsidRPr="003E29E0">
              <w:rPr>
                <w:rFonts w:cstheme="minorHAnsi"/>
                <w:sz w:val="24"/>
                <w:szCs w:val="24"/>
              </w:rPr>
              <w:t>69 385 (71.94%)</w:t>
            </w:r>
          </w:p>
        </w:tc>
        <w:tc>
          <w:tcPr>
            <w:tcW w:w="0" w:type="auto"/>
            <w:hideMark/>
          </w:tcPr>
          <w:p w14:paraId="2D252306" w14:textId="77777777" w:rsidR="003E29E0" w:rsidRPr="003E29E0" w:rsidRDefault="003E29E0" w:rsidP="00394307">
            <w:pPr>
              <w:spacing w:line="259" w:lineRule="auto"/>
              <w:rPr>
                <w:rFonts w:cstheme="minorHAnsi"/>
                <w:sz w:val="24"/>
                <w:szCs w:val="24"/>
              </w:rPr>
            </w:pPr>
            <w:r w:rsidRPr="003E29E0">
              <w:rPr>
                <w:rFonts w:cstheme="minorHAnsi"/>
                <w:sz w:val="24"/>
                <w:szCs w:val="24"/>
              </w:rPr>
              <w:t>29 770 (72.02%)</w:t>
            </w:r>
          </w:p>
        </w:tc>
      </w:tr>
      <w:tr w:rsidR="00394307" w:rsidRPr="003E29E0" w14:paraId="69234875" w14:textId="77777777" w:rsidTr="00394307">
        <w:tc>
          <w:tcPr>
            <w:tcW w:w="0" w:type="auto"/>
            <w:hideMark/>
          </w:tcPr>
          <w:p w14:paraId="73E7C859" w14:textId="77777777" w:rsidR="003E29E0" w:rsidRPr="003E29E0" w:rsidRDefault="003E29E0" w:rsidP="00E839CA">
            <w:pPr>
              <w:spacing w:line="259" w:lineRule="auto"/>
              <w:ind w:left="336"/>
              <w:rPr>
                <w:rFonts w:cstheme="minorHAnsi"/>
                <w:sz w:val="24"/>
                <w:szCs w:val="24"/>
              </w:rPr>
            </w:pPr>
            <w:r w:rsidRPr="003E29E0">
              <w:rPr>
                <w:rFonts w:cstheme="minorHAnsi"/>
                <w:sz w:val="24"/>
                <w:szCs w:val="24"/>
              </w:rPr>
              <w:t>Surgical</w:t>
            </w:r>
          </w:p>
        </w:tc>
        <w:tc>
          <w:tcPr>
            <w:tcW w:w="0" w:type="auto"/>
            <w:hideMark/>
          </w:tcPr>
          <w:p w14:paraId="1DFDED4E" w14:textId="77777777" w:rsidR="003E29E0" w:rsidRPr="003E29E0" w:rsidRDefault="003E29E0" w:rsidP="00394307">
            <w:pPr>
              <w:spacing w:line="259" w:lineRule="auto"/>
              <w:rPr>
                <w:rFonts w:cstheme="minorHAnsi"/>
                <w:sz w:val="24"/>
                <w:szCs w:val="24"/>
              </w:rPr>
            </w:pPr>
            <w:r w:rsidRPr="003E29E0">
              <w:rPr>
                <w:rFonts w:cstheme="minorHAnsi"/>
                <w:sz w:val="24"/>
                <w:szCs w:val="24"/>
              </w:rPr>
              <w:t>25 748 (26.70%)</w:t>
            </w:r>
          </w:p>
        </w:tc>
        <w:tc>
          <w:tcPr>
            <w:tcW w:w="0" w:type="auto"/>
            <w:hideMark/>
          </w:tcPr>
          <w:p w14:paraId="31857D43" w14:textId="77777777" w:rsidR="003E29E0" w:rsidRPr="003E29E0" w:rsidRDefault="003E29E0" w:rsidP="00394307">
            <w:pPr>
              <w:spacing w:line="259" w:lineRule="auto"/>
              <w:rPr>
                <w:rFonts w:cstheme="minorHAnsi"/>
                <w:sz w:val="24"/>
                <w:szCs w:val="24"/>
              </w:rPr>
            </w:pPr>
            <w:r w:rsidRPr="003E29E0">
              <w:rPr>
                <w:rFonts w:cstheme="minorHAnsi"/>
                <w:sz w:val="24"/>
                <w:szCs w:val="24"/>
              </w:rPr>
              <w:t>11 025 (26.67%)</w:t>
            </w:r>
          </w:p>
        </w:tc>
      </w:tr>
      <w:tr w:rsidR="00394307" w:rsidRPr="003E29E0" w14:paraId="155ED302" w14:textId="77777777" w:rsidTr="00394307">
        <w:tc>
          <w:tcPr>
            <w:tcW w:w="0" w:type="auto"/>
            <w:hideMark/>
          </w:tcPr>
          <w:p w14:paraId="099F9789" w14:textId="77777777" w:rsidR="003E29E0" w:rsidRPr="003E29E0" w:rsidRDefault="003E29E0" w:rsidP="00E839CA">
            <w:pPr>
              <w:spacing w:line="259" w:lineRule="auto"/>
              <w:ind w:left="336"/>
              <w:rPr>
                <w:rFonts w:cstheme="minorHAnsi"/>
                <w:sz w:val="24"/>
                <w:szCs w:val="24"/>
              </w:rPr>
            </w:pPr>
            <w:r w:rsidRPr="003E29E0">
              <w:rPr>
                <w:rFonts w:cstheme="minorHAnsi"/>
                <w:sz w:val="24"/>
                <w:szCs w:val="24"/>
              </w:rPr>
              <w:t>Unknown</w:t>
            </w:r>
          </w:p>
        </w:tc>
        <w:tc>
          <w:tcPr>
            <w:tcW w:w="0" w:type="auto"/>
            <w:hideMark/>
          </w:tcPr>
          <w:p w14:paraId="4A850CE1" w14:textId="77777777" w:rsidR="003E29E0" w:rsidRPr="003E29E0" w:rsidRDefault="003E29E0" w:rsidP="00394307">
            <w:pPr>
              <w:spacing w:line="259" w:lineRule="auto"/>
              <w:rPr>
                <w:rFonts w:cstheme="minorHAnsi"/>
                <w:sz w:val="24"/>
                <w:szCs w:val="24"/>
              </w:rPr>
            </w:pPr>
            <w:r w:rsidRPr="003E29E0">
              <w:rPr>
                <w:rFonts w:cstheme="minorHAnsi"/>
                <w:sz w:val="24"/>
                <w:szCs w:val="24"/>
              </w:rPr>
              <w:t>1311 (1.36%)</w:t>
            </w:r>
          </w:p>
        </w:tc>
        <w:tc>
          <w:tcPr>
            <w:tcW w:w="0" w:type="auto"/>
            <w:hideMark/>
          </w:tcPr>
          <w:p w14:paraId="6D4BF0B9" w14:textId="77777777" w:rsidR="003E29E0" w:rsidRPr="003E29E0" w:rsidRDefault="003E29E0" w:rsidP="00394307">
            <w:pPr>
              <w:spacing w:line="259" w:lineRule="auto"/>
              <w:rPr>
                <w:rFonts w:cstheme="minorHAnsi"/>
                <w:sz w:val="24"/>
                <w:szCs w:val="24"/>
              </w:rPr>
            </w:pPr>
            <w:r w:rsidRPr="003E29E0">
              <w:rPr>
                <w:rFonts w:cstheme="minorHAnsi"/>
                <w:sz w:val="24"/>
                <w:szCs w:val="24"/>
              </w:rPr>
              <w:t>539 (1.30%)</w:t>
            </w:r>
          </w:p>
        </w:tc>
      </w:tr>
      <w:tr w:rsidR="00394307" w:rsidRPr="003E29E0" w14:paraId="15C5A803" w14:textId="77777777" w:rsidTr="00394307">
        <w:tc>
          <w:tcPr>
            <w:tcW w:w="0" w:type="auto"/>
            <w:hideMark/>
          </w:tcPr>
          <w:p w14:paraId="0DA9D371" w14:textId="77777777" w:rsidR="00394307" w:rsidRPr="003E29E0" w:rsidRDefault="00394307" w:rsidP="00394307">
            <w:pPr>
              <w:rPr>
                <w:rFonts w:cstheme="minorHAnsi"/>
                <w:sz w:val="24"/>
                <w:szCs w:val="24"/>
              </w:rPr>
            </w:pPr>
            <w:r w:rsidRPr="003E29E0">
              <w:rPr>
                <w:rFonts w:cstheme="minorHAnsi"/>
                <w:sz w:val="24"/>
                <w:szCs w:val="24"/>
              </w:rPr>
              <w:t>Payment type</w:t>
            </w:r>
          </w:p>
        </w:tc>
        <w:tc>
          <w:tcPr>
            <w:tcW w:w="0" w:type="auto"/>
          </w:tcPr>
          <w:p w14:paraId="4721566A" w14:textId="77777777" w:rsidR="00394307" w:rsidRPr="003E29E0" w:rsidRDefault="00394307" w:rsidP="00394307">
            <w:pPr>
              <w:rPr>
                <w:rFonts w:cstheme="minorHAnsi"/>
                <w:sz w:val="24"/>
                <w:szCs w:val="24"/>
              </w:rPr>
            </w:pPr>
          </w:p>
        </w:tc>
        <w:tc>
          <w:tcPr>
            <w:tcW w:w="0" w:type="auto"/>
          </w:tcPr>
          <w:p w14:paraId="71D1B97B" w14:textId="1BEA7C28" w:rsidR="00394307" w:rsidRPr="003E29E0" w:rsidRDefault="00394307" w:rsidP="00394307">
            <w:pPr>
              <w:spacing w:line="259" w:lineRule="auto"/>
              <w:rPr>
                <w:rFonts w:cstheme="minorHAnsi"/>
                <w:sz w:val="24"/>
                <w:szCs w:val="24"/>
              </w:rPr>
            </w:pPr>
          </w:p>
        </w:tc>
      </w:tr>
      <w:tr w:rsidR="00394307" w:rsidRPr="003E29E0" w14:paraId="14A655BA" w14:textId="77777777" w:rsidTr="00394307">
        <w:tc>
          <w:tcPr>
            <w:tcW w:w="0" w:type="auto"/>
            <w:hideMark/>
          </w:tcPr>
          <w:p w14:paraId="5ACB262C" w14:textId="77777777" w:rsidR="003E29E0" w:rsidRPr="003E29E0" w:rsidRDefault="003E29E0" w:rsidP="00E839CA">
            <w:pPr>
              <w:spacing w:line="259" w:lineRule="auto"/>
              <w:ind w:left="336"/>
              <w:rPr>
                <w:rFonts w:cstheme="minorHAnsi"/>
                <w:sz w:val="24"/>
                <w:szCs w:val="24"/>
              </w:rPr>
            </w:pPr>
            <w:r w:rsidRPr="003E29E0">
              <w:rPr>
                <w:rFonts w:cstheme="minorHAnsi"/>
                <w:sz w:val="24"/>
                <w:szCs w:val="24"/>
              </w:rPr>
              <w:t>Private insurance</w:t>
            </w:r>
          </w:p>
        </w:tc>
        <w:tc>
          <w:tcPr>
            <w:tcW w:w="0" w:type="auto"/>
            <w:hideMark/>
          </w:tcPr>
          <w:p w14:paraId="3E8450D5" w14:textId="77777777" w:rsidR="003E29E0" w:rsidRPr="003E29E0" w:rsidRDefault="003E29E0" w:rsidP="00394307">
            <w:pPr>
              <w:spacing w:line="259" w:lineRule="auto"/>
              <w:rPr>
                <w:rFonts w:cstheme="minorHAnsi"/>
                <w:sz w:val="24"/>
                <w:szCs w:val="24"/>
              </w:rPr>
            </w:pPr>
            <w:r w:rsidRPr="003E29E0">
              <w:rPr>
                <w:rFonts w:cstheme="minorHAnsi"/>
                <w:sz w:val="24"/>
                <w:szCs w:val="24"/>
              </w:rPr>
              <w:t>29 763 (30.86%)</w:t>
            </w:r>
          </w:p>
        </w:tc>
        <w:tc>
          <w:tcPr>
            <w:tcW w:w="0" w:type="auto"/>
            <w:hideMark/>
          </w:tcPr>
          <w:p w14:paraId="751DD5F7" w14:textId="77777777" w:rsidR="003E29E0" w:rsidRPr="003E29E0" w:rsidRDefault="003E29E0" w:rsidP="00394307">
            <w:pPr>
              <w:spacing w:line="259" w:lineRule="auto"/>
              <w:rPr>
                <w:rFonts w:cstheme="minorHAnsi"/>
                <w:sz w:val="24"/>
                <w:szCs w:val="24"/>
              </w:rPr>
            </w:pPr>
            <w:r w:rsidRPr="003E29E0">
              <w:rPr>
                <w:rFonts w:cstheme="minorHAnsi"/>
                <w:sz w:val="24"/>
                <w:szCs w:val="24"/>
              </w:rPr>
              <w:t>12 730 (30.80%)</w:t>
            </w:r>
          </w:p>
        </w:tc>
      </w:tr>
      <w:tr w:rsidR="00394307" w:rsidRPr="003E29E0" w14:paraId="2A9E16FD" w14:textId="77777777" w:rsidTr="00394307">
        <w:tc>
          <w:tcPr>
            <w:tcW w:w="0" w:type="auto"/>
            <w:hideMark/>
          </w:tcPr>
          <w:p w14:paraId="4C3370C0" w14:textId="77777777" w:rsidR="003E29E0" w:rsidRPr="003E29E0" w:rsidRDefault="003E29E0" w:rsidP="00E839CA">
            <w:pPr>
              <w:spacing w:line="259" w:lineRule="auto"/>
              <w:ind w:left="336"/>
              <w:rPr>
                <w:rFonts w:cstheme="minorHAnsi"/>
                <w:sz w:val="24"/>
                <w:szCs w:val="24"/>
              </w:rPr>
            </w:pPr>
            <w:r w:rsidRPr="003E29E0">
              <w:rPr>
                <w:rFonts w:cstheme="minorHAnsi"/>
                <w:sz w:val="24"/>
                <w:szCs w:val="24"/>
              </w:rPr>
              <w:t>Medicare</w:t>
            </w:r>
          </w:p>
        </w:tc>
        <w:tc>
          <w:tcPr>
            <w:tcW w:w="0" w:type="auto"/>
            <w:hideMark/>
          </w:tcPr>
          <w:p w14:paraId="6C7947B8" w14:textId="77777777" w:rsidR="003E29E0" w:rsidRPr="003E29E0" w:rsidRDefault="003E29E0" w:rsidP="00394307">
            <w:pPr>
              <w:spacing w:line="259" w:lineRule="auto"/>
              <w:rPr>
                <w:rFonts w:cstheme="minorHAnsi"/>
                <w:sz w:val="24"/>
                <w:szCs w:val="24"/>
              </w:rPr>
            </w:pPr>
            <w:r w:rsidRPr="003E29E0">
              <w:rPr>
                <w:rFonts w:cstheme="minorHAnsi"/>
                <w:sz w:val="24"/>
                <w:szCs w:val="24"/>
              </w:rPr>
              <w:t>40 820 (42.33%)</w:t>
            </w:r>
          </w:p>
        </w:tc>
        <w:tc>
          <w:tcPr>
            <w:tcW w:w="0" w:type="auto"/>
            <w:hideMark/>
          </w:tcPr>
          <w:p w14:paraId="03C1531C" w14:textId="77777777" w:rsidR="003E29E0" w:rsidRPr="003E29E0" w:rsidRDefault="003E29E0" w:rsidP="00394307">
            <w:pPr>
              <w:spacing w:line="259" w:lineRule="auto"/>
              <w:rPr>
                <w:rFonts w:cstheme="minorHAnsi"/>
                <w:sz w:val="24"/>
                <w:szCs w:val="24"/>
              </w:rPr>
            </w:pPr>
            <w:r w:rsidRPr="003E29E0">
              <w:rPr>
                <w:rFonts w:cstheme="minorHAnsi"/>
                <w:sz w:val="24"/>
                <w:szCs w:val="24"/>
              </w:rPr>
              <w:t>17 485 (42.30%)</w:t>
            </w:r>
          </w:p>
        </w:tc>
      </w:tr>
      <w:tr w:rsidR="00394307" w:rsidRPr="003E29E0" w14:paraId="0CE78525" w14:textId="77777777" w:rsidTr="00394307">
        <w:tc>
          <w:tcPr>
            <w:tcW w:w="0" w:type="auto"/>
            <w:hideMark/>
          </w:tcPr>
          <w:p w14:paraId="0DE4BC22" w14:textId="77777777" w:rsidR="003E29E0" w:rsidRPr="003E29E0" w:rsidRDefault="003E29E0" w:rsidP="00E839CA">
            <w:pPr>
              <w:spacing w:line="259" w:lineRule="auto"/>
              <w:ind w:left="336"/>
              <w:rPr>
                <w:rFonts w:cstheme="minorHAnsi"/>
                <w:sz w:val="24"/>
                <w:szCs w:val="24"/>
              </w:rPr>
            </w:pPr>
            <w:r w:rsidRPr="003E29E0">
              <w:rPr>
                <w:rFonts w:cstheme="minorHAnsi"/>
                <w:sz w:val="24"/>
                <w:szCs w:val="24"/>
              </w:rPr>
              <w:t>Medicaid</w:t>
            </w:r>
          </w:p>
        </w:tc>
        <w:tc>
          <w:tcPr>
            <w:tcW w:w="0" w:type="auto"/>
            <w:hideMark/>
          </w:tcPr>
          <w:p w14:paraId="1B121E20" w14:textId="77777777" w:rsidR="003E29E0" w:rsidRPr="003E29E0" w:rsidRDefault="003E29E0" w:rsidP="00394307">
            <w:pPr>
              <w:spacing w:line="259" w:lineRule="auto"/>
              <w:rPr>
                <w:rFonts w:cstheme="minorHAnsi"/>
                <w:sz w:val="24"/>
                <w:szCs w:val="24"/>
              </w:rPr>
            </w:pPr>
            <w:r w:rsidRPr="003E29E0">
              <w:rPr>
                <w:rFonts w:cstheme="minorHAnsi"/>
                <w:sz w:val="24"/>
                <w:szCs w:val="24"/>
              </w:rPr>
              <w:t>13 993 (14.51%)</w:t>
            </w:r>
          </w:p>
        </w:tc>
        <w:tc>
          <w:tcPr>
            <w:tcW w:w="0" w:type="auto"/>
            <w:hideMark/>
          </w:tcPr>
          <w:p w14:paraId="211A66D4" w14:textId="77777777" w:rsidR="003E29E0" w:rsidRPr="003E29E0" w:rsidRDefault="003E29E0" w:rsidP="00394307">
            <w:pPr>
              <w:spacing w:line="259" w:lineRule="auto"/>
              <w:rPr>
                <w:rFonts w:cstheme="minorHAnsi"/>
                <w:sz w:val="24"/>
                <w:szCs w:val="24"/>
              </w:rPr>
            </w:pPr>
            <w:r w:rsidRPr="003E29E0">
              <w:rPr>
                <w:rFonts w:cstheme="minorHAnsi"/>
                <w:sz w:val="24"/>
                <w:szCs w:val="24"/>
              </w:rPr>
              <w:t>6012 (14.54%)</w:t>
            </w:r>
          </w:p>
        </w:tc>
      </w:tr>
      <w:tr w:rsidR="00394307" w:rsidRPr="003E29E0" w14:paraId="37E6A913" w14:textId="77777777" w:rsidTr="00394307">
        <w:tc>
          <w:tcPr>
            <w:tcW w:w="0" w:type="auto"/>
            <w:hideMark/>
          </w:tcPr>
          <w:p w14:paraId="28EBA3C6" w14:textId="77777777" w:rsidR="003E29E0" w:rsidRPr="003E29E0" w:rsidRDefault="003E29E0" w:rsidP="00E839CA">
            <w:pPr>
              <w:spacing w:line="259" w:lineRule="auto"/>
              <w:ind w:left="336"/>
              <w:rPr>
                <w:rFonts w:cstheme="minorHAnsi"/>
                <w:sz w:val="24"/>
                <w:szCs w:val="24"/>
              </w:rPr>
            </w:pPr>
            <w:r w:rsidRPr="003E29E0">
              <w:rPr>
                <w:rFonts w:cstheme="minorHAnsi"/>
                <w:sz w:val="24"/>
                <w:szCs w:val="24"/>
              </w:rPr>
              <w:t>Uninsured/unknown</w:t>
            </w:r>
          </w:p>
        </w:tc>
        <w:tc>
          <w:tcPr>
            <w:tcW w:w="0" w:type="auto"/>
            <w:hideMark/>
          </w:tcPr>
          <w:p w14:paraId="72F6B9C5" w14:textId="77777777" w:rsidR="003E29E0" w:rsidRPr="003E29E0" w:rsidRDefault="003E29E0" w:rsidP="00394307">
            <w:pPr>
              <w:spacing w:line="259" w:lineRule="auto"/>
              <w:rPr>
                <w:rFonts w:cstheme="minorHAnsi"/>
                <w:sz w:val="24"/>
                <w:szCs w:val="24"/>
              </w:rPr>
            </w:pPr>
            <w:r w:rsidRPr="003E29E0">
              <w:rPr>
                <w:rFonts w:cstheme="minorHAnsi"/>
                <w:sz w:val="24"/>
                <w:szCs w:val="24"/>
              </w:rPr>
              <w:t>11 868 (12.31%)</w:t>
            </w:r>
          </w:p>
        </w:tc>
        <w:tc>
          <w:tcPr>
            <w:tcW w:w="0" w:type="auto"/>
            <w:hideMark/>
          </w:tcPr>
          <w:p w14:paraId="7E41A868" w14:textId="77777777" w:rsidR="003E29E0" w:rsidRPr="003E29E0" w:rsidRDefault="003E29E0" w:rsidP="00394307">
            <w:pPr>
              <w:spacing w:line="259" w:lineRule="auto"/>
              <w:rPr>
                <w:rFonts w:cstheme="minorHAnsi"/>
                <w:sz w:val="24"/>
                <w:szCs w:val="24"/>
              </w:rPr>
            </w:pPr>
            <w:r w:rsidRPr="003E29E0">
              <w:rPr>
                <w:rFonts w:cstheme="minorHAnsi"/>
                <w:sz w:val="24"/>
                <w:szCs w:val="24"/>
              </w:rPr>
              <w:t>5107 (12.36%)</w:t>
            </w:r>
          </w:p>
        </w:tc>
      </w:tr>
      <w:tr w:rsidR="00394307" w:rsidRPr="003E29E0" w14:paraId="0845BB6D" w14:textId="77777777" w:rsidTr="00394307">
        <w:tc>
          <w:tcPr>
            <w:tcW w:w="0" w:type="auto"/>
            <w:hideMark/>
          </w:tcPr>
          <w:p w14:paraId="075D4F8F" w14:textId="77777777" w:rsidR="00394307" w:rsidRPr="003E29E0" w:rsidRDefault="00394307" w:rsidP="00394307">
            <w:pPr>
              <w:rPr>
                <w:rFonts w:cstheme="minorHAnsi"/>
                <w:sz w:val="24"/>
                <w:szCs w:val="24"/>
              </w:rPr>
            </w:pPr>
            <w:r w:rsidRPr="003E29E0">
              <w:rPr>
                <w:rFonts w:cstheme="minorHAnsi"/>
                <w:sz w:val="24"/>
                <w:szCs w:val="24"/>
              </w:rPr>
              <w:t>Severity of illness score</w:t>
            </w:r>
          </w:p>
        </w:tc>
        <w:tc>
          <w:tcPr>
            <w:tcW w:w="0" w:type="auto"/>
          </w:tcPr>
          <w:p w14:paraId="21C1C55E" w14:textId="77777777" w:rsidR="00394307" w:rsidRPr="003E29E0" w:rsidRDefault="00394307" w:rsidP="00394307">
            <w:pPr>
              <w:rPr>
                <w:rFonts w:cstheme="minorHAnsi"/>
                <w:sz w:val="24"/>
                <w:szCs w:val="24"/>
              </w:rPr>
            </w:pPr>
          </w:p>
        </w:tc>
        <w:tc>
          <w:tcPr>
            <w:tcW w:w="0" w:type="auto"/>
          </w:tcPr>
          <w:p w14:paraId="26F10B28" w14:textId="46640D41" w:rsidR="00394307" w:rsidRPr="003E29E0" w:rsidRDefault="00394307" w:rsidP="00394307">
            <w:pPr>
              <w:spacing w:line="259" w:lineRule="auto"/>
              <w:rPr>
                <w:rFonts w:cstheme="minorHAnsi"/>
                <w:sz w:val="24"/>
                <w:szCs w:val="24"/>
              </w:rPr>
            </w:pPr>
          </w:p>
        </w:tc>
      </w:tr>
      <w:tr w:rsidR="00394307" w:rsidRPr="003E29E0" w14:paraId="56068F9F" w14:textId="77777777" w:rsidTr="00394307">
        <w:tc>
          <w:tcPr>
            <w:tcW w:w="0" w:type="auto"/>
            <w:hideMark/>
          </w:tcPr>
          <w:p w14:paraId="7633F96B" w14:textId="77777777" w:rsidR="003E29E0" w:rsidRPr="003E29E0" w:rsidRDefault="003E29E0" w:rsidP="00E839CA">
            <w:pPr>
              <w:spacing w:line="259" w:lineRule="auto"/>
              <w:ind w:left="336"/>
              <w:rPr>
                <w:rFonts w:cstheme="minorHAnsi"/>
                <w:sz w:val="24"/>
                <w:szCs w:val="24"/>
              </w:rPr>
            </w:pPr>
            <w:r w:rsidRPr="003E29E0">
              <w:rPr>
                <w:rFonts w:cstheme="minorHAnsi"/>
                <w:sz w:val="24"/>
                <w:szCs w:val="24"/>
              </w:rPr>
              <w:t>Minor</w:t>
            </w:r>
          </w:p>
        </w:tc>
        <w:tc>
          <w:tcPr>
            <w:tcW w:w="0" w:type="auto"/>
            <w:hideMark/>
          </w:tcPr>
          <w:p w14:paraId="42F4803F" w14:textId="77777777" w:rsidR="003E29E0" w:rsidRPr="003E29E0" w:rsidRDefault="003E29E0" w:rsidP="00394307">
            <w:pPr>
              <w:spacing w:line="259" w:lineRule="auto"/>
              <w:rPr>
                <w:rFonts w:cstheme="minorHAnsi"/>
                <w:sz w:val="24"/>
                <w:szCs w:val="24"/>
              </w:rPr>
            </w:pPr>
            <w:r w:rsidRPr="003E29E0">
              <w:rPr>
                <w:rFonts w:cstheme="minorHAnsi"/>
                <w:sz w:val="24"/>
                <w:szCs w:val="24"/>
              </w:rPr>
              <w:t>11 564 (11.99%)</w:t>
            </w:r>
          </w:p>
        </w:tc>
        <w:tc>
          <w:tcPr>
            <w:tcW w:w="0" w:type="auto"/>
            <w:hideMark/>
          </w:tcPr>
          <w:p w14:paraId="38E8CCD3" w14:textId="77777777" w:rsidR="003E29E0" w:rsidRPr="003E29E0" w:rsidRDefault="003E29E0" w:rsidP="00394307">
            <w:pPr>
              <w:spacing w:line="259" w:lineRule="auto"/>
              <w:rPr>
                <w:rFonts w:cstheme="minorHAnsi"/>
                <w:sz w:val="24"/>
                <w:szCs w:val="24"/>
              </w:rPr>
            </w:pPr>
            <w:r w:rsidRPr="003E29E0">
              <w:rPr>
                <w:rFonts w:cstheme="minorHAnsi"/>
                <w:sz w:val="24"/>
                <w:szCs w:val="24"/>
              </w:rPr>
              <w:t>5033 (12.18%)</w:t>
            </w:r>
          </w:p>
        </w:tc>
      </w:tr>
      <w:tr w:rsidR="00394307" w:rsidRPr="003E29E0" w14:paraId="715B8CA7" w14:textId="77777777" w:rsidTr="00394307">
        <w:tc>
          <w:tcPr>
            <w:tcW w:w="0" w:type="auto"/>
            <w:hideMark/>
          </w:tcPr>
          <w:p w14:paraId="54C09FDA" w14:textId="77777777" w:rsidR="003E29E0" w:rsidRPr="003E29E0" w:rsidRDefault="003E29E0" w:rsidP="00E839CA">
            <w:pPr>
              <w:spacing w:line="259" w:lineRule="auto"/>
              <w:ind w:left="336"/>
              <w:rPr>
                <w:rFonts w:cstheme="minorHAnsi"/>
                <w:sz w:val="24"/>
                <w:szCs w:val="24"/>
              </w:rPr>
            </w:pPr>
            <w:r w:rsidRPr="003E29E0">
              <w:rPr>
                <w:rFonts w:cstheme="minorHAnsi"/>
                <w:sz w:val="24"/>
                <w:szCs w:val="24"/>
              </w:rPr>
              <w:t>Moderate</w:t>
            </w:r>
          </w:p>
        </w:tc>
        <w:tc>
          <w:tcPr>
            <w:tcW w:w="0" w:type="auto"/>
            <w:hideMark/>
          </w:tcPr>
          <w:p w14:paraId="7CC146E8" w14:textId="77777777" w:rsidR="003E29E0" w:rsidRPr="003E29E0" w:rsidRDefault="003E29E0" w:rsidP="00394307">
            <w:pPr>
              <w:spacing w:line="259" w:lineRule="auto"/>
              <w:rPr>
                <w:rFonts w:cstheme="minorHAnsi"/>
                <w:sz w:val="24"/>
                <w:szCs w:val="24"/>
              </w:rPr>
            </w:pPr>
            <w:r w:rsidRPr="003E29E0">
              <w:rPr>
                <w:rFonts w:cstheme="minorHAnsi"/>
                <w:sz w:val="24"/>
                <w:szCs w:val="24"/>
              </w:rPr>
              <w:t>27 244 (28.25%)</w:t>
            </w:r>
          </w:p>
        </w:tc>
        <w:tc>
          <w:tcPr>
            <w:tcW w:w="0" w:type="auto"/>
            <w:hideMark/>
          </w:tcPr>
          <w:p w14:paraId="1DCA34E2" w14:textId="77777777" w:rsidR="003E29E0" w:rsidRPr="003E29E0" w:rsidRDefault="003E29E0" w:rsidP="00394307">
            <w:pPr>
              <w:spacing w:line="259" w:lineRule="auto"/>
              <w:rPr>
                <w:rFonts w:cstheme="minorHAnsi"/>
                <w:sz w:val="24"/>
                <w:szCs w:val="24"/>
              </w:rPr>
            </w:pPr>
            <w:r w:rsidRPr="003E29E0">
              <w:rPr>
                <w:rFonts w:cstheme="minorHAnsi"/>
                <w:sz w:val="24"/>
                <w:szCs w:val="24"/>
              </w:rPr>
              <w:t>11 657 (28.20%)</w:t>
            </w:r>
          </w:p>
        </w:tc>
      </w:tr>
      <w:tr w:rsidR="00394307" w:rsidRPr="003E29E0" w14:paraId="2ADDC9F6" w14:textId="77777777" w:rsidTr="00394307">
        <w:tc>
          <w:tcPr>
            <w:tcW w:w="0" w:type="auto"/>
            <w:hideMark/>
          </w:tcPr>
          <w:p w14:paraId="602FD89A" w14:textId="77777777" w:rsidR="003E29E0" w:rsidRPr="003E29E0" w:rsidRDefault="003E29E0" w:rsidP="00E839CA">
            <w:pPr>
              <w:spacing w:line="259" w:lineRule="auto"/>
              <w:ind w:left="336"/>
              <w:rPr>
                <w:rFonts w:cstheme="minorHAnsi"/>
                <w:sz w:val="24"/>
                <w:szCs w:val="24"/>
              </w:rPr>
            </w:pPr>
            <w:r w:rsidRPr="003E29E0">
              <w:rPr>
                <w:rFonts w:cstheme="minorHAnsi"/>
                <w:sz w:val="24"/>
                <w:szCs w:val="24"/>
              </w:rPr>
              <w:t>Major</w:t>
            </w:r>
          </w:p>
        </w:tc>
        <w:tc>
          <w:tcPr>
            <w:tcW w:w="0" w:type="auto"/>
            <w:hideMark/>
          </w:tcPr>
          <w:p w14:paraId="2695888E" w14:textId="77777777" w:rsidR="003E29E0" w:rsidRPr="003E29E0" w:rsidRDefault="003E29E0" w:rsidP="00394307">
            <w:pPr>
              <w:spacing w:line="259" w:lineRule="auto"/>
              <w:rPr>
                <w:rFonts w:cstheme="minorHAnsi"/>
                <w:sz w:val="24"/>
                <w:szCs w:val="24"/>
              </w:rPr>
            </w:pPr>
            <w:r w:rsidRPr="003E29E0">
              <w:rPr>
                <w:rFonts w:cstheme="minorHAnsi"/>
                <w:sz w:val="24"/>
                <w:szCs w:val="24"/>
              </w:rPr>
              <w:t>25 287 (26.22%)</w:t>
            </w:r>
          </w:p>
        </w:tc>
        <w:tc>
          <w:tcPr>
            <w:tcW w:w="0" w:type="auto"/>
            <w:hideMark/>
          </w:tcPr>
          <w:p w14:paraId="51A465AF" w14:textId="77777777" w:rsidR="003E29E0" w:rsidRPr="003E29E0" w:rsidRDefault="003E29E0" w:rsidP="00394307">
            <w:pPr>
              <w:spacing w:line="259" w:lineRule="auto"/>
              <w:rPr>
                <w:rFonts w:cstheme="minorHAnsi"/>
                <w:sz w:val="24"/>
                <w:szCs w:val="24"/>
              </w:rPr>
            </w:pPr>
            <w:r w:rsidRPr="003E29E0">
              <w:rPr>
                <w:rFonts w:cstheme="minorHAnsi"/>
                <w:sz w:val="24"/>
                <w:szCs w:val="24"/>
              </w:rPr>
              <w:t>10 878 (26.32%)</w:t>
            </w:r>
          </w:p>
        </w:tc>
      </w:tr>
      <w:tr w:rsidR="00394307" w:rsidRPr="003E29E0" w14:paraId="7626908A" w14:textId="77777777" w:rsidTr="00394307">
        <w:tc>
          <w:tcPr>
            <w:tcW w:w="0" w:type="auto"/>
            <w:hideMark/>
          </w:tcPr>
          <w:p w14:paraId="19999E9D" w14:textId="77777777" w:rsidR="003E29E0" w:rsidRPr="003E29E0" w:rsidRDefault="003E29E0" w:rsidP="00E839CA">
            <w:pPr>
              <w:spacing w:line="259" w:lineRule="auto"/>
              <w:ind w:left="336"/>
              <w:rPr>
                <w:rFonts w:cstheme="minorHAnsi"/>
                <w:sz w:val="24"/>
                <w:szCs w:val="24"/>
              </w:rPr>
            </w:pPr>
            <w:r w:rsidRPr="003E29E0">
              <w:rPr>
                <w:rFonts w:cstheme="minorHAnsi"/>
                <w:sz w:val="24"/>
                <w:szCs w:val="24"/>
              </w:rPr>
              <w:t>Extreme</w:t>
            </w:r>
          </w:p>
        </w:tc>
        <w:tc>
          <w:tcPr>
            <w:tcW w:w="0" w:type="auto"/>
            <w:hideMark/>
          </w:tcPr>
          <w:p w14:paraId="3566A203" w14:textId="77777777" w:rsidR="003E29E0" w:rsidRPr="003E29E0" w:rsidRDefault="003E29E0" w:rsidP="00394307">
            <w:pPr>
              <w:spacing w:line="259" w:lineRule="auto"/>
              <w:rPr>
                <w:rFonts w:cstheme="minorHAnsi"/>
                <w:sz w:val="24"/>
                <w:szCs w:val="24"/>
              </w:rPr>
            </w:pPr>
            <w:r w:rsidRPr="003E29E0">
              <w:rPr>
                <w:rFonts w:cstheme="minorHAnsi"/>
                <w:sz w:val="24"/>
                <w:szCs w:val="24"/>
              </w:rPr>
              <w:t>4883 (5.06%)</w:t>
            </w:r>
          </w:p>
        </w:tc>
        <w:tc>
          <w:tcPr>
            <w:tcW w:w="0" w:type="auto"/>
            <w:hideMark/>
          </w:tcPr>
          <w:p w14:paraId="3D6210AD" w14:textId="77777777" w:rsidR="003E29E0" w:rsidRPr="003E29E0" w:rsidRDefault="003E29E0" w:rsidP="00394307">
            <w:pPr>
              <w:spacing w:line="259" w:lineRule="auto"/>
              <w:rPr>
                <w:rFonts w:cstheme="minorHAnsi"/>
                <w:sz w:val="24"/>
                <w:szCs w:val="24"/>
              </w:rPr>
            </w:pPr>
            <w:r w:rsidRPr="003E29E0">
              <w:rPr>
                <w:rFonts w:cstheme="minorHAnsi"/>
                <w:sz w:val="24"/>
                <w:szCs w:val="24"/>
              </w:rPr>
              <w:t>2052 (4.96%)</w:t>
            </w:r>
          </w:p>
        </w:tc>
      </w:tr>
      <w:tr w:rsidR="00394307" w:rsidRPr="003E29E0" w14:paraId="2AF12821" w14:textId="77777777" w:rsidTr="00394307">
        <w:tc>
          <w:tcPr>
            <w:tcW w:w="0" w:type="auto"/>
            <w:hideMark/>
          </w:tcPr>
          <w:p w14:paraId="4083FA37" w14:textId="77777777" w:rsidR="003E29E0" w:rsidRPr="003E29E0" w:rsidRDefault="003E29E0" w:rsidP="00E839CA">
            <w:pPr>
              <w:spacing w:line="259" w:lineRule="auto"/>
              <w:ind w:left="336"/>
              <w:rPr>
                <w:rFonts w:cstheme="minorHAnsi"/>
                <w:sz w:val="24"/>
                <w:szCs w:val="24"/>
              </w:rPr>
            </w:pPr>
            <w:r w:rsidRPr="003E29E0">
              <w:rPr>
                <w:rFonts w:cstheme="minorHAnsi"/>
                <w:sz w:val="24"/>
                <w:szCs w:val="24"/>
              </w:rPr>
              <w:t>Unknown</w:t>
            </w:r>
          </w:p>
        </w:tc>
        <w:tc>
          <w:tcPr>
            <w:tcW w:w="0" w:type="auto"/>
            <w:hideMark/>
          </w:tcPr>
          <w:p w14:paraId="2222E207" w14:textId="77777777" w:rsidR="003E29E0" w:rsidRPr="003E29E0" w:rsidRDefault="003E29E0" w:rsidP="00394307">
            <w:pPr>
              <w:spacing w:line="259" w:lineRule="auto"/>
              <w:rPr>
                <w:rFonts w:cstheme="minorHAnsi"/>
                <w:sz w:val="24"/>
                <w:szCs w:val="24"/>
              </w:rPr>
            </w:pPr>
            <w:r w:rsidRPr="003E29E0">
              <w:rPr>
                <w:rFonts w:cstheme="minorHAnsi"/>
                <w:sz w:val="24"/>
                <w:szCs w:val="24"/>
              </w:rPr>
              <w:t>27 466 (28.48%)</w:t>
            </w:r>
          </w:p>
        </w:tc>
        <w:tc>
          <w:tcPr>
            <w:tcW w:w="0" w:type="auto"/>
            <w:hideMark/>
          </w:tcPr>
          <w:p w14:paraId="2F45FC6A" w14:textId="77777777" w:rsidR="003E29E0" w:rsidRPr="003E29E0" w:rsidRDefault="003E29E0" w:rsidP="00394307">
            <w:pPr>
              <w:spacing w:line="259" w:lineRule="auto"/>
              <w:rPr>
                <w:rFonts w:cstheme="minorHAnsi"/>
                <w:sz w:val="24"/>
                <w:szCs w:val="24"/>
              </w:rPr>
            </w:pPr>
            <w:r w:rsidRPr="003E29E0">
              <w:rPr>
                <w:rFonts w:cstheme="minorHAnsi"/>
                <w:sz w:val="24"/>
                <w:szCs w:val="24"/>
              </w:rPr>
              <w:t>11 714 (28.34%)</w:t>
            </w:r>
          </w:p>
        </w:tc>
      </w:tr>
      <w:tr w:rsidR="00394307" w:rsidRPr="003E29E0" w14:paraId="2CD132C5" w14:textId="77777777" w:rsidTr="00394307">
        <w:tc>
          <w:tcPr>
            <w:tcW w:w="0" w:type="auto"/>
            <w:hideMark/>
          </w:tcPr>
          <w:p w14:paraId="034F92EA" w14:textId="77777777" w:rsidR="00394307" w:rsidRPr="003E29E0" w:rsidRDefault="00394307" w:rsidP="00394307">
            <w:pPr>
              <w:rPr>
                <w:rFonts w:cstheme="minorHAnsi"/>
                <w:sz w:val="24"/>
                <w:szCs w:val="24"/>
              </w:rPr>
            </w:pPr>
            <w:r w:rsidRPr="003E29E0">
              <w:rPr>
                <w:rFonts w:cstheme="minorHAnsi"/>
                <w:sz w:val="24"/>
                <w:szCs w:val="24"/>
              </w:rPr>
              <w:t>Mortality risk score</w:t>
            </w:r>
          </w:p>
        </w:tc>
        <w:tc>
          <w:tcPr>
            <w:tcW w:w="0" w:type="auto"/>
          </w:tcPr>
          <w:p w14:paraId="1EC3DD66" w14:textId="77777777" w:rsidR="00394307" w:rsidRPr="003E29E0" w:rsidRDefault="00394307" w:rsidP="00394307">
            <w:pPr>
              <w:rPr>
                <w:rFonts w:cstheme="minorHAnsi"/>
                <w:sz w:val="24"/>
                <w:szCs w:val="24"/>
              </w:rPr>
            </w:pPr>
          </w:p>
        </w:tc>
        <w:tc>
          <w:tcPr>
            <w:tcW w:w="0" w:type="auto"/>
          </w:tcPr>
          <w:p w14:paraId="009D479E" w14:textId="2EE787C0" w:rsidR="00394307" w:rsidRPr="003E29E0" w:rsidRDefault="00394307" w:rsidP="00394307">
            <w:pPr>
              <w:spacing w:line="259" w:lineRule="auto"/>
              <w:rPr>
                <w:rFonts w:cstheme="minorHAnsi"/>
                <w:sz w:val="24"/>
                <w:szCs w:val="24"/>
              </w:rPr>
            </w:pPr>
          </w:p>
        </w:tc>
      </w:tr>
      <w:tr w:rsidR="00394307" w:rsidRPr="003E29E0" w14:paraId="4CCA748B" w14:textId="77777777" w:rsidTr="00394307">
        <w:tc>
          <w:tcPr>
            <w:tcW w:w="0" w:type="auto"/>
            <w:hideMark/>
          </w:tcPr>
          <w:p w14:paraId="70957626" w14:textId="77777777" w:rsidR="003E29E0" w:rsidRPr="003E29E0" w:rsidRDefault="003E29E0" w:rsidP="00E839CA">
            <w:pPr>
              <w:spacing w:line="259" w:lineRule="auto"/>
              <w:ind w:left="336"/>
              <w:rPr>
                <w:rFonts w:cstheme="minorHAnsi"/>
                <w:sz w:val="24"/>
                <w:szCs w:val="24"/>
              </w:rPr>
            </w:pPr>
            <w:r w:rsidRPr="003E29E0">
              <w:rPr>
                <w:rFonts w:cstheme="minorHAnsi"/>
                <w:sz w:val="24"/>
                <w:szCs w:val="24"/>
              </w:rPr>
              <w:t>Minor</w:t>
            </w:r>
          </w:p>
        </w:tc>
        <w:tc>
          <w:tcPr>
            <w:tcW w:w="0" w:type="auto"/>
            <w:hideMark/>
          </w:tcPr>
          <w:p w14:paraId="30E27931" w14:textId="77777777" w:rsidR="003E29E0" w:rsidRPr="003E29E0" w:rsidRDefault="003E29E0" w:rsidP="00394307">
            <w:pPr>
              <w:spacing w:line="259" w:lineRule="auto"/>
              <w:rPr>
                <w:rFonts w:cstheme="minorHAnsi"/>
                <w:sz w:val="24"/>
                <w:szCs w:val="24"/>
              </w:rPr>
            </w:pPr>
            <w:r w:rsidRPr="003E29E0">
              <w:rPr>
                <w:rFonts w:cstheme="minorHAnsi"/>
                <w:sz w:val="24"/>
                <w:szCs w:val="24"/>
              </w:rPr>
              <w:t>23 559 (24.43%)</w:t>
            </w:r>
          </w:p>
        </w:tc>
        <w:tc>
          <w:tcPr>
            <w:tcW w:w="0" w:type="auto"/>
            <w:hideMark/>
          </w:tcPr>
          <w:p w14:paraId="7B5025E3" w14:textId="77777777" w:rsidR="003E29E0" w:rsidRPr="003E29E0" w:rsidRDefault="003E29E0" w:rsidP="00394307">
            <w:pPr>
              <w:spacing w:line="259" w:lineRule="auto"/>
              <w:rPr>
                <w:rFonts w:cstheme="minorHAnsi"/>
                <w:sz w:val="24"/>
                <w:szCs w:val="24"/>
              </w:rPr>
            </w:pPr>
            <w:r w:rsidRPr="003E29E0">
              <w:rPr>
                <w:rFonts w:cstheme="minorHAnsi"/>
                <w:sz w:val="24"/>
                <w:szCs w:val="24"/>
              </w:rPr>
              <w:t>10 063 (24.35%)</w:t>
            </w:r>
          </w:p>
        </w:tc>
      </w:tr>
      <w:tr w:rsidR="00394307" w:rsidRPr="003E29E0" w14:paraId="76698DC4" w14:textId="77777777" w:rsidTr="00394307">
        <w:tc>
          <w:tcPr>
            <w:tcW w:w="0" w:type="auto"/>
            <w:hideMark/>
          </w:tcPr>
          <w:p w14:paraId="0DE5D4BC" w14:textId="77777777" w:rsidR="003E29E0" w:rsidRPr="003E29E0" w:rsidRDefault="003E29E0" w:rsidP="00E839CA">
            <w:pPr>
              <w:spacing w:line="259" w:lineRule="auto"/>
              <w:ind w:left="336"/>
              <w:rPr>
                <w:rFonts w:cstheme="minorHAnsi"/>
                <w:sz w:val="24"/>
                <w:szCs w:val="24"/>
              </w:rPr>
            </w:pPr>
            <w:r w:rsidRPr="003E29E0">
              <w:rPr>
                <w:rFonts w:cstheme="minorHAnsi"/>
                <w:sz w:val="24"/>
                <w:szCs w:val="24"/>
              </w:rPr>
              <w:t>Moderate</w:t>
            </w:r>
          </w:p>
        </w:tc>
        <w:tc>
          <w:tcPr>
            <w:tcW w:w="0" w:type="auto"/>
            <w:hideMark/>
          </w:tcPr>
          <w:p w14:paraId="451EFAC7" w14:textId="77777777" w:rsidR="003E29E0" w:rsidRPr="003E29E0" w:rsidRDefault="003E29E0" w:rsidP="00394307">
            <w:pPr>
              <w:spacing w:line="259" w:lineRule="auto"/>
              <w:rPr>
                <w:rFonts w:cstheme="minorHAnsi"/>
                <w:sz w:val="24"/>
                <w:szCs w:val="24"/>
              </w:rPr>
            </w:pPr>
            <w:r w:rsidRPr="003E29E0">
              <w:rPr>
                <w:rFonts w:cstheme="minorHAnsi"/>
                <w:sz w:val="24"/>
                <w:szCs w:val="24"/>
              </w:rPr>
              <w:t>19 894 (20.63%)</w:t>
            </w:r>
          </w:p>
        </w:tc>
        <w:tc>
          <w:tcPr>
            <w:tcW w:w="0" w:type="auto"/>
            <w:hideMark/>
          </w:tcPr>
          <w:p w14:paraId="50876CE6" w14:textId="77777777" w:rsidR="003E29E0" w:rsidRPr="003E29E0" w:rsidRDefault="003E29E0" w:rsidP="00394307">
            <w:pPr>
              <w:spacing w:line="259" w:lineRule="auto"/>
              <w:rPr>
                <w:rFonts w:cstheme="minorHAnsi"/>
                <w:sz w:val="24"/>
                <w:szCs w:val="24"/>
              </w:rPr>
            </w:pPr>
            <w:r w:rsidRPr="003E29E0">
              <w:rPr>
                <w:rFonts w:cstheme="minorHAnsi"/>
                <w:sz w:val="24"/>
                <w:szCs w:val="24"/>
              </w:rPr>
              <w:t>8672 (20.98%)</w:t>
            </w:r>
          </w:p>
        </w:tc>
      </w:tr>
      <w:tr w:rsidR="00394307" w:rsidRPr="003E29E0" w14:paraId="2AEEFFE4" w14:textId="77777777" w:rsidTr="00394307">
        <w:tc>
          <w:tcPr>
            <w:tcW w:w="0" w:type="auto"/>
            <w:hideMark/>
          </w:tcPr>
          <w:p w14:paraId="4A708CB7" w14:textId="77777777" w:rsidR="003E29E0" w:rsidRPr="003E29E0" w:rsidRDefault="003E29E0" w:rsidP="00E839CA">
            <w:pPr>
              <w:spacing w:line="259" w:lineRule="auto"/>
              <w:ind w:left="336"/>
              <w:rPr>
                <w:rFonts w:cstheme="minorHAnsi"/>
                <w:sz w:val="24"/>
                <w:szCs w:val="24"/>
              </w:rPr>
            </w:pPr>
            <w:r w:rsidRPr="003E29E0">
              <w:rPr>
                <w:rFonts w:cstheme="minorHAnsi"/>
                <w:sz w:val="24"/>
                <w:szCs w:val="24"/>
              </w:rPr>
              <w:t>Major</w:t>
            </w:r>
          </w:p>
        </w:tc>
        <w:tc>
          <w:tcPr>
            <w:tcW w:w="0" w:type="auto"/>
            <w:hideMark/>
          </w:tcPr>
          <w:p w14:paraId="5AD333B4" w14:textId="77777777" w:rsidR="003E29E0" w:rsidRPr="003E29E0" w:rsidRDefault="003E29E0" w:rsidP="00394307">
            <w:pPr>
              <w:spacing w:line="259" w:lineRule="auto"/>
              <w:rPr>
                <w:rFonts w:cstheme="minorHAnsi"/>
                <w:sz w:val="24"/>
                <w:szCs w:val="24"/>
              </w:rPr>
            </w:pPr>
            <w:r w:rsidRPr="003E29E0">
              <w:rPr>
                <w:rFonts w:cstheme="minorHAnsi"/>
                <w:sz w:val="24"/>
                <w:szCs w:val="24"/>
              </w:rPr>
              <w:t>14 841 (15.39%)</w:t>
            </w:r>
          </w:p>
        </w:tc>
        <w:tc>
          <w:tcPr>
            <w:tcW w:w="0" w:type="auto"/>
            <w:hideMark/>
          </w:tcPr>
          <w:p w14:paraId="73735774" w14:textId="77777777" w:rsidR="003E29E0" w:rsidRPr="003E29E0" w:rsidRDefault="003E29E0" w:rsidP="00394307">
            <w:pPr>
              <w:spacing w:line="259" w:lineRule="auto"/>
              <w:rPr>
                <w:rFonts w:cstheme="minorHAnsi"/>
                <w:sz w:val="24"/>
                <w:szCs w:val="24"/>
              </w:rPr>
            </w:pPr>
            <w:r w:rsidRPr="003E29E0">
              <w:rPr>
                <w:rFonts w:cstheme="minorHAnsi"/>
                <w:sz w:val="24"/>
                <w:szCs w:val="24"/>
              </w:rPr>
              <w:t>6323 (15.30%)</w:t>
            </w:r>
          </w:p>
        </w:tc>
      </w:tr>
      <w:tr w:rsidR="00394307" w:rsidRPr="003E29E0" w14:paraId="5108764A" w14:textId="77777777" w:rsidTr="00394307">
        <w:tc>
          <w:tcPr>
            <w:tcW w:w="0" w:type="auto"/>
            <w:hideMark/>
          </w:tcPr>
          <w:p w14:paraId="2DDBA652" w14:textId="77777777" w:rsidR="003E29E0" w:rsidRPr="003E29E0" w:rsidRDefault="003E29E0" w:rsidP="00E839CA">
            <w:pPr>
              <w:spacing w:line="259" w:lineRule="auto"/>
              <w:ind w:left="336"/>
              <w:rPr>
                <w:rFonts w:cstheme="minorHAnsi"/>
                <w:sz w:val="24"/>
                <w:szCs w:val="24"/>
              </w:rPr>
            </w:pPr>
            <w:r w:rsidRPr="003E29E0">
              <w:rPr>
                <w:rFonts w:cstheme="minorHAnsi"/>
                <w:sz w:val="24"/>
                <w:szCs w:val="24"/>
              </w:rPr>
              <w:t>Extreme</w:t>
            </w:r>
          </w:p>
        </w:tc>
        <w:tc>
          <w:tcPr>
            <w:tcW w:w="0" w:type="auto"/>
            <w:hideMark/>
          </w:tcPr>
          <w:p w14:paraId="5E885F1F" w14:textId="77777777" w:rsidR="003E29E0" w:rsidRPr="003E29E0" w:rsidRDefault="003E29E0" w:rsidP="00394307">
            <w:pPr>
              <w:spacing w:line="259" w:lineRule="auto"/>
              <w:rPr>
                <w:rFonts w:cstheme="minorHAnsi"/>
                <w:sz w:val="24"/>
                <w:szCs w:val="24"/>
              </w:rPr>
            </w:pPr>
            <w:r w:rsidRPr="003E29E0">
              <w:rPr>
                <w:rFonts w:cstheme="minorHAnsi"/>
                <w:sz w:val="24"/>
                <w:szCs w:val="24"/>
              </w:rPr>
              <w:t>3441 (3.57%)</w:t>
            </w:r>
          </w:p>
        </w:tc>
        <w:tc>
          <w:tcPr>
            <w:tcW w:w="0" w:type="auto"/>
            <w:hideMark/>
          </w:tcPr>
          <w:p w14:paraId="30B5FF1B" w14:textId="77777777" w:rsidR="003E29E0" w:rsidRPr="003E29E0" w:rsidRDefault="003E29E0" w:rsidP="00394307">
            <w:pPr>
              <w:spacing w:line="259" w:lineRule="auto"/>
              <w:rPr>
                <w:rFonts w:cstheme="minorHAnsi"/>
                <w:sz w:val="24"/>
                <w:szCs w:val="24"/>
              </w:rPr>
            </w:pPr>
            <w:r w:rsidRPr="003E29E0">
              <w:rPr>
                <w:rFonts w:cstheme="minorHAnsi"/>
                <w:sz w:val="24"/>
                <w:szCs w:val="24"/>
              </w:rPr>
              <w:t>1464 (3.54%)</w:t>
            </w:r>
          </w:p>
        </w:tc>
      </w:tr>
      <w:tr w:rsidR="00394307" w:rsidRPr="003E29E0" w14:paraId="57188AE4" w14:textId="77777777" w:rsidTr="00394307">
        <w:tc>
          <w:tcPr>
            <w:tcW w:w="0" w:type="auto"/>
            <w:hideMark/>
          </w:tcPr>
          <w:p w14:paraId="4CAED9A9" w14:textId="77777777" w:rsidR="003E29E0" w:rsidRPr="003E29E0" w:rsidRDefault="003E29E0" w:rsidP="00E839CA">
            <w:pPr>
              <w:spacing w:line="259" w:lineRule="auto"/>
              <w:ind w:left="336"/>
              <w:rPr>
                <w:rFonts w:cstheme="minorHAnsi"/>
                <w:sz w:val="24"/>
                <w:szCs w:val="24"/>
              </w:rPr>
            </w:pPr>
            <w:r w:rsidRPr="003E29E0">
              <w:rPr>
                <w:rFonts w:cstheme="minorHAnsi"/>
                <w:sz w:val="24"/>
                <w:szCs w:val="24"/>
              </w:rPr>
              <w:t>Unknown</w:t>
            </w:r>
          </w:p>
        </w:tc>
        <w:tc>
          <w:tcPr>
            <w:tcW w:w="0" w:type="auto"/>
            <w:hideMark/>
          </w:tcPr>
          <w:p w14:paraId="6AE10DFF" w14:textId="77777777" w:rsidR="003E29E0" w:rsidRPr="003E29E0" w:rsidRDefault="003E29E0" w:rsidP="00394307">
            <w:pPr>
              <w:spacing w:line="259" w:lineRule="auto"/>
              <w:rPr>
                <w:rFonts w:cstheme="minorHAnsi"/>
                <w:sz w:val="24"/>
                <w:szCs w:val="24"/>
              </w:rPr>
            </w:pPr>
            <w:r w:rsidRPr="003E29E0">
              <w:rPr>
                <w:rFonts w:cstheme="minorHAnsi"/>
                <w:sz w:val="24"/>
                <w:szCs w:val="24"/>
              </w:rPr>
              <w:t>27 466 (28.48%)</w:t>
            </w:r>
          </w:p>
        </w:tc>
        <w:tc>
          <w:tcPr>
            <w:tcW w:w="0" w:type="auto"/>
            <w:hideMark/>
          </w:tcPr>
          <w:p w14:paraId="56E2D52A" w14:textId="77777777" w:rsidR="003E29E0" w:rsidRPr="003E29E0" w:rsidRDefault="003E29E0" w:rsidP="00394307">
            <w:pPr>
              <w:spacing w:line="259" w:lineRule="auto"/>
              <w:rPr>
                <w:rFonts w:cstheme="minorHAnsi"/>
                <w:sz w:val="24"/>
                <w:szCs w:val="24"/>
              </w:rPr>
            </w:pPr>
            <w:r w:rsidRPr="003E29E0">
              <w:rPr>
                <w:rFonts w:cstheme="minorHAnsi"/>
                <w:sz w:val="24"/>
                <w:szCs w:val="24"/>
              </w:rPr>
              <w:t>11 714 (28.34%)</w:t>
            </w:r>
          </w:p>
        </w:tc>
      </w:tr>
      <w:tr w:rsidR="00394307" w:rsidRPr="003E29E0" w14:paraId="6923AFB9" w14:textId="77777777" w:rsidTr="00394307">
        <w:tc>
          <w:tcPr>
            <w:tcW w:w="0" w:type="auto"/>
            <w:hideMark/>
          </w:tcPr>
          <w:p w14:paraId="6395367A" w14:textId="77777777" w:rsidR="003E29E0" w:rsidRPr="003E29E0" w:rsidRDefault="003E29E0" w:rsidP="00E839CA">
            <w:pPr>
              <w:spacing w:line="259" w:lineRule="auto"/>
              <w:ind w:left="336"/>
              <w:rPr>
                <w:rFonts w:cstheme="minorHAnsi"/>
                <w:sz w:val="24"/>
                <w:szCs w:val="24"/>
              </w:rPr>
            </w:pPr>
            <w:r w:rsidRPr="003E29E0">
              <w:rPr>
                <w:rFonts w:cstheme="minorHAnsi"/>
                <w:sz w:val="24"/>
                <w:szCs w:val="24"/>
              </w:rPr>
              <w:t>Prior hospitalization within 30 days</w:t>
            </w:r>
          </w:p>
        </w:tc>
        <w:tc>
          <w:tcPr>
            <w:tcW w:w="0" w:type="auto"/>
            <w:hideMark/>
          </w:tcPr>
          <w:p w14:paraId="6E57C481" w14:textId="77777777" w:rsidR="003E29E0" w:rsidRPr="003E29E0" w:rsidRDefault="003E29E0" w:rsidP="00394307">
            <w:pPr>
              <w:spacing w:line="259" w:lineRule="auto"/>
              <w:rPr>
                <w:rFonts w:cstheme="minorHAnsi"/>
                <w:sz w:val="24"/>
                <w:szCs w:val="24"/>
              </w:rPr>
            </w:pPr>
            <w:r w:rsidRPr="003E29E0">
              <w:rPr>
                <w:rFonts w:cstheme="minorHAnsi"/>
                <w:sz w:val="24"/>
                <w:szCs w:val="24"/>
              </w:rPr>
              <w:t>11 907 (12.35%)</w:t>
            </w:r>
          </w:p>
        </w:tc>
        <w:tc>
          <w:tcPr>
            <w:tcW w:w="0" w:type="auto"/>
            <w:hideMark/>
          </w:tcPr>
          <w:p w14:paraId="381A6F11" w14:textId="77777777" w:rsidR="003E29E0" w:rsidRPr="003E29E0" w:rsidRDefault="003E29E0" w:rsidP="00394307">
            <w:pPr>
              <w:spacing w:line="259" w:lineRule="auto"/>
              <w:rPr>
                <w:rFonts w:cstheme="minorHAnsi"/>
                <w:sz w:val="24"/>
                <w:szCs w:val="24"/>
              </w:rPr>
            </w:pPr>
            <w:r w:rsidRPr="003E29E0">
              <w:rPr>
                <w:rFonts w:cstheme="minorHAnsi"/>
                <w:sz w:val="24"/>
                <w:szCs w:val="24"/>
              </w:rPr>
              <w:t>5009 (12.12%)</w:t>
            </w:r>
          </w:p>
        </w:tc>
      </w:tr>
      <w:tr w:rsidR="00394307" w:rsidRPr="003E29E0" w14:paraId="2286A536" w14:textId="77777777" w:rsidTr="00394307">
        <w:tc>
          <w:tcPr>
            <w:tcW w:w="0" w:type="auto"/>
            <w:hideMark/>
          </w:tcPr>
          <w:p w14:paraId="1919302A" w14:textId="77777777" w:rsidR="003E29E0" w:rsidRPr="003E29E0" w:rsidRDefault="003E29E0" w:rsidP="00E839CA">
            <w:pPr>
              <w:spacing w:line="259" w:lineRule="auto"/>
              <w:ind w:left="336"/>
              <w:rPr>
                <w:rFonts w:cstheme="minorHAnsi"/>
                <w:sz w:val="24"/>
                <w:szCs w:val="24"/>
              </w:rPr>
            </w:pPr>
            <w:r w:rsidRPr="003E29E0">
              <w:rPr>
                <w:rFonts w:cstheme="minorHAnsi"/>
                <w:sz w:val="24"/>
                <w:szCs w:val="24"/>
              </w:rPr>
              <w:t>Elixhauser comorbidity index</w:t>
            </w:r>
          </w:p>
        </w:tc>
        <w:tc>
          <w:tcPr>
            <w:tcW w:w="0" w:type="auto"/>
            <w:hideMark/>
          </w:tcPr>
          <w:p w14:paraId="76597A92" w14:textId="77777777" w:rsidR="003E29E0" w:rsidRPr="003E29E0" w:rsidRDefault="003E29E0" w:rsidP="00394307">
            <w:pPr>
              <w:spacing w:line="259" w:lineRule="auto"/>
              <w:rPr>
                <w:rFonts w:cstheme="minorHAnsi"/>
                <w:sz w:val="24"/>
                <w:szCs w:val="24"/>
              </w:rPr>
            </w:pPr>
            <w:r w:rsidRPr="003E29E0">
              <w:rPr>
                <w:rFonts w:cstheme="minorHAnsi"/>
                <w:sz w:val="24"/>
                <w:szCs w:val="24"/>
              </w:rPr>
              <w:t>7.04 (8.39)</w:t>
            </w:r>
          </w:p>
        </w:tc>
        <w:tc>
          <w:tcPr>
            <w:tcW w:w="0" w:type="auto"/>
            <w:hideMark/>
          </w:tcPr>
          <w:p w14:paraId="61C01F89" w14:textId="77777777" w:rsidR="003E29E0" w:rsidRPr="003E29E0" w:rsidRDefault="003E29E0" w:rsidP="00394307">
            <w:pPr>
              <w:spacing w:line="259" w:lineRule="auto"/>
              <w:rPr>
                <w:rFonts w:cstheme="minorHAnsi"/>
                <w:sz w:val="24"/>
                <w:szCs w:val="24"/>
              </w:rPr>
            </w:pPr>
            <w:r w:rsidRPr="003E29E0">
              <w:rPr>
                <w:rFonts w:cstheme="minorHAnsi"/>
                <w:sz w:val="24"/>
                <w:szCs w:val="24"/>
              </w:rPr>
              <w:t>7.08 (8.36)</w:t>
            </w:r>
          </w:p>
        </w:tc>
      </w:tr>
      <w:tr w:rsidR="00394307" w:rsidRPr="003E29E0" w14:paraId="33023103" w14:textId="77777777" w:rsidTr="00394307">
        <w:tc>
          <w:tcPr>
            <w:tcW w:w="0" w:type="auto"/>
            <w:hideMark/>
          </w:tcPr>
          <w:p w14:paraId="227CC550" w14:textId="77777777" w:rsidR="003E29E0" w:rsidRPr="003E29E0" w:rsidRDefault="003E29E0" w:rsidP="00E839CA">
            <w:pPr>
              <w:spacing w:line="259" w:lineRule="auto"/>
              <w:ind w:left="336"/>
              <w:rPr>
                <w:rFonts w:cstheme="minorHAnsi"/>
                <w:sz w:val="24"/>
                <w:szCs w:val="24"/>
              </w:rPr>
            </w:pPr>
            <w:r w:rsidRPr="003E29E0">
              <w:rPr>
                <w:rFonts w:cstheme="minorHAnsi"/>
                <w:sz w:val="24"/>
                <w:szCs w:val="24"/>
              </w:rPr>
              <w:t>Total length of stay, days</w:t>
            </w:r>
          </w:p>
        </w:tc>
        <w:tc>
          <w:tcPr>
            <w:tcW w:w="0" w:type="auto"/>
            <w:hideMark/>
          </w:tcPr>
          <w:p w14:paraId="27AA467C" w14:textId="77777777" w:rsidR="003E29E0" w:rsidRPr="003E29E0" w:rsidRDefault="003E29E0" w:rsidP="00394307">
            <w:pPr>
              <w:spacing w:line="259" w:lineRule="auto"/>
              <w:rPr>
                <w:rFonts w:cstheme="minorHAnsi"/>
                <w:sz w:val="24"/>
                <w:szCs w:val="24"/>
              </w:rPr>
            </w:pPr>
            <w:r w:rsidRPr="003E29E0">
              <w:rPr>
                <w:rFonts w:cstheme="minorHAnsi"/>
                <w:sz w:val="24"/>
                <w:szCs w:val="24"/>
              </w:rPr>
              <w:t>4.22 (4.22)</w:t>
            </w:r>
          </w:p>
        </w:tc>
        <w:tc>
          <w:tcPr>
            <w:tcW w:w="0" w:type="auto"/>
            <w:hideMark/>
          </w:tcPr>
          <w:p w14:paraId="4A5ED445" w14:textId="77777777" w:rsidR="003E29E0" w:rsidRPr="003E29E0" w:rsidRDefault="003E29E0" w:rsidP="00394307">
            <w:pPr>
              <w:spacing w:line="259" w:lineRule="auto"/>
              <w:rPr>
                <w:rFonts w:cstheme="minorHAnsi"/>
                <w:sz w:val="24"/>
                <w:szCs w:val="24"/>
              </w:rPr>
            </w:pPr>
            <w:r w:rsidRPr="003E29E0">
              <w:rPr>
                <w:rFonts w:cstheme="minorHAnsi"/>
                <w:sz w:val="24"/>
                <w:szCs w:val="24"/>
              </w:rPr>
              <w:t>4.24 (4.26)</w:t>
            </w:r>
          </w:p>
        </w:tc>
      </w:tr>
      <w:tr w:rsidR="00394307" w:rsidRPr="003E29E0" w14:paraId="20C1F8CA" w14:textId="77777777" w:rsidTr="00394307">
        <w:tc>
          <w:tcPr>
            <w:tcW w:w="0" w:type="auto"/>
            <w:hideMark/>
          </w:tcPr>
          <w:p w14:paraId="761F00AD" w14:textId="77777777" w:rsidR="003E29E0" w:rsidRPr="003E29E0" w:rsidRDefault="003E29E0" w:rsidP="00E839CA">
            <w:pPr>
              <w:spacing w:line="259" w:lineRule="auto"/>
              <w:ind w:left="336"/>
              <w:rPr>
                <w:rFonts w:cstheme="minorHAnsi"/>
                <w:sz w:val="24"/>
                <w:szCs w:val="24"/>
              </w:rPr>
            </w:pPr>
            <w:r w:rsidRPr="003E29E0">
              <w:rPr>
                <w:rFonts w:cstheme="minorHAnsi"/>
                <w:sz w:val="24"/>
                <w:szCs w:val="24"/>
              </w:rPr>
              <w:t>ICU stay</w:t>
            </w:r>
          </w:p>
        </w:tc>
        <w:tc>
          <w:tcPr>
            <w:tcW w:w="0" w:type="auto"/>
            <w:hideMark/>
          </w:tcPr>
          <w:p w14:paraId="1E69DCB8" w14:textId="77777777" w:rsidR="003E29E0" w:rsidRPr="003E29E0" w:rsidRDefault="003E29E0" w:rsidP="00394307">
            <w:pPr>
              <w:spacing w:line="259" w:lineRule="auto"/>
              <w:rPr>
                <w:rFonts w:cstheme="minorHAnsi"/>
                <w:sz w:val="24"/>
                <w:szCs w:val="24"/>
              </w:rPr>
            </w:pPr>
            <w:r w:rsidRPr="003E29E0">
              <w:rPr>
                <w:rFonts w:cstheme="minorHAnsi"/>
                <w:sz w:val="24"/>
                <w:szCs w:val="24"/>
              </w:rPr>
              <w:t>17 376 (18.02%)</w:t>
            </w:r>
          </w:p>
        </w:tc>
        <w:tc>
          <w:tcPr>
            <w:tcW w:w="0" w:type="auto"/>
            <w:hideMark/>
          </w:tcPr>
          <w:p w14:paraId="5E4539A9" w14:textId="77777777" w:rsidR="003E29E0" w:rsidRPr="003E29E0" w:rsidRDefault="003E29E0" w:rsidP="00394307">
            <w:pPr>
              <w:spacing w:line="259" w:lineRule="auto"/>
              <w:rPr>
                <w:rFonts w:cstheme="minorHAnsi"/>
                <w:sz w:val="24"/>
                <w:szCs w:val="24"/>
              </w:rPr>
            </w:pPr>
            <w:r w:rsidRPr="003E29E0">
              <w:rPr>
                <w:rFonts w:cstheme="minorHAnsi"/>
                <w:sz w:val="24"/>
                <w:szCs w:val="24"/>
              </w:rPr>
              <w:t>7355 (17.79%)</w:t>
            </w:r>
          </w:p>
        </w:tc>
      </w:tr>
      <w:tr w:rsidR="00394307" w:rsidRPr="003E29E0" w14:paraId="51A3FB12" w14:textId="77777777" w:rsidTr="00394307">
        <w:tc>
          <w:tcPr>
            <w:tcW w:w="0" w:type="auto"/>
            <w:hideMark/>
          </w:tcPr>
          <w:p w14:paraId="57E9A1DF" w14:textId="77777777" w:rsidR="00394307" w:rsidRPr="003E29E0" w:rsidRDefault="00394307" w:rsidP="00394307">
            <w:pPr>
              <w:rPr>
                <w:rFonts w:cstheme="minorHAnsi"/>
                <w:sz w:val="24"/>
                <w:szCs w:val="24"/>
              </w:rPr>
            </w:pPr>
            <w:r w:rsidRPr="003E29E0">
              <w:rPr>
                <w:rFonts w:cstheme="minorHAnsi"/>
                <w:sz w:val="24"/>
                <w:szCs w:val="24"/>
              </w:rPr>
              <w:t>Discharge disposition</w:t>
            </w:r>
          </w:p>
        </w:tc>
        <w:tc>
          <w:tcPr>
            <w:tcW w:w="0" w:type="auto"/>
          </w:tcPr>
          <w:p w14:paraId="38F3D077" w14:textId="77777777" w:rsidR="00394307" w:rsidRPr="003E29E0" w:rsidRDefault="00394307" w:rsidP="00394307">
            <w:pPr>
              <w:rPr>
                <w:rFonts w:cstheme="minorHAnsi"/>
                <w:sz w:val="24"/>
                <w:szCs w:val="24"/>
              </w:rPr>
            </w:pPr>
          </w:p>
        </w:tc>
        <w:tc>
          <w:tcPr>
            <w:tcW w:w="0" w:type="auto"/>
          </w:tcPr>
          <w:p w14:paraId="4C72228B" w14:textId="00D07373" w:rsidR="00394307" w:rsidRPr="003E29E0" w:rsidRDefault="00394307" w:rsidP="00394307">
            <w:pPr>
              <w:spacing w:line="259" w:lineRule="auto"/>
              <w:rPr>
                <w:rFonts w:cstheme="minorHAnsi"/>
                <w:sz w:val="24"/>
                <w:szCs w:val="24"/>
              </w:rPr>
            </w:pPr>
          </w:p>
        </w:tc>
      </w:tr>
      <w:tr w:rsidR="00394307" w:rsidRPr="003E29E0" w14:paraId="7724CE98" w14:textId="77777777" w:rsidTr="00394307">
        <w:tc>
          <w:tcPr>
            <w:tcW w:w="0" w:type="auto"/>
            <w:hideMark/>
          </w:tcPr>
          <w:p w14:paraId="1AE3D3CF" w14:textId="77777777" w:rsidR="003E29E0" w:rsidRPr="003E29E0" w:rsidRDefault="003E29E0" w:rsidP="00E839CA">
            <w:pPr>
              <w:spacing w:line="259" w:lineRule="auto"/>
              <w:ind w:left="336"/>
              <w:rPr>
                <w:rFonts w:cstheme="minorHAnsi"/>
                <w:sz w:val="24"/>
                <w:szCs w:val="24"/>
              </w:rPr>
            </w:pPr>
            <w:r w:rsidRPr="003E29E0">
              <w:rPr>
                <w:rFonts w:cstheme="minorHAnsi"/>
                <w:sz w:val="24"/>
                <w:szCs w:val="24"/>
              </w:rPr>
              <w:t>Discharged to home/self-care</w:t>
            </w:r>
          </w:p>
        </w:tc>
        <w:tc>
          <w:tcPr>
            <w:tcW w:w="0" w:type="auto"/>
            <w:hideMark/>
          </w:tcPr>
          <w:p w14:paraId="31415FC0" w14:textId="77777777" w:rsidR="003E29E0" w:rsidRPr="003E29E0" w:rsidRDefault="003E29E0" w:rsidP="00394307">
            <w:pPr>
              <w:spacing w:line="259" w:lineRule="auto"/>
              <w:rPr>
                <w:rFonts w:cstheme="minorHAnsi"/>
                <w:sz w:val="24"/>
                <w:szCs w:val="24"/>
              </w:rPr>
            </w:pPr>
            <w:r w:rsidRPr="003E29E0">
              <w:rPr>
                <w:rFonts w:cstheme="minorHAnsi"/>
                <w:sz w:val="24"/>
                <w:szCs w:val="24"/>
              </w:rPr>
              <w:t>77 120 (79.96%)</w:t>
            </w:r>
          </w:p>
        </w:tc>
        <w:tc>
          <w:tcPr>
            <w:tcW w:w="0" w:type="auto"/>
            <w:hideMark/>
          </w:tcPr>
          <w:p w14:paraId="34032164" w14:textId="77777777" w:rsidR="003E29E0" w:rsidRPr="003E29E0" w:rsidRDefault="003E29E0" w:rsidP="00394307">
            <w:pPr>
              <w:spacing w:line="259" w:lineRule="auto"/>
              <w:rPr>
                <w:rFonts w:cstheme="minorHAnsi"/>
                <w:sz w:val="24"/>
                <w:szCs w:val="24"/>
              </w:rPr>
            </w:pPr>
            <w:r w:rsidRPr="003E29E0">
              <w:rPr>
                <w:rFonts w:cstheme="minorHAnsi"/>
                <w:sz w:val="24"/>
                <w:szCs w:val="24"/>
              </w:rPr>
              <w:t>33 029 (79.91%)</w:t>
            </w:r>
          </w:p>
        </w:tc>
      </w:tr>
      <w:tr w:rsidR="00394307" w:rsidRPr="003E29E0" w14:paraId="132E1A30" w14:textId="77777777" w:rsidTr="00394307">
        <w:tc>
          <w:tcPr>
            <w:tcW w:w="0" w:type="auto"/>
            <w:hideMark/>
          </w:tcPr>
          <w:p w14:paraId="5A16922E" w14:textId="77777777" w:rsidR="003E29E0" w:rsidRPr="003E29E0" w:rsidRDefault="003E29E0" w:rsidP="00E839CA">
            <w:pPr>
              <w:spacing w:line="259" w:lineRule="auto"/>
              <w:ind w:left="336"/>
              <w:rPr>
                <w:rFonts w:cstheme="minorHAnsi"/>
                <w:sz w:val="24"/>
                <w:szCs w:val="24"/>
              </w:rPr>
            </w:pPr>
            <w:r w:rsidRPr="003E29E0">
              <w:rPr>
                <w:rFonts w:cstheme="minorHAnsi"/>
                <w:sz w:val="24"/>
                <w:szCs w:val="24"/>
              </w:rPr>
              <w:t>Discharged to home/home health service</w:t>
            </w:r>
          </w:p>
        </w:tc>
        <w:tc>
          <w:tcPr>
            <w:tcW w:w="0" w:type="auto"/>
            <w:hideMark/>
          </w:tcPr>
          <w:p w14:paraId="2EF2DD62" w14:textId="77777777" w:rsidR="003E29E0" w:rsidRPr="003E29E0" w:rsidRDefault="003E29E0" w:rsidP="00394307">
            <w:pPr>
              <w:spacing w:line="259" w:lineRule="auto"/>
              <w:rPr>
                <w:rFonts w:cstheme="minorHAnsi"/>
                <w:sz w:val="24"/>
                <w:szCs w:val="24"/>
              </w:rPr>
            </w:pPr>
            <w:r w:rsidRPr="003E29E0">
              <w:rPr>
                <w:rFonts w:cstheme="minorHAnsi"/>
                <w:sz w:val="24"/>
                <w:szCs w:val="24"/>
              </w:rPr>
              <w:t>16 851 (17.47%)</w:t>
            </w:r>
          </w:p>
        </w:tc>
        <w:tc>
          <w:tcPr>
            <w:tcW w:w="0" w:type="auto"/>
            <w:hideMark/>
          </w:tcPr>
          <w:p w14:paraId="3623B6F1" w14:textId="77777777" w:rsidR="003E29E0" w:rsidRPr="003E29E0" w:rsidRDefault="003E29E0" w:rsidP="00394307">
            <w:pPr>
              <w:spacing w:line="259" w:lineRule="auto"/>
              <w:rPr>
                <w:rFonts w:cstheme="minorHAnsi"/>
                <w:sz w:val="24"/>
                <w:szCs w:val="24"/>
              </w:rPr>
            </w:pPr>
            <w:r w:rsidRPr="003E29E0">
              <w:rPr>
                <w:rFonts w:cstheme="minorHAnsi"/>
                <w:sz w:val="24"/>
                <w:szCs w:val="24"/>
              </w:rPr>
              <w:t>7197 (17.41%)</w:t>
            </w:r>
          </w:p>
        </w:tc>
      </w:tr>
      <w:tr w:rsidR="00394307" w:rsidRPr="003E29E0" w14:paraId="3A44D8F4" w14:textId="77777777" w:rsidTr="00394307">
        <w:tc>
          <w:tcPr>
            <w:tcW w:w="0" w:type="auto"/>
            <w:hideMark/>
          </w:tcPr>
          <w:p w14:paraId="6AAF66B9" w14:textId="77777777" w:rsidR="003E29E0" w:rsidRPr="003E29E0" w:rsidRDefault="003E29E0" w:rsidP="00E839CA">
            <w:pPr>
              <w:spacing w:line="259" w:lineRule="auto"/>
              <w:ind w:left="336"/>
              <w:rPr>
                <w:rFonts w:cstheme="minorHAnsi"/>
                <w:sz w:val="24"/>
                <w:szCs w:val="24"/>
              </w:rPr>
            </w:pPr>
            <w:r w:rsidRPr="003E29E0">
              <w:rPr>
                <w:rFonts w:cstheme="minorHAnsi"/>
                <w:sz w:val="24"/>
                <w:szCs w:val="24"/>
              </w:rPr>
              <w:t>Discharged to hospice care</w:t>
            </w:r>
          </w:p>
        </w:tc>
        <w:tc>
          <w:tcPr>
            <w:tcW w:w="0" w:type="auto"/>
            <w:hideMark/>
          </w:tcPr>
          <w:p w14:paraId="6604A564" w14:textId="77777777" w:rsidR="003E29E0" w:rsidRPr="003E29E0" w:rsidRDefault="003E29E0" w:rsidP="00394307">
            <w:pPr>
              <w:spacing w:line="259" w:lineRule="auto"/>
              <w:rPr>
                <w:rFonts w:cstheme="minorHAnsi"/>
                <w:sz w:val="24"/>
                <w:szCs w:val="24"/>
              </w:rPr>
            </w:pPr>
            <w:r w:rsidRPr="003E29E0">
              <w:rPr>
                <w:rFonts w:cstheme="minorHAnsi"/>
                <w:sz w:val="24"/>
                <w:szCs w:val="24"/>
              </w:rPr>
              <w:t>1184 (1.23%)</w:t>
            </w:r>
          </w:p>
        </w:tc>
        <w:tc>
          <w:tcPr>
            <w:tcW w:w="0" w:type="auto"/>
            <w:hideMark/>
          </w:tcPr>
          <w:p w14:paraId="5B49D387" w14:textId="77777777" w:rsidR="003E29E0" w:rsidRPr="003E29E0" w:rsidRDefault="003E29E0" w:rsidP="00394307">
            <w:pPr>
              <w:spacing w:line="259" w:lineRule="auto"/>
              <w:rPr>
                <w:rFonts w:cstheme="minorHAnsi"/>
                <w:sz w:val="24"/>
                <w:szCs w:val="24"/>
              </w:rPr>
            </w:pPr>
            <w:r w:rsidRPr="003E29E0">
              <w:rPr>
                <w:rFonts w:cstheme="minorHAnsi"/>
                <w:sz w:val="24"/>
                <w:szCs w:val="24"/>
              </w:rPr>
              <w:t>535 (1.29%)</w:t>
            </w:r>
          </w:p>
        </w:tc>
      </w:tr>
      <w:tr w:rsidR="00394307" w:rsidRPr="003E29E0" w14:paraId="0312EB40" w14:textId="77777777" w:rsidTr="00394307">
        <w:tc>
          <w:tcPr>
            <w:tcW w:w="0" w:type="auto"/>
            <w:hideMark/>
          </w:tcPr>
          <w:p w14:paraId="7E43EC97" w14:textId="77777777" w:rsidR="003E29E0" w:rsidRPr="003E29E0" w:rsidRDefault="003E29E0" w:rsidP="00E839CA">
            <w:pPr>
              <w:spacing w:line="259" w:lineRule="auto"/>
              <w:ind w:left="336"/>
              <w:rPr>
                <w:rFonts w:cstheme="minorHAnsi"/>
                <w:sz w:val="24"/>
                <w:szCs w:val="24"/>
              </w:rPr>
            </w:pPr>
            <w:r w:rsidRPr="003E29E0">
              <w:rPr>
                <w:rFonts w:cstheme="minorHAnsi"/>
                <w:sz w:val="24"/>
                <w:szCs w:val="24"/>
              </w:rPr>
              <w:t>Left against medical advice</w:t>
            </w:r>
          </w:p>
        </w:tc>
        <w:tc>
          <w:tcPr>
            <w:tcW w:w="0" w:type="auto"/>
            <w:hideMark/>
          </w:tcPr>
          <w:p w14:paraId="0ED868E6" w14:textId="77777777" w:rsidR="003E29E0" w:rsidRPr="003E29E0" w:rsidRDefault="003E29E0" w:rsidP="00394307">
            <w:pPr>
              <w:spacing w:line="259" w:lineRule="auto"/>
              <w:rPr>
                <w:rFonts w:cstheme="minorHAnsi"/>
                <w:sz w:val="24"/>
                <w:szCs w:val="24"/>
              </w:rPr>
            </w:pPr>
            <w:r w:rsidRPr="003E29E0">
              <w:rPr>
                <w:rFonts w:cstheme="minorHAnsi"/>
                <w:sz w:val="24"/>
                <w:szCs w:val="24"/>
              </w:rPr>
              <w:t>1289 (1.34%)</w:t>
            </w:r>
          </w:p>
        </w:tc>
        <w:tc>
          <w:tcPr>
            <w:tcW w:w="0" w:type="auto"/>
            <w:hideMark/>
          </w:tcPr>
          <w:p w14:paraId="1F3D05C4" w14:textId="77777777" w:rsidR="003E29E0" w:rsidRPr="003E29E0" w:rsidRDefault="003E29E0" w:rsidP="00394307">
            <w:pPr>
              <w:spacing w:line="259" w:lineRule="auto"/>
              <w:rPr>
                <w:rFonts w:cstheme="minorHAnsi"/>
                <w:sz w:val="24"/>
                <w:szCs w:val="24"/>
              </w:rPr>
            </w:pPr>
            <w:r w:rsidRPr="003E29E0">
              <w:rPr>
                <w:rFonts w:cstheme="minorHAnsi"/>
                <w:sz w:val="24"/>
                <w:szCs w:val="24"/>
              </w:rPr>
              <w:t>573 (1.39%)</w:t>
            </w:r>
          </w:p>
        </w:tc>
      </w:tr>
      <w:tr w:rsidR="00394307" w:rsidRPr="003E29E0" w14:paraId="785A8D72" w14:textId="77777777" w:rsidTr="00394307">
        <w:tc>
          <w:tcPr>
            <w:tcW w:w="0" w:type="auto"/>
            <w:hideMark/>
          </w:tcPr>
          <w:p w14:paraId="6939453E" w14:textId="77777777" w:rsidR="00394307" w:rsidRPr="003E29E0" w:rsidRDefault="00394307" w:rsidP="00394307">
            <w:pPr>
              <w:rPr>
                <w:rFonts w:cstheme="minorHAnsi"/>
                <w:sz w:val="24"/>
                <w:szCs w:val="24"/>
              </w:rPr>
            </w:pPr>
            <w:r w:rsidRPr="003E29E0">
              <w:rPr>
                <w:rFonts w:cstheme="minorHAnsi"/>
                <w:sz w:val="24"/>
                <w:szCs w:val="24"/>
              </w:rPr>
              <w:t>Comorbidities</w:t>
            </w:r>
          </w:p>
        </w:tc>
        <w:tc>
          <w:tcPr>
            <w:tcW w:w="0" w:type="auto"/>
          </w:tcPr>
          <w:p w14:paraId="5522440C" w14:textId="77777777" w:rsidR="00394307" w:rsidRPr="003E29E0" w:rsidRDefault="00394307" w:rsidP="00394307">
            <w:pPr>
              <w:rPr>
                <w:rFonts w:cstheme="minorHAnsi"/>
                <w:sz w:val="24"/>
                <w:szCs w:val="24"/>
              </w:rPr>
            </w:pPr>
          </w:p>
        </w:tc>
        <w:tc>
          <w:tcPr>
            <w:tcW w:w="0" w:type="auto"/>
          </w:tcPr>
          <w:p w14:paraId="07D7AED3" w14:textId="58B9C14B" w:rsidR="00394307" w:rsidRPr="003E29E0" w:rsidRDefault="00394307" w:rsidP="00394307">
            <w:pPr>
              <w:spacing w:line="259" w:lineRule="auto"/>
              <w:rPr>
                <w:rFonts w:cstheme="minorHAnsi"/>
                <w:sz w:val="24"/>
                <w:szCs w:val="24"/>
              </w:rPr>
            </w:pPr>
          </w:p>
        </w:tc>
      </w:tr>
      <w:tr w:rsidR="00394307" w:rsidRPr="003E29E0" w14:paraId="298B8423" w14:textId="77777777" w:rsidTr="00394307">
        <w:tc>
          <w:tcPr>
            <w:tcW w:w="0" w:type="auto"/>
            <w:hideMark/>
          </w:tcPr>
          <w:p w14:paraId="44F15979" w14:textId="77777777" w:rsidR="003E29E0" w:rsidRPr="003E29E0" w:rsidRDefault="003E29E0" w:rsidP="00E839CA">
            <w:pPr>
              <w:spacing w:line="259" w:lineRule="auto"/>
              <w:ind w:left="336"/>
              <w:rPr>
                <w:rFonts w:cstheme="minorHAnsi"/>
                <w:sz w:val="24"/>
                <w:szCs w:val="24"/>
              </w:rPr>
            </w:pPr>
            <w:r w:rsidRPr="003E29E0">
              <w:rPr>
                <w:rFonts w:cstheme="minorHAnsi"/>
                <w:sz w:val="24"/>
                <w:szCs w:val="24"/>
              </w:rPr>
              <w:t>Renal failure</w:t>
            </w:r>
          </w:p>
        </w:tc>
        <w:tc>
          <w:tcPr>
            <w:tcW w:w="0" w:type="auto"/>
            <w:hideMark/>
          </w:tcPr>
          <w:p w14:paraId="7A024674" w14:textId="77777777" w:rsidR="003E29E0" w:rsidRPr="003E29E0" w:rsidRDefault="003E29E0" w:rsidP="00394307">
            <w:pPr>
              <w:spacing w:line="259" w:lineRule="auto"/>
              <w:rPr>
                <w:rFonts w:cstheme="minorHAnsi"/>
                <w:sz w:val="24"/>
                <w:szCs w:val="24"/>
              </w:rPr>
            </w:pPr>
            <w:r w:rsidRPr="003E29E0">
              <w:rPr>
                <w:rFonts w:cstheme="minorHAnsi"/>
                <w:sz w:val="24"/>
                <w:szCs w:val="24"/>
              </w:rPr>
              <w:t>7691 (7.97%)</w:t>
            </w:r>
          </w:p>
        </w:tc>
        <w:tc>
          <w:tcPr>
            <w:tcW w:w="0" w:type="auto"/>
            <w:hideMark/>
          </w:tcPr>
          <w:p w14:paraId="4455C5A1" w14:textId="77777777" w:rsidR="003E29E0" w:rsidRPr="003E29E0" w:rsidRDefault="003E29E0" w:rsidP="00394307">
            <w:pPr>
              <w:spacing w:line="259" w:lineRule="auto"/>
              <w:rPr>
                <w:rFonts w:cstheme="minorHAnsi"/>
                <w:sz w:val="24"/>
                <w:szCs w:val="24"/>
              </w:rPr>
            </w:pPr>
            <w:r w:rsidRPr="003E29E0">
              <w:rPr>
                <w:rFonts w:cstheme="minorHAnsi"/>
                <w:sz w:val="24"/>
                <w:szCs w:val="24"/>
              </w:rPr>
              <w:t>3344 (8.09%)</w:t>
            </w:r>
          </w:p>
        </w:tc>
      </w:tr>
      <w:tr w:rsidR="00394307" w:rsidRPr="003E29E0" w14:paraId="287F16DB" w14:textId="77777777" w:rsidTr="00394307">
        <w:tc>
          <w:tcPr>
            <w:tcW w:w="0" w:type="auto"/>
            <w:hideMark/>
          </w:tcPr>
          <w:p w14:paraId="6858F39A" w14:textId="77777777" w:rsidR="003E29E0" w:rsidRPr="003E29E0" w:rsidRDefault="003E29E0" w:rsidP="00E839CA">
            <w:pPr>
              <w:spacing w:line="259" w:lineRule="auto"/>
              <w:ind w:left="336"/>
              <w:rPr>
                <w:rFonts w:cstheme="minorHAnsi"/>
                <w:sz w:val="24"/>
                <w:szCs w:val="24"/>
              </w:rPr>
            </w:pPr>
            <w:r w:rsidRPr="003E29E0">
              <w:rPr>
                <w:rFonts w:cstheme="minorHAnsi"/>
                <w:sz w:val="24"/>
                <w:szCs w:val="24"/>
              </w:rPr>
              <w:t>Weight loss</w:t>
            </w:r>
          </w:p>
        </w:tc>
        <w:tc>
          <w:tcPr>
            <w:tcW w:w="0" w:type="auto"/>
            <w:hideMark/>
          </w:tcPr>
          <w:p w14:paraId="37864053" w14:textId="77777777" w:rsidR="003E29E0" w:rsidRPr="003E29E0" w:rsidRDefault="003E29E0" w:rsidP="00394307">
            <w:pPr>
              <w:spacing w:line="259" w:lineRule="auto"/>
              <w:rPr>
                <w:rFonts w:cstheme="minorHAnsi"/>
                <w:sz w:val="24"/>
                <w:szCs w:val="24"/>
              </w:rPr>
            </w:pPr>
            <w:r w:rsidRPr="003E29E0">
              <w:rPr>
                <w:rFonts w:cstheme="minorHAnsi"/>
                <w:sz w:val="24"/>
                <w:szCs w:val="24"/>
              </w:rPr>
              <w:t>3171 (3.29%)</w:t>
            </w:r>
          </w:p>
        </w:tc>
        <w:tc>
          <w:tcPr>
            <w:tcW w:w="0" w:type="auto"/>
            <w:hideMark/>
          </w:tcPr>
          <w:p w14:paraId="345E80C7" w14:textId="77777777" w:rsidR="003E29E0" w:rsidRPr="003E29E0" w:rsidRDefault="003E29E0" w:rsidP="00394307">
            <w:pPr>
              <w:spacing w:line="259" w:lineRule="auto"/>
              <w:rPr>
                <w:rFonts w:cstheme="minorHAnsi"/>
                <w:sz w:val="24"/>
                <w:szCs w:val="24"/>
              </w:rPr>
            </w:pPr>
            <w:r w:rsidRPr="003E29E0">
              <w:rPr>
                <w:rFonts w:cstheme="minorHAnsi"/>
                <w:sz w:val="24"/>
                <w:szCs w:val="24"/>
              </w:rPr>
              <w:t>1310 (3.17%)</w:t>
            </w:r>
          </w:p>
        </w:tc>
      </w:tr>
      <w:tr w:rsidR="00394307" w:rsidRPr="003E29E0" w14:paraId="45BA17A9" w14:textId="77777777" w:rsidTr="00394307">
        <w:tc>
          <w:tcPr>
            <w:tcW w:w="0" w:type="auto"/>
            <w:hideMark/>
          </w:tcPr>
          <w:p w14:paraId="2E9C8AC1" w14:textId="77777777" w:rsidR="003E29E0" w:rsidRPr="003E29E0" w:rsidRDefault="003E29E0" w:rsidP="00E839CA">
            <w:pPr>
              <w:spacing w:line="259" w:lineRule="auto"/>
              <w:ind w:left="336"/>
              <w:rPr>
                <w:rFonts w:cstheme="minorHAnsi"/>
                <w:sz w:val="24"/>
                <w:szCs w:val="24"/>
              </w:rPr>
            </w:pPr>
            <w:r w:rsidRPr="003E29E0">
              <w:rPr>
                <w:rFonts w:cstheme="minorHAnsi"/>
                <w:sz w:val="24"/>
                <w:szCs w:val="24"/>
              </w:rPr>
              <w:t>Hypertension</w:t>
            </w:r>
          </w:p>
        </w:tc>
        <w:tc>
          <w:tcPr>
            <w:tcW w:w="0" w:type="auto"/>
            <w:hideMark/>
          </w:tcPr>
          <w:p w14:paraId="4683D49F" w14:textId="77777777" w:rsidR="003E29E0" w:rsidRPr="003E29E0" w:rsidRDefault="003E29E0" w:rsidP="00394307">
            <w:pPr>
              <w:spacing w:line="259" w:lineRule="auto"/>
              <w:rPr>
                <w:rFonts w:cstheme="minorHAnsi"/>
                <w:sz w:val="24"/>
                <w:szCs w:val="24"/>
              </w:rPr>
            </w:pPr>
            <w:r w:rsidRPr="003E29E0">
              <w:rPr>
                <w:rFonts w:cstheme="minorHAnsi"/>
                <w:sz w:val="24"/>
                <w:szCs w:val="24"/>
              </w:rPr>
              <w:t>21 861 (22.67%)</w:t>
            </w:r>
          </w:p>
        </w:tc>
        <w:tc>
          <w:tcPr>
            <w:tcW w:w="0" w:type="auto"/>
            <w:hideMark/>
          </w:tcPr>
          <w:p w14:paraId="4A80AEAE" w14:textId="77777777" w:rsidR="003E29E0" w:rsidRPr="003E29E0" w:rsidRDefault="003E29E0" w:rsidP="00394307">
            <w:pPr>
              <w:spacing w:line="259" w:lineRule="auto"/>
              <w:rPr>
                <w:rFonts w:cstheme="minorHAnsi"/>
                <w:sz w:val="24"/>
                <w:szCs w:val="24"/>
              </w:rPr>
            </w:pPr>
            <w:r w:rsidRPr="003E29E0">
              <w:rPr>
                <w:rFonts w:cstheme="minorHAnsi"/>
                <w:sz w:val="24"/>
                <w:szCs w:val="24"/>
              </w:rPr>
              <w:t>9464 (22.90%)</w:t>
            </w:r>
          </w:p>
        </w:tc>
      </w:tr>
      <w:tr w:rsidR="00394307" w:rsidRPr="003E29E0" w14:paraId="2205473A" w14:textId="77777777" w:rsidTr="00394307">
        <w:tc>
          <w:tcPr>
            <w:tcW w:w="0" w:type="auto"/>
            <w:hideMark/>
          </w:tcPr>
          <w:p w14:paraId="0F2A8F0E" w14:textId="77777777" w:rsidR="003E29E0" w:rsidRPr="003E29E0" w:rsidRDefault="003E29E0" w:rsidP="00E839CA">
            <w:pPr>
              <w:spacing w:line="259" w:lineRule="auto"/>
              <w:ind w:left="336"/>
              <w:rPr>
                <w:rFonts w:cstheme="minorHAnsi"/>
                <w:sz w:val="24"/>
                <w:szCs w:val="24"/>
              </w:rPr>
            </w:pPr>
            <w:r w:rsidRPr="003E29E0">
              <w:rPr>
                <w:rFonts w:cstheme="minorHAnsi"/>
                <w:sz w:val="24"/>
                <w:szCs w:val="24"/>
              </w:rPr>
              <w:t>Metastatic tumor</w:t>
            </w:r>
          </w:p>
        </w:tc>
        <w:tc>
          <w:tcPr>
            <w:tcW w:w="0" w:type="auto"/>
            <w:hideMark/>
          </w:tcPr>
          <w:p w14:paraId="6EBECBB3" w14:textId="77777777" w:rsidR="003E29E0" w:rsidRPr="003E29E0" w:rsidRDefault="003E29E0" w:rsidP="00394307">
            <w:pPr>
              <w:spacing w:line="259" w:lineRule="auto"/>
              <w:rPr>
                <w:rFonts w:cstheme="minorHAnsi"/>
                <w:sz w:val="24"/>
                <w:szCs w:val="24"/>
              </w:rPr>
            </w:pPr>
            <w:r w:rsidRPr="003E29E0">
              <w:rPr>
                <w:rFonts w:cstheme="minorHAnsi"/>
                <w:sz w:val="24"/>
                <w:szCs w:val="24"/>
              </w:rPr>
              <w:t>2406 (2.49%)</w:t>
            </w:r>
          </w:p>
        </w:tc>
        <w:tc>
          <w:tcPr>
            <w:tcW w:w="0" w:type="auto"/>
            <w:hideMark/>
          </w:tcPr>
          <w:p w14:paraId="28997409" w14:textId="77777777" w:rsidR="003E29E0" w:rsidRPr="003E29E0" w:rsidRDefault="003E29E0" w:rsidP="00394307">
            <w:pPr>
              <w:spacing w:line="259" w:lineRule="auto"/>
              <w:rPr>
                <w:rFonts w:cstheme="minorHAnsi"/>
                <w:sz w:val="24"/>
                <w:szCs w:val="24"/>
              </w:rPr>
            </w:pPr>
            <w:r w:rsidRPr="003E29E0">
              <w:rPr>
                <w:rFonts w:cstheme="minorHAnsi"/>
                <w:sz w:val="24"/>
                <w:szCs w:val="24"/>
              </w:rPr>
              <w:t>1035 (2.50%)</w:t>
            </w:r>
          </w:p>
        </w:tc>
      </w:tr>
      <w:tr w:rsidR="00394307" w:rsidRPr="003E29E0" w14:paraId="210A5655" w14:textId="77777777" w:rsidTr="00394307">
        <w:tc>
          <w:tcPr>
            <w:tcW w:w="0" w:type="auto"/>
            <w:hideMark/>
          </w:tcPr>
          <w:p w14:paraId="3F8A3A43" w14:textId="77777777" w:rsidR="003E29E0" w:rsidRPr="003E29E0" w:rsidRDefault="003E29E0" w:rsidP="00E839CA">
            <w:pPr>
              <w:spacing w:line="259" w:lineRule="auto"/>
              <w:ind w:left="336"/>
              <w:rPr>
                <w:rFonts w:cstheme="minorHAnsi"/>
                <w:sz w:val="24"/>
                <w:szCs w:val="24"/>
              </w:rPr>
            </w:pPr>
            <w:r w:rsidRPr="003E29E0">
              <w:rPr>
                <w:rFonts w:cstheme="minorHAnsi"/>
                <w:sz w:val="24"/>
                <w:szCs w:val="24"/>
              </w:rPr>
              <w:t>Electrolyte disorders</w:t>
            </w:r>
          </w:p>
        </w:tc>
        <w:tc>
          <w:tcPr>
            <w:tcW w:w="0" w:type="auto"/>
            <w:hideMark/>
          </w:tcPr>
          <w:p w14:paraId="34E9ED0A" w14:textId="77777777" w:rsidR="003E29E0" w:rsidRPr="003E29E0" w:rsidRDefault="003E29E0" w:rsidP="00394307">
            <w:pPr>
              <w:spacing w:line="259" w:lineRule="auto"/>
              <w:rPr>
                <w:rFonts w:cstheme="minorHAnsi"/>
                <w:sz w:val="24"/>
                <w:szCs w:val="24"/>
              </w:rPr>
            </w:pPr>
            <w:r w:rsidRPr="003E29E0">
              <w:rPr>
                <w:rFonts w:cstheme="minorHAnsi"/>
                <w:sz w:val="24"/>
                <w:szCs w:val="24"/>
              </w:rPr>
              <w:t>15 786 (16.37%)</w:t>
            </w:r>
          </w:p>
        </w:tc>
        <w:tc>
          <w:tcPr>
            <w:tcW w:w="0" w:type="auto"/>
            <w:hideMark/>
          </w:tcPr>
          <w:p w14:paraId="0D37642A" w14:textId="77777777" w:rsidR="003E29E0" w:rsidRPr="003E29E0" w:rsidRDefault="003E29E0" w:rsidP="00394307">
            <w:pPr>
              <w:spacing w:line="259" w:lineRule="auto"/>
              <w:rPr>
                <w:rFonts w:cstheme="minorHAnsi"/>
                <w:sz w:val="24"/>
                <w:szCs w:val="24"/>
              </w:rPr>
            </w:pPr>
            <w:r w:rsidRPr="003E29E0">
              <w:rPr>
                <w:rFonts w:cstheme="minorHAnsi"/>
                <w:sz w:val="24"/>
                <w:szCs w:val="24"/>
              </w:rPr>
              <w:t>6812 (16.48%)</w:t>
            </w:r>
          </w:p>
        </w:tc>
      </w:tr>
      <w:tr w:rsidR="00394307" w:rsidRPr="003E29E0" w14:paraId="54B3DFE5" w14:textId="77777777" w:rsidTr="00394307">
        <w:tc>
          <w:tcPr>
            <w:tcW w:w="0" w:type="auto"/>
            <w:hideMark/>
          </w:tcPr>
          <w:p w14:paraId="249EC1C3" w14:textId="77777777" w:rsidR="003E29E0" w:rsidRPr="003E29E0" w:rsidRDefault="003E29E0" w:rsidP="00E839CA">
            <w:pPr>
              <w:spacing w:line="259" w:lineRule="auto"/>
              <w:ind w:left="336"/>
              <w:rPr>
                <w:rFonts w:cstheme="minorHAnsi"/>
                <w:sz w:val="24"/>
                <w:szCs w:val="24"/>
              </w:rPr>
            </w:pPr>
            <w:r w:rsidRPr="003E29E0">
              <w:rPr>
                <w:rFonts w:cstheme="minorHAnsi"/>
                <w:sz w:val="24"/>
                <w:szCs w:val="24"/>
              </w:rPr>
              <w:t>Congestive heart failure</w:t>
            </w:r>
          </w:p>
        </w:tc>
        <w:tc>
          <w:tcPr>
            <w:tcW w:w="0" w:type="auto"/>
            <w:hideMark/>
          </w:tcPr>
          <w:p w14:paraId="797C293B" w14:textId="77777777" w:rsidR="003E29E0" w:rsidRPr="003E29E0" w:rsidRDefault="003E29E0" w:rsidP="00394307">
            <w:pPr>
              <w:spacing w:line="259" w:lineRule="auto"/>
              <w:rPr>
                <w:rFonts w:cstheme="minorHAnsi"/>
                <w:sz w:val="24"/>
                <w:szCs w:val="24"/>
              </w:rPr>
            </w:pPr>
            <w:r w:rsidRPr="003E29E0">
              <w:rPr>
                <w:rFonts w:cstheme="minorHAnsi"/>
                <w:sz w:val="24"/>
                <w:szCs w:val="24"/>
              </w:rPr>
              <w:t>4796 (4.97%)</w:t>
            </w:r>
          </w:p>
        </w:tc>
        <w:tc>
          <w:tcPr>
            <w:tcW w:w="0" w:type="auto"/>
            <w:hideMark/>
          </w:tcPr>
          <w:p w14:paraId="2B46C302" w14:textId="77777777" w:rsidR="003E29E0" w:rsidRPr="003E29E0" w:rsidRDefault="003E29E0" w:rsidP="00394307">
            <w:pPr>
              <w:spacing w:line="259" w:lineRule="auto"/>
              <w:rPr>
                <w:rFonts w:cstheme="minorHAnsi"/>
                <w:sz w:val="24"/>
                <w:szCs w:val="24"/>
              </w:rPr>
            </w:pPr>
            <w:r w:rsidRPr="003E29E0">
              <w:rPr>
                <w:rFonts w:cstheme="minorHAnsi"/>
                <w:sz w:val="24"/>
                <w:szCs w:val="24"/>
              </w:rPr>
              <w:t>2146 (5.19%)</w:t>
            </w:r>
          </w:p>
        </w:tc>
      </w:tr>
      <w:tr w:rsidR="00394307" w:rsidRPr="003E29E0" w14:paraId="289DE405" w14:textId="77777777" w:rsidTr="00394307">
        <w:tc>
          <w:tcPr>
            <w:tcW w:w="0" w:type="auto"/>
            <w:hideMark/>
          </w:tcPr>
          <w:p w14:paraId="4D09BC49" w14:textId="250A4ACC" w:rsidR="00394307" w:rsidRPr="003E29E0" w:rsidRDefault="00394307" w:rsidP="00394307">
            <w:pPr>
              <w:rPr>
                <w:rFonts w:cstheme="minorHAnsi"/>
                <w:sz w:val="24"/>
                <w:szCs w:val="24"/>
              </w:rPr>
            </w:pPr>
            <w:r w:rsidRPr="003E29E0">
              <w:rPr>
                <w:rFonts w:cstheme="minorHAnsi"/>
                <w:sz w:val="24"/>
                <w:szCs w:val="24"/>
              </w:rPr>
              <w:t>READI study status</w:t>
            </w:r>
            <w:r w:rsidRPr="003E29E0">
              <w:rPr>
                <w:rFonts w:cstheme="minorHAnsi"/>
                <w:i/>
                <w:iCs/>
                <w:sz w:val="24"/>
                <w:szCs w:val="24"/>
                <w:vertAlign w:val="superscript"/>
              </w:rPr>
              <w:t>b</w:t>
            </w:r>
          </w:p>
        </w:tc>
        <w:tc>
          <w:tcPr>
            <w:tcW w:w="0" w:type="auto"/>
          </w:tcPr>
          <w:p w14:paraId="09892858" w14:textId="77777777" w:rsidR="00394307" w:rsidRPr="003E29E0" w:rsidRDefault="00394307" w:rsidP="00394307">
            <w:pPr>
              <w:rPr>
                <w:rFonts w:cstheme="minorHAnsi"/>
                <w:sz w:val="24"/>
                <w:szCs w:val="24"/>
              </w:rPr>
            </w:pPr>
          </w:p>
        </w:tc>
        <w:tc>
          <w:tcPr>
            <w:tcW w:w="0" w:type="auto"/>
          </w:tcPr>
          <w:p w14:paraId="13A12890" w14:textId="6FB6A5F6" w:rsidR="00394307" w:rsidRPr="003E29E0" w:rsidRDefault="00394307" w:rsidP="00394307">
            <w:pPr>
              <w:spacing w:line="259" w:lineRule="auto"/>
              <w:rPr>
                <w:rFonts w:cstheme="minorHAnsi"/>
                <w:sz w:val="24"/>
                <w:szCs w:val="24"/>
              </w:rPr>
            </w:pPr>
          </w:p>
        </w:tc>
      </w:tr>
      <w:tr w:rsidR="00394307" w:rsidRPr="003E29E0" w14:paraId="13A85E3E" w14:textId="77777777" w:rsidTr="00394307">
        <w:tc>
          <w:tcPr>
            <w:tcW w:w="0" w:type="auto"/>
            <w:hideMark/>
          </w:tcPr>
          <w:p w14:paraId="4C416723" w14:textId="77777777" w:rsidR="003E29E0" w:rsidRPr="003E29E0" w:rsidRDefault="003E29E0" w:rsidP="00E839CA">
            <w:pPr>
              <w:spacing w:line="259" w:lineRule="auto"/>
              <w:ind w:left="336"/>
              <w:rPr>
                <w:rFonts w:cstheme="minorHAnsi"/>
                <w:sz w:val="24"/>
                <w:szCs w:val="24"/>
              </w:rPr>
            </w:pPr>
            <w:r w:rsidRPr="003E29E0">
              <w:rPr>
                <w:rFonts w:cstheme="minorHAnsi"/>
                <w:sz w:val="24"/>
                <w:szCs w:val="24"/>
              </w:rPr>
              <w:t>Patient from an intervention unit</w:t>
            </w:r>
          </w:p>
        </w:tc>
        <w:tc>
          <w:tcPr>
            <w:tcW w:w="0" w:type="auto"/>
            <w:hideMark/>
          </w:tcPr>
          <w:p w14:paraId="041E82F5" w14:textId="77777777" w:rsidR="003E29E0" w:rsidRPr="003E29E0" w:rsidRDefault="003E29E0" w:rsidP="00394307">
            <w:pPr>
              <w:spacing w:line="259" w:lineRule="auto"/>
              <w:rPr>
                <w:rFonts w:cstheme="minorHAnsi"/>
                <w:sz w:val="24"/>
                <w:szCs w:val="24"/>
              </w:rPr>
            </w:pPr>
            <w:r w:rsidRPr="003E29E0">
              <w:rPr>
                <w:rFonts w:cstheme="minorHAnsi"/>
                <w:sz w:val="24"/>
                <w:szCs w:val="24"/>
              </w:rPr>
              <w:t>49 195 (51.01%)</w:t>
            </w:r>
          </w:p>
        </w:tc>
        <w:tc>
          <w:tcPr>
            <w:tcW w:w="0" w:type="auto"/>
            <w:hideMark/>
          </w:tcPr>
          <w:p w14:paraId="2192B14B" w14:textId="77777777" w:rsidR="003E29E0" w:rsidRPr="003E29E0" w:rsidRDefault="003E29E0" w:rsidP="00394307">
            <w:pPr>
              <w:spacing w:line="259" w:lineRule="auto"/>
              <w:rPr>
                <w:rFonts w:cstheme="minorHAnsi"/>
                <w:sz w:val="24"/>
                <w:szCs w:val="24"/>
              </w:rPr>
            </w:pPr>
            <w:r w:rsidRPr="003E29E0">
              <w:rPr>
                <w:rFonts w:cstheme="minorHAnsi"/>
                <w:sz w:val="24"/>
                <w:szCs w:val="24"/>
              </w:rPr>
              <w:t>21 224 (51.35%)</w:t>
            </w:r>
          </w:p>
        </w:tc>
      </w:tr>
      <w:tr w:rsidR="00394307" w:rsidRPr="003E29E0" w14:paraId="05D13FE2" w14:textId="77777777" w:rsidTr="00394307">
        <w:tc>
          <w:tcPr>
            <w:tcW w:w="0" w:type="auto"/>
            <w:hideMark/>
          </w:tcPr>
          <w:p w14:paraId="3D343BC0" w14:textId="57FD7924" w:rsidR="003E29E0" w:rsidRPr="003E29E0" w:rsidRDefault="003E29E0" w:rsidP="00E839CA">
            <w:pPr>
              <w:spacing w:line="259" w:lineRule="auto"/>
              <w:ind w:left="336"/>
              <w:rPr>
                <w:rFonts w:cstheme="minorHAnsi"/>
                <w:sz w:val="24"/>
                <w:szCs w:val="24"/>
              </w:rPr>
            </w:pPr>
            <w:r w:rsidRPr="003E29E0">
              <w:rPr>
                <w:rFonts w:cstheme="minorHAnsi"/>
                <w:sz w:val="24"/>
                <w:szCs w:val="24"/>
              </w:rPr>
              <w:t>Patient treated per protocol</w:t>
            </w:r>
            <w:r w:rsidRPr="003E29E0">
              <w:rPr>
                <w:rFonts w:cstheme="minorHAnsi"/>
                <w:i/>
                <w:iCs/>
                <w:sz w:val="24"/>
                <w:szCs w:val="24"/>
                <w:vertAlign w:val="superscript"/>
              </w:rPr>
              <w:t>c</w:t>
            </w:r>
          </w:p>
        </w:tc>
        <w:tc>
          <w:tcPr>
            <w:tcW w:w="0" w:type="auto"/>
            <w:hideMark/>
          </w:tcPr>
          <w:p w14:paraId="17E51CAE" w14:textId="77777777" w:rsidR="003E29E0" w:rsidRPr="003E29E0" w:rsidRDefault="003E29E0" w:rsidP="00394307">
            <w:pPr>
              <w:spacing w:line="259" w:lineRule="auto"/>
              <w:rPr>
                <w:rFonts w:cstheme="minorHAnsi"/>
                <w:sz w:val="24"/>
                <w:szCs w:val="24"/>
              </w:rPr>
            </w:pPr>
            <w:r w:rsidRPr="003E29E0">
              <w:rPr>
                <w:rFonts w:cstheme="minorHAnsi"/>
                <w:sz w:val="24"/>
                <w:szCs w:val="24"/>
              </w:rPr>
              <w:t>25 365 (51.56%)</w:t>
            </w:r>
          </w:p>
        </w:tc>
        <w:tc>
          <w:tcPr>
            <w:tcW w:w="0" w:type="auto"/>
            <w:hideMark/>
          </w:tcPr>
          <w:p w14:paraId="4B89F037" w14:textId="77777777" w:rsidR="003E29E0" w:rsidRPr="003E29E0" w:rsidRDefault="003E29E0" w:rsidP="00394307">
            <w:pPr>
              <w:spacing w:line="259" w:lineRule="auto"/>
              <w:rPr>
                <w:rFonts w:cstheme="minorHAnsi"/>
                <w:sz w:val="24"/>
                <w:szCs w:val="24"/>
              </w:rPr>
            </w:pPr>
            <w:r w:rsidRPr="003E29E0">
              <w:rPr>
                <w:rFonts w:cstheme="minorHAnsi"/>
                <w:sz w:val="24"/>
                <w:szCs w:val="24"/>
              </w:rPr>
              <w:t>10 934 (51.52%)</w:t>
            </w:r>
          </w:p>
        </w:tc>
      </w:tr>
    </w:tbl>
    <w:p w14:paraId="478C62AB" w14:textId="77E40B66" w:rsidR="003E29E0" w:rsidRPr="003E29E0" w:rsidRDefault="003E29E0" w:rsidP="00394307">
      <w:pPr>
        <w:spacing w:after="0"/>
        <w:ind w:left="360"/>
        <w:rPr>
          <w:rFonts w:cstheme="minorHAnsi"/>
          <w:sz w:val="24"/>
          <w:szCs w:val="24"/>
        </w:rPr>
      </w:pPr>
      <w:r w:rsidRPr="003E29E0">
        <w:rPr>
          <w:rFonts w:cstheme="minorHAnsi"/>
          <w:sz w:val="24"/>
          <w:szCs w:val="24"/>
          <w:vertAlign w:val="superscript"/>
        </w:rPr>
        <w:t>a</w:t>
      </w:r>
      <w:r w:rsidRPr="003E29E0">
        <w:rPr>
          <w:rFonts w:cstheme="minorHAnsi"/>
          <w:sz w:val="24"/>
          <w:szCs w:val="24"/>
        </w:rPr>
        <w:t> See Supplement Table A for the full set of descriptive statistics.</w:t>
      </w:r>
    </w:p>
    <w:p w14:paraId="6FB22258" w14:textId="3E82C27B" w:rsidR="003E29E0" w:rsidRPr="003E29E0" w:rsidRDefault="003E29E0" w:rsidP="00394307">
      <w:pPr>
        <w:spacing w:after="0"/>
        <w:ind w:left="360"/>
        <w:rPr>
          <w:rFonts w:cstheme="minorHAnsi"/>
          <w:sz w:val="24"/>
          <w:szCs w:val="24"/>
        </w:rPr>
      </w:pPr>
      <w:r w:rsidRPr="003E29E0">
        <w:rPr>
          <w:rFonts w:cstheme="minorHAnsi"/>
          <w:sz w:val="24"/>
          <w:szCs w:val="24"/>
          <w:vertAlign w:val="superscript"/>
        </w:rPr>
        <w:t>b</w:t>
      </w:r>
      <w:r w:rsidRPr="003E29E0">
        <w:rPr>
          <w:rFonts w:cstheme="minorHAnsi"/>
          <w:sz w:val="24"/>
          <w:szCs w:val="24"/>
        </w:rPr>
        <w:t> Study month not shown, see Supplement Table A.</w:t>
      </w:r>
    </w:p>
    <w:p w14:paraId="1FDC7D36" w14:textId="1D62D836" w:rsidR="003E29E0" w:rsidRPr="003E29E0" w:rsidRDefault="003E29E0" w:rsidP="00394307">
      <w:pPr>
        <w:spacing w:after="0"/>
        <w:ind w:left="360"/>
        <w:rPr>
          <w:rFonts w:cstheme="minorHAnsi"/>
          <w:sz w:val="24"/>
          <w:szCs w:val="24"/>
        </w:rPr>
      </w:pPr>
      <w:r w:rsidRPr="003E29E0">
        <w:rPr>
          <w:rFonts w:cstheme="minorHAnsi"/>
          <w:sz w:val="24"/>
          <w:szCs w:val="24"/>
          <w:vertAlign w:val="superscript"/>
        </w:rPr>
        <w:t>c</w:t>
      </w:r>
      <w:r w:rsidRPr="003E29E0">
        <w:rPr>
          <w:rFonts w:cstheme="minorHAnsi"/>
          <w:sz w:val="24"/>
          <w:szCs w:val="24"/>
        </w:rPr>
        <w:t> Patients from intervention units only; the percentage includes the baseline period, see Supplement Table B.</w:t>
      </w:r>
    </w:p>
    <w:p w14:paraId="618B5C3C" w14:textId="77777777" w:rsidR="00394307" w:rsidRDefault="00394307" w:rsidP="003E29E0">
      <w:pPr>
        <w:rPr>
          <w:rFonts w:cstheme="minorHAnsi"/>
          <w:b/>
          <w:bCs/>
          <w:sz w:val="24"/>
          <w:szCs w:val="24"/>
        </w:rPr>
      </w:pPr>
    </w:p>
    <w:p w14:paraId="68BC422D" w14:textId="428DAF26" w:rsidR="003E29E0" w:rsidRPr="003E29E0" w:rsidRDefault="003E29E0" w:rsidP="00B86E37">
      <w:pPr>
        <w:spacing w:after="0"/>
        <w:rPr>
          <w:rFonts w:cstheme="minorHAnsi"/>
          <w:sz w:val="24"/>
          <w:szCs w:val="24"/>
        </w:rPr>
      </w:pPr>
      <w:r w:rsidRPr="003E29E0">
        <w:rPr>
          <w:rFonts w:cstheme="minorHAnsi"/>
          <w:b/>
          <w:bCs/>
          <w:sz w:val="24"/>
          <w:szCs w:val="24"/>
        </w:rPr>
        <w:t>TABLE 4. </w:t>
      </w:r>
      <w:r w:rsidRPr="003E29E0">
        <w:rPr>
          <w:rFonts w:cstheme="minorHAnsi"/>
          <w:sz w:val="24"/>
          <w:szCs w:val="24"/>
        </w:rPr>
        <w:t>Select</w:t>
      </w:r>
      <w:r w:rsidRPr="003E29E0">
        <w:rPr>
          <w:rFonts w:cstheme="minorHAnsi"/>
          <w:i/>
          <w:iCs/>
          <w:sz w:val="24"/>
          <w:szCs w:val="24"/>
          <w:vertAlign w:val="superscript"/>
        </w:rPr>
        <w:t>a</w:t>
      </w:r>
      <w:r w:rsidRPr="003E29E0">
        <w:rPr>
          <w:rFonts w:cstheme="minorHAnsi"/>
          <w:sz w:val="24"/>
          <w:szCs w:val="24"/>
        </w:rPr>
        <w:t> descriptive structural input characteristics of units (</w:t>
      </w:r>
      <w:r w:rsidRPr="003E29E0">
        <w:rPr>
          <w:rFonts w:cstheme="minorHAnsi"/>
          <w:i/>
          <w:iCs/>
          <w:sz w:val="24"/>
          <w:szCs w:val="24"/>
        </w:rPr>
        <w:t>n</w:t>
      </w:r>
      <w:r w:rsidRPr="003E29E0">
        <w:rPr>
          <w:rFonts w:cstheme="minorHAnsi"/>
          <w:sz w:val="24"/>
          <w:szCs w:val="24"/>
        </w:rPr>
        <w:t> = 62) and hospitals (</w:t>
      </w:r>
      <w:r w:rsidRPr="003E29E0">
        <w:rPr>
          <w:rFonts w:cstheme="minorHAnsi"/>
          <w:i/>
          <w:iCs/>
          <w:sz w:val="24"/>
          <w:szCs w:val="24"/>
        </w:rPr>
        <w:t>n</w:t>
      </w:r>
      <w:r w:rsidRPr="003E29E0">
        <w:rPr>
          <w:rFonts w:cstheme="minorHAnsi"/>
          <w:sz w:val="24"/>
          <w:szCs w:val="24"/>
        </w:rPr>
        <w:t> = 31)</w:t>
      </w:r>
    </w:p>
    <w:tbl>
      <w:tblPr>
        <w:tblStyle w:val="TableGrid"/>
        <w:tblW w:w="0" w:type="auto"/>
        <w:tblLook w:val="04A0" w:firstRow="1" w:lastRow="0" w:firstColumn="1" w:lastColumn="0" w:noHBand="0" w:noVBand="1"/>
      </w:tblPr>
      <w:tblGrid>
        <w:gridCol w:w="6908"/>
        <w:gridCol w:w="3162"/>
      </w:tblGrid>
      <w:tr w:rsidR="003E29E0" w:rsidRPr="003E29E0" w14:paraId="665FE630" w14:textId="77777777" w:rsidTr="00B86E37">
        <w:tc>
          <w:tcPr>
            <w:tcW w:w="0" w:type="auto"/>
            <w:hideMark/>
          </w:tcPr>
          <w:p w14:paraId="1943B614" w14:textId="77777777" w:rsidR="003E29E0" w:rsidRPr="003E29E0" w:rsidRDefault="003E29E0" w:rsidP="00B86E37">
            <w:pPr>
              <w:spacing w:line="259" w:lineRule="auto"/>
              <w:rPr>
                <w:rFonts w:cstheme="minorHAnsi"/>
                <w:b/>
                <w:bCs/>
                <w:sz w:val="24"/>
                <w:szCs w:val="24"/>
              </w:rPr>
            </w:pPr>
            <w:r w:rsidRPr="003E29E0">
              <w:rPr>
                <w:rFonts w:cstheme="minorHAnsi"/>
                <w:b/>
                <w:bCs/>
                <w:sz w:val="24"/>
                <w:szCs w:val="24"/>
              </w:rPr>
              <w:t>Input variable</w:t>
            </w:r>
          </w:p>
        </w:tc>
        <w:tc>
          <w:tcPr>
            <w:tcW w:w="0" w:type="auto"/>
            <w:hideMark/>
          </w:tcPr>
          <w:p w14:paraId="55ACEF29" w14:textId="77777777" w:rsidR="003E29E0" w:rsidRPr="003E29E0" w:rsidRDefault="003E29E0" w:rsidP="00B86E37">
            <w:pPr>
              <w:spacing w:line="259" w:lineRule="auto"/>
              <w:rPr>
                <w:rFonts w:cstheme="minorHAnsi"/>
                <w:b/>
                <w:bCs/>
                <w:sz w:val="24"/>
                <w:szCs w:val="24"/>
              </w:rPr>
            </w:pPr>
            <w:r w:rsidRPr="003E29E0">
              <w:rPr>
                <w:rFonts w:cstheme="minorHAnsi"/>
                <w:b/>
                <w:bCs/>
                <w:i/>
                <w:iCs/>
                <w:sz w:val="24"/>
                <w:szCs w:val="24"/>
              </w:rPr>
              <w:t>n</w:t>
            </w:r>
            <w:r w:rsidRPr="003E29E0">
              <w:rPr>
                <w:rFonts w:cstheme="minorHAnsi"/>
                <w:b/>
                <w:bCs/>
                <w:sz w:val="24"/>
                <w:szCs w:val="24"/>
              </w:rPr>
              <w:t> (%) or Mean (Interquartile Range)</w:t>
            </w:r>
          </w:p>
        </w:tc>
      </w:tr>
      <w:tr w:rsidR="00B86E37" w:rsidRPr="003E29E0" w14:paraId="3542F1A3" w14:textId="77777777" w:rsidTr="00002E46">
        <w:tc>
          <w:tcPr>
            <w:tcW w:w="0" w:type="auto"/>
            <w:hideMark/>
          </w:tcPr>
          <w:p w14:paraId="205E0925" w14:textId="77777777" w:rsidR="00B86E37" w:rsidRPr="003E29E0" w:rsidRDefault="00B86E37" w:rsidP="00B86E37">
            <w:pPr>
              <w:rPr>
                <w:rFonts w:cstheme="minorHAnsi"/>
                <w:sz w:val="24"/>
                <w:szCs w:val="24"/>
              </w:rPr>
            </w:pPr>
            <w:r w:rsidRPr="003E29E0">
              <w:rPr>
                <w:rFonts w:cstheme="minorHAnsi"/>
                <w:b/>
                <w:bCs/>
                <w:sz w:val="24"/>
                <w:szCs w:val="24"/>
              </w:rPr>
              <w:t>Labor inputs</w:t>
            </w:r>
          </w:p>
        </w:tc>
        <w:tc>
          <w:tcPr>
            <w:tcW w:w="0" w:type="auto"/>
          </w:tcPr>
          <w:p w14:paraId="080EA7AB" w14:textId="671B60D0" w:rsidR="00B86E37" w:rsidRPr="003E29E0" w:rsidRDefault="00B86E37" w:rsidP="00B86E37">
            <w:pPr>
              <w:spacing w:line="259" w:lineRule="auto"/>
              <w:rPr>
                <w:rFonts w:cstheme="minorHAnsi"/>
                <w:sz w:val="24"/>
                <w:szCs w:val="24"/>
              </w:rPr>
            </w:pPr>
          </w:p>
        </w:tc>
      </w:tr>
      <w:tr w:rsidR="00B86E37" w:rsidRPr="003E29E0" w14:paraId="08F6D8EC" w14:textId="77777777" w:rsidTr="004D378E">
        <w:tc>
          <w:tcPr>
            <w:tcW w:w="0" w:type="auto"/>
            <w:hideMark/>
          </w:tcPr>
          <w:p w14:paraId="218E1FC5" w14:textId="77777777" w:rsidR="00B86E37" w:rsidRPr="003E29E0" w:rsidRDefault="00B86E37" w:rsidP="00B86E37">
            <w:pPr>
              <w:rPr>
                <w:rFonts w:cstheme="minorHAnsi"/>
                <w:sz w:val="24"/>
                <w:szCs w:val="24"/>
              </w:rPr>
            </w:pPr>
            <w:r w:rsidRPr="003E29E0">
              <w:rPr>
                <w:rFonts w:cstheme="minorHAnsi"/>
                <w:i/>
                <w:iCs/>
                <w:sz w:val="24"/>
                <w:szCs w:val="24"/>
              </w:rPr>
              <w:t>Unit-specific nursing labor inputs</w:t>
            </w:r>
          </w:p>
        </w:tc>
        <w:tc>
          <w:tcPr>
            <w:tcW w:w="0" w:type="auto"/>
          </w:tcPr>
          <w:p w14:paraId="643CBBA0" w14:textId="0A23FC2E" w:rsidR="00B86E37" w:rsidRPr="003E29E0" w:rsidRDefault="00B86E37" w:rsidP="00B86E37">
            <w:pPr>
              <w:spacing w:line="259" w:lineRule="auto"/>
              <w:rPr>
                <w:rFonts w:cstheme="minorHAnsi"/>
                <w:sz w:val="24"/>
                <w:szCs w:val="24"/>
              </w:rPr>
            </w:pPr>
          </w:p>
        </w:tc>
      </w:tr>
      <w:tr w:rsidR="00B86E37" w:rsidRPr="003E29E0" w14:paraId="0D642DC6" w14:textId="77777777" w:rsidTr="00941F43">
        <w:tc>
          <w:tcPr>
            <w:tcW w:w="0" w:type="auto"/>
            <w:hideMark/>
          </w:tcPr>
          <w:p w14:paraId="3E3F108A" w14:textId="5CA7331E" w:rsidR="00B86E37" w:rsidRPr="003E29E0" w:rsidRDefault="00B86E37" w:rsidP="0024239F">
            <w:pPr>
              <w:ind w:left="336"/>
              <w:rPr>
                <w:rFonts w:cstheme="minorHAnsi"/>
                <w:sz w:val="24"/>
                <w:szCs w:val="24"/>
              </w:rPr>
            </w:pPr>
            <w:r w:rsidRPr="003E29E0">
              <w:rPr>
                <w:rFonts w:cstheme="minorHAnsi"/>
                <w:sz w:val="24"/>
                <w:szCs w:val="24"/>
              </w:rPr>
              <w:t>Quantity: nursing hours per patient day</w:t>
            </w:r>
            <w:r w:rsidRPr="003E29E0">
              <w:rPr>
                <w:rFonts w:cstheme="minorHAnsi"/>
                <w:i/>
                <w:iCs/>
                <w:sz w:val="24"/>
                <w:szCs w:val="24"/>
                <w:vertAlign w:val="superscript"/>
              </w:rPr>
              <w:t>a</w:t>
            </w:r>
          </w:p>
        </w:tc>
        <w:tc>
          <w:tcPr>
            <w:tcW w:w="0" w:type="auto"/>
          </w:tcPr>
          <w:p w14:paraId="00EC8984" w14:textId="73271AE1" w:rsidR="00B86E37" w:rsidRPr="003E29E0" w:rsidRDefault="00B86E37" w:rsidP="00B86E37">
            <w:pPr>
              <w:spacing w:line="259" w:lineRule="auto"/>
              <w:rPr>
                <w:rFonts w:cstheme="minorHAnsi"/>
                <w:sz w:val="24"/>
                <w:szCs w:val="24"/>
              </w:rPr>
            </w:pPr>
          </w:p>
        </w:tc>
      </w:tr>
      <w:tr w:rsidR="003E29E0" w:rsidRPr="003E29E0" w14:paraId="7AA1A75E" w14:textId="77777777" w:rsidTr="00B86E37">
        <w:tc>
          <w:tcPr>
            <w:tcW w:w="0" w:type="auto"/>
            <w:hideMark/>
          </w:tcPr>
          <w:p w14:paraId="573CCDD6" w14:textId="77777777" w:rsidR="003E29E0" w:rsidRPr="003E29E0" w:rsidRDefault="003E29E0" w:rsidP="004B6541">
            <w:pPr>
              <w:spacing w:line="259" w:lineRule="auto"/>
              <w:ind w:left="786"/>
              <w:rPr>
                <w:rFonts w:cstheme="minorHAnsi"/>
                <w:sz w:val="24"/>
                <w:szCs w:val="24"/>
              </w:rPr>
            </w:pPr>
            <w:r w:rsidRPr="003E29E0">
              <w:rPr>
                <w:rFonts w:cstheme="minorHAnsi"/>
                <w:sz w:val="24"/>
                <w:szCs w:val="24"/>
              </w:rPr>
              <w:t>RN nonovertime</w:t>
            </w:r>
          </w:p>
        </w:tc>
        <w:tc>
          <w:tcPr>
            <w:tcW w:w="0" w:type="auto"/>
            <w:hideMark/>
          </w:tcPr>
          <w:p w14:paraId="52B165F7" w14:textId="77777777" w:rsidR="003E29E0" w:rsidRPr="003E29E0" w:rsidRDefault="003E29E0" w:rsidP="00B86E37">
            <w:pPr>
              <w:spacing w:line="259" w:lineRule="auto"/>
              <w:rPr>
                <w:rFonts w:cstheme="minorHAnsi"/>
                <w:sz w:val="24"/>
                <w:szCs w:val="24"/>
              </w:rPr>
            </w:pPr>
            <w:r w:rsidRPr="003E29E0">
              <w:rPr>
                <w:rFonts w:cstheme="minorHAnsi"/>
                <w:sz w:val="24"/>
                <w:szCs w:val="24"/>
              </w:rPr>
              <w:t>6.77 (5.98, 7.42)</w:t>
            </w:r>
          </w:p>
        </w:tc>
      </w:tr>
      <w:tr w:rsidR="003E29E0" w:rsidRPr="003E29E0" w14:paraId="10BBA771" w14:textId="77777777" w:rsidTr="00B86E37">
        <w:tc>
          <w:tcPr>
            <w:tcW w:w="0" w:type="auto"/>
            <w:hideMark/>
          </w:tcPr>
          <w:p w14:paraId="269EBDE8" w14:textId="77777777" w:rsidR="003E29E0" w:rsidRPr="003E29E0" w:rsidRDefault="003E29E0" w:rsidP="004B6541">
            <w:pPr>
              <w:spacing w:line="259" w:lineRule="auto"/>
              <w:ind w:left="786"/>
              <w:rPr>
                <w:rFonts w:cstheme="minorHAnsi"/>
                <w:sz w:val="24"/>
                <w:szCs w:val="24"/>
              </w:rPr>
            </w:pPr>
            <w:r w:rsidRPr="003E29E0">
              <w:rPr>
                <w:rFonts w:cstheme="minorHAnsi"/>
                <w:sz w:val="24"/>
                <w:szCs w:val="24"/>
              </w:rPr>
              <w:t>RN overtime</w:t>
            </w:r>
          </w:p>
        </w:tc>
        <w:tc>
          <w:tcPr>
            <w:tcW w:w="0" w:type="auto"/>
            <w:hideMark/>
          </w:tcPr>
          <w:p w14:paraId="32E83164" w14:textId="77777777" w:rsidR="003E29E0" w:rsidRPr="003E29E0" w:rsidRDefault="003E29E0" w:rsidP="00B86E37">
            <w:pPr>
              <w:spacing w:line="259" w:lineRule="auto"/>
              <w:rPr>
                <w:rFonts w:cstheme="minorHAnsi"/>
                <w:sz w:val="24"/>
                <w:szCs w:val="24"/>
              </w:rPr>
            </w:pPr>
            <w:r w:rsidRPr="003E29E0">
              <w:rPr>
                <w:rFonts w:cstheme="minorHAnsi"/>
                <w:sz w:val="24"/>
                <w:szCs w:val="24"/>
              </w:rPr>
              <w:t>0.20 (0.13, 0.25)</w:t>
            </w:r>
          </w:p>
        </w:tc>
      </w:tr>
      <w:tr w:rsidR="003E29E0" w:rsidRPr="003E29E0" w14:paraId="7DBFDEFF" w14:textId="77777777" w:rsidTr="00B86E37">
        <w:tc>
          <w:tcPr>
            <w:tcW w:w="0" w:type="auto"/>
            <w:hideMark/>
          </w:tcPr>
          <w:p w14:paraId="0A1352ED" w14:textId="77777777" w:rsidR="003E29E0" w:rsidRPr="003E29E0" w:rsidRDefault="003E29E0" w:rsidP="004B6541">
            <w:pPr>
              <w:spacing w:line="259" w:lineRule="auto"/>
              <w:ind w:left="786"/>
              <w:rPr>
                <w:rFonts w:cstheme="minorHAnsi"/>
                <w:sz w:val="24"/>
                <w:szCs w:val="24"/>
              </w:rPr>
            </w:pPr>
            <w:r w:rsidRPr="003E29E0">
              <w:rPr>
                <w:rFonts w:cstheme="minorHAnsi"/>
                <w:sz w:val="24"/>
                <w:szCs w:val="24"/>
              </w:rPr>
              <w:t>Non-RN total HPPD</w:t>
            </w:r>
          </w:p>
        </w:tc>
        <w:tc>
          <w:tcPr>
            <w:tcW w:w="0" w:type="auto"/>
            <w:hideMark/>
          </w:tcPr>
          <w:p w14:paraId="2260FC68" w14:textId="77777777" w:rsidR="003E29E0" w:rsidRPr="003E29E0" w:rsidRDefault="003E29E0" w:rsidP="00B86E37">
            <w:pPr>
              <w:spacing w:line="259" w:lineRule="auto"/>
              <w:rPr>
                <w:rFonts w:cstheme="minorHAnsi"/>
                <w:sz w:val="24"/>
                <w:szCs w:val="24"/>
              </w:rPr>
            </w:pPr>
            <w:r w:rsidRPr="003E29E0">
              <w:rPr>
                <w:rFonts w:cstheme="minorHAnsi"/>
                <w:sz w:val="24"/>
                <w:szCs w:val="24"/>
              </w:rPr>
              <w:t>3.35 (2.47, 3.68)</w:t>
            </w:r>
          </w:p>
        </w:tc>
      </w:tr>
      <w:tr w:rsidR="003E29E0" w:rsidRPr="003E29E0" w14:paraId="33AEB040" w14:textId="77777777" w:rsidTr="00B86E37">
        <w:tc>
          <w:tcPr>
            <w:tcW w:w="0" w:type="auto"/>
            <w:hideMark/>
          </w:tcPr>
          <w:p w14:paraId="44DAC5D6" w14:textId="77777777" w:rsidR="003E29E0" w:rsidRPr="003E29E0" w:rsidRDefault="003E29E0" w:rsidP="0024239F">
            <w:pPr>
              <w:spacing w:line="259" w:lineRule="auto"/>
              <w:ind w:left="336"/>
              <w:rPr>
                <w:rFonts w:cstheme="minorHAnsi"/>
                <w:sz w:val="24"/>
                <w:szCs w:val="24"/>
              </w:rPr>
            </w:pPr>
            <w:r w:rsidRPr="003E29E0">
              <w:rPr>
                <w:rFonts w:cstheme="minorHAnsi"/>
                <w:sz w:val="24"/>
                <w:szCs w:val="24"/>
              </w:rPr>
              <w:t>Quality: education, expertise, experience, flexibility:</w:t>
            </w:r>
          </w:p>
        </w:tc>
        <w:tc>
          <w:tcPr>
            <w:tcW w:w="0" w:type="auto"/>
            <w:hideMark/>
          </w:tcPr>
          <w:p w14:paraId="17E47D7C" w14:textId="77777777" w:rsidR="003E29E0" w:rsidRPr="003E29E0" w:rsidRDefault="003E29E0" w:rsidP="00B86E37">
            <w:pPr>
              <w:spacing w:line="259" w:lineRule="auto"/>
              <w:rPr>
                <w:rFonts w:cstheme="minorHAnsi"/>
                <w:sz w:val="24"/>
                <w:szCs w:val="24"/>
              </w:rPr>
            </w:pPr>
          </w:p>
        </w:tc>
      </w:tr>
      <w:tr w:rsidR="003E29E0" w:rsidRPr="003E29E0" w14:paraId="34A80FC5" w14:textId="77777777" w:rsidTr="00B86E37">
        <w:tc>
          <w:tcPr>
            <w:tcW w:w="0" w:type="auto"/>
            <w:hideMark/>
          </w:tcPr>
          <w:p w14:paraId="4FAC558D" w14:textId="77777777" w:rsidR="003E29E0" w:rsidRPr="003E29E0" w:rsidRDefault="003E29E0" w:rsidP="004B6541">
            <w:pPr>
              <w:spacing w:line="259" w:lineRule="auto"/>
              <w:ind w:left="786"/>
              <w:rPr>
                <w:rFonts w:cstheme="minorHAnsi"/>
                <w:sz w:val="24"/>
                <w:szCs w:val="24"/>
              </w:rPr>
            </w:pPr>
            <w:r w:rsidRPr="003E29E0">
              <w:rPr>
                <w:rFonts w:cstheme="minorHAnsi"/>
                <w:sz w:val="24"/>
                <w:szCs w:val="24"/>
              </w:rPr>
              <w:t>% BSN-prepared RNs</w:t>
            </w:r>
          </w:p>
        </w:tc>
        <w:tc>
          <w:tcPr>
            <w:tcW w:w="0" w:type="auto"/>
            <w:hideMark/>
          </w:tcPr>
          <w:p w14:paraId="215AD4F2" w14:textId="77777777" w:rsidR="003E29E0" w:rsidRPr="003E29E0" w:rsidRDefault="003E29E0" w:rsidP="00B86E37">
            <w:pPr>
              <w:spacing w:line="259" w:lineRule="auto"/>
              <w:rPr>
                <w:rFonts w:cstheme="minorHAnsi"/>
                <w:sz w:val="24"/>
                <w:szCs w:val="24"/>
              </w:rPr>
            </w:pPr>
            <w:r w:rsidRPr="003E29E0">
              <w:rPr>
                <w:rFonts w:cstheme="minorHAnsi"/>
                <w:sz w:val="24"/>
                <w:szCs w:val="24"/>
              </w:rPr>
              <w:t>67.65 (55.66, 80.78)</w:t>
            </w:r>
          </w:p>
        </w:tc>
      </w:tr>
      <w:tr w:rsidR="003E29E0" w:rsidRPr="003E29E0" w14:paraId="7E5C7BB4" w14:textId="77777777" w:rsidTr="00B86E37">
        <w:tc>
          <w:tcPr>
            <w:tcW w:w="0" w:type="auto"/>
            <w:hideMark/>
          </w:tcPr>
          <w:p w14:paraId="2E71D9D3" w14:textId="77777777" w:rsidR="003E29E0" w:rsidRPr="003E29E0" w:rsidRDefault="003E29E0" w:rsidP="004B6541">
            <w:pPr>
              <w:spacing w:line="259" w:lineRule="auto"/>
              <w:ind w:left="786"/>
              <w:rPr>
                <w:rFonts w:cstheme="minorHAnsi"/>
                <w:sz w:val="24"/>
                <w:szCs w:val="24"/>
              </w:rPr>
            </w:pPr>
            <w:r w:rsidRPr="003E29E0">
              <w:rPr>
                <w:rFonts w:cstheme="minorHAnsi"/>
                <w:sz w:val="24"/>
                <w:szCs w:val="24"/>
              </w:rPr>
              <w:t>% Certified RNs</w:t>
            </w:r>
          </w:p>
        </w:tc>
        <w:tc>
          <w:tcPr>
            <w:tcW w:w="0" w:type="auto"/>
            <w:hideMark/>
          </w:tcPr>
          <w:p w14:paraId="60BE44A6" w14:textId="77777777" w:rsidR="003E29E0" w:rsidRPr="003E29E0" w:rsidRDefault="003E29E0" w:rsidP="00B86E37">
            <w:pPr>
              <w:spacing w:line="259" w:lineRule="auto"/>
              <w:rPr>
                <w:rFonts w:cstheme="minorHAnsi"/>
                <w:sz w:val="24"/>
                <w:szCs w:val="24"/>
              </w:rPr>
            </w:pPr>
            <w:r w:rsidRPr="003E29E0">
              <w:rPr>
                <w:rFonts w:cstheme="minorHAnsi"/>
                <w:sz w:val="24"/>
                <w:szCs w:val="24"/>
              </w:rPr>
              <w:t>29.35 (10.98, 40.98)</w:t>
            </w:r>
          </w:p>
        </w:tc>
      </w:tr>
      <w:tr w:rsidR="003E29E0" w:rsidRPr="003E29E0" w14:paraId="5D7EDEE5" w14:textId="77777777" w:rsidTr="00B86E37">
        <w:tc>
          <w:tcPr>
            <w:tcW w:w="0" w:type="auto"/>
            <w:hideMark/>
          </w:tcPr>
          <w:p w14:paraId="3D029BB5" w14:textId="77777777" w:rsidR="003E29E0" w:rsidRPr="003E29E0" w:rsidRDefault="003E29E0" w:rsidP="004B6541">
            <w:pPr>
              <w:spacing w:line="259" w:lineRule="auto"/>
              <w:ind w:left="786"/>
              <w:rPr>
                <w:rFonts w:cstheme="minorHAnsi"/>
                <w:sz w:val="24"/>
                <w:szCs w:val="24"/>
              </w:rPr>
            </w:pPr>
            <w:r w:rsidRPr="003E29E0">
              <w:rPr>
                <w:rFonts w:cstheme="minorHAnsi"/>
                <w:sz w:val="24"/>
                <w:szCs w:val="24"/>
              </w:rPr>
              <w:t>Average RN experience (on the unit)</w:t>
            </w:r>
          </w:p>
        </w:tc>
        <w:tc>
          <w:tcPr>
            <w:tcW w:w="0" w:type="auto"/>
            <w:hideMark/>
          </w:tcPr>
          <w:p w14:paraId="281C3736" w14:textId="77777777" w:rsidR="003E29E0" w:rsidRPr="003E29E0" w:rsidRDefault="003E29E0" w:rsidP="00B86E37">
            <w:pPr>
              <w:spacing w:line="259" w:lineRule="auto"/>
              <w:rPr>
                <w:rFonts w:cstheme="minorHAnsi"/>
                <w:sz w:val="24"/>
                <w:szCs w:val="24"/>
              </w:rPr>
            </w:pPr>
            <w:r w:rsidRPr="003E29E0">
              <w:rPr>
                <w:rFonts w:cstheme="minorHAnsi"/>
                <w:sz w:val="24"/>
                <w:szCs w:val="24"/>
              </w:rPr>
              <w:t>6.18 (4.50, 8.00)</w:t>
            </w:r>
          </w:p>
        </w:tc>
      </w:tr>
      <w:tr w:rsidR="003E29E0" w:rsidRPr="003E29E0" w14:paraId="5DDD8D2F" w14:textId="77777777" w:rsidTr="00B86E37">
        <w:tc>
          <w:tcPr>
            <w:tcW w:w="0" w:type="auto"/>
            <w:hideMark/>
          </w:tcPr>
          <w:p w14:paraId="6739CD95" w14:textId="70F2C653" w:rsidR="003E29E0" w:rsidRPr="003E29E0" w:rsidRDefault="003E29E0" w:rsidP="004B6541">
            <w:pPr>
              <w:spacing w:line="259" w:lineRule="auto"/>
              <w:ind w:left="786"/>
              <w:rPr>
                <w:rFonts w:cstheme="minorHAnsi"/>
                <w:sz w:val="24"/>
                <w:szCs w:val="24"/>
              </w:rPr>
            </w:pPr>
            <w:r w:rsidRPr="003E29E0">
              <w:rPr>
                <w:rFonts w:cstheme="minorHAnsi"/>
                <w:sz w:val="24"/>
                <w:szCs w:val="24"/>
              </w:rPr>
              <w:t>% Full-time RNs</w:t>
            </w:r>
            <w:r w:rsidRPr="003E29E0">
              <w:rPr>
                <w:rFonts w:cstheme="minorHAnsi"/>
                <w:i/>
                <w:iCs/>
                <w:sz w:val="24"/>
                <w:szCs w:val="24"/>
                <w:vertAlign w:val="superscript"/>
              </w:rPr>
              <w:t>b</w:t>
            </w:r>
          </w:p>
        </w:tc>
        <w:tc>
          <w:tcPr>
            <w:tcW w:w="0" w:type="auto"/>
            <w:hideMark/>
          </w:tcPr>
          <w:p w14:paraId="2F90B787" w14:textId="77777777" w:rsidR="003E29E0" w:rsidRPr="003E29E0" w:rsidRDefault="003E29E0" w:rsidP="00B86E37">
            <w:pPr>
              <w:spacing w:line="259" w:lineRule="auto"/>
              <w:rPr>
                <w:rFonts w:cstheme="minorHAnsi"/>
                <w:sz w:val="24"/>
                <w:szCs w:val="24"/>
              </w:rPr>
            </w:pPr>
            <w:r w:rsidRPr="003E29E0">
              <w:rPr>
                <w:rFonts w:cstheme="minorHAnsi"/>
                <w:sz w:val="24"/>
                <w:szCs w:val="24"/>
              </w:rPr>
              <w:t>78.28 (71.25, 93.18)</w:t>
            </w:r>
          </w:p>
        </w:tc>
      </w:tr>
      <w:tr w:rsidR="003E29E0" w:rsidRPr="003E29E0" w14:paraId="7C7453B6" w14:textId="77777777" w:rsidTr="00B86E37">
        <w:tc>
          <w:tcPr>
            <w:tcW w:w="0" w:type="auto"/>
            <w:hideMark/>
          </w:tcPr>
          <w:p w14:paraId="177E276F" w14:textId="77777777" w:rsidR="003E29E0" w:rsidRPr="003E29E0" w:rsidRDefault="003E29E0" w:rsidP="00B86E37">
            <w:pPr>
              <w:spacing w:line="259" w:lineRule="auto"/>
              <w:rPr>
                <w:rFonts w:cstheme="minorHAnsi"/>
                <w:sz w:val="24"/>
                <w:szCs w:val="24"/>
              </w:rPr>
            </w:pPr>
            <w:r w:rsidRPr="003E29E0">
              <w:rPr>
                <w:rFonts w:cstheme="minorHAnsi"/>
                <w:i/>
                <w:iCs/>
                <w:sz w:val="24"/>
                <w:szCs w:val="24"/>
              </w:rPr>
              <w:t>Hospital-wide labor inputs</w:t>
            </w:r>
            <w:r w:rsidRPr="003E29E0">
              <w:rPr>
                <w:rFonts w:cstheme="minorHAnsi"/>
                <w:sz w:val="24"/>
                <w:szCs w:val="24"/>
              </w:rPr>
              <w:t>:</w:t>
            </w:r>
          </w:p>
        </w:tc>
        <w:tc>
          <w:tcPr>
            <w:tcW w:w="0" w:type="auto"/>
            <w:hideMark/>
          </w:tcPr>
          <w:p w14:paraId="5DBB7B41" w14:textId="77777777" w:rsidR="003E29E0" w:rsidRPr="003E29E0" w:rsidRDefault="003E29E0" w:rsidP="00B86E37">
            <w:pPr>
              <w:spacing w:line="259" w:lineRule="auto"/>
              <w:rPr>
                <w:rFonts w:cstheme="minorHAnsi"/>
                <w:sz w:val="24"/>
                <w:szCs w:val="24"/>
              </w:rPr>
            </w:pPr>
          </w:p>
        </w:tc>
      </w:tr>
      <w:tr w:rsidR="003E29E0" w:rsidRPr="003E29E0" w14:paraId="64DF8FA0" w14:textId="77777777" w:rsidTr="00B86E37">
        <w:tc>
          <w:tcPr>
            <w:tcW w:w="0" w:type="auto"/>
            <w:hideMark/>
          </w:tcPr>
          <w:p w14:paraId="15BC6AED" w14:textId="77777777" w:rsidR="003E29E0" w:rsidRPr="003E29E0" w:rsidRDefault="003E29E0" w:rsidP="0024239F">
            <w:pPr>
              <w:spacing w:line="259" w:lineRule="auto"/>
              <w:ind w:left="336"/>
              <w:rPr>
                <w:rFonts w:cstheme="minorHAnsi"/>
                <w:sz w:val="24"/>
                <w:szCs w:val="24"/>
              </w:rPr>
            </w:pPr>
            <w:r w:rsidRPr="003E29E0">
              <w:rPr>
                <w:rFonts w:cstheme="minorHAnsi"/>
                <w:sz w:val="24"/>
                <w:szCs w:val="24"/>
              </w:rPr>
              <w:t>RN full-time equivalents</w:t>
            </w:r>
          </w:p>
        </w:tc>
        <w:tc>
          <w:tcPr>
            <w:tcW w:w="0" w:type="auto"/>
            <w:hideMark/>
          </w:tcPr>
          <w:p w14:paraId="785EB8AC" w14:textId="77777777" w:rsidR="003E29E0" w:rsidRPr="003E29E0" w:rsidRDefault="003E29E0" w:rsidP="00B86E37">
            <w:pPr>
              <w:spacing w:line="259" w:lineRule="auto"/>
              <w:rPr>
                <w:rFonts w:cstheme="minorHAnsi"/>
                <w:sz w:val="24"/>
                <w:szCs w:val="24"/>
              </w:rPr>
            </w:pPr>
            <w:r w:rsidRPr="003E29E0">
              <w:rPr>
                <w:rFonts w:cstheme="minorHAnsi"/>
                <w:sz w:val="24"/>
                <w:szCs w:val="24"/>
              </w:rPr>
              <w:t>1101.84 (486.91, 1271.35)</w:t>
            </w:r>
          </w:p>
        </w:tc>
      </w:tr>
      <w:tr w:rsidR="003E29E0" w:rsidRPr="003E29E0" w14:paraId="5336B036" w14:textId="77777777" w:rsidTr="00B86E37">
        <w:tc>
          <w:tcPr>
            <w:tcW w:w="0" w:type="auto"/>
            <w:hideMark/>
          </w:tcPr>
          <w:p w14:paraId="6F95D1C0" w14:textId="0B32DB97" w:rsidR="003E29E0" w:rsidRPr="003E29E0" w:rsidRDefault="003E29E0" w:rsidP="0024239F">
            <w:pPr>
              <w:spacing w:line="259" w:lineRule="auto"/>
              <w:ind w:left="336"/>
              <w:rPr>
                <w:rFonts w:cstheme="minorHAnsi"/>
                <w:sz w:val="24"/>
                <w:szCs w:val="24"/>
              </w:rPr>
            </w:pPr>
            <w:r w:rsidRPr="003E29E0">
              <w:rPr>
                <w:rFonts w:cstheme="minorHAnsi"/>
                <w:sz w:val="24"/>
                <w:szCs w:val="24"/>
              </w:rPr>
              <w:t>Non-RN full-time equivalents (all combined)</w:t>
            </w:r>
            <w:r w:rsidRPr="003E29E0">
              <w:rPr>
                <w:rFonts w:cstheme="minorHAnsi"/>
                <w:i/>
                <w:iCs/>
                <w:sz w:val="24"/>
                <w:szCs w:val="24"/>
                <w:vertAlign w:val="superscript"/>
              </w:rPr>
              <w:t>c</w:t>
            </w:r>
          </w:p>
        </w:tc>
        <w:tc>
          <w:tcPr>
            <w:tcW w:w="0" w:type="auto"/>
            <w:hideMark/>
          </w:tcPr>
          <w:p w14:paraId="619CB0C7" w14:textId="77777777" w:rsidR="003E29E0" w:rsidRPr="003E29E0" w:rsidRDefault="003E29E0" w:rsidP="00B86E37">
            <w:pPr>
              <w:spacing w:line="259" w:lineRule="auto"/>
              <w:rPr>
                <w:rFonts w:cstheme="minorHAnsi"/>
                <w:sz w:val="24"/>
                <w:szCs w:val="24"/>
              </w:rPr>
            </w:pPr>
            <w:r w:rsidRPr="003E29E0">
              <w:rPr>
                <w:rFonts w:cstheme="minorHAnsi"/>
                <w:sz w:val="24"/>
                <w:szCs w:val="24"/>
              </w:rPr>
              <w:t>2774.88 (570.91, 3259.22)</w:t>
            </w:r>
          </w:p>
        </w:tc>
      </w:tr>
      <w:tr w:rsidR="00B86E37" w:rsidRPr="003E29E0" w14:paraId="160F1845" w14:textId="77777777" w:rsidTr="00056BCB">
        <w:tc>
          <w:tcPr>
            <w:tcW w:w="0" w:type="auto"/>
            <w:hideMark/>
          </w:tcPr>
          <w:p w14:paraId="5FEC2F9A" w14:textId="77777777" w:rsidR="00B86E37" w:rsidRPr="003E29E0" w:rsidRDefault="00B86E37" w:rsidP="00B86E37">
            <w:pPr>
              <w:rPr>
                <w:rFonts w:cstheme="minorHAnsi"/>
                <w:sz w:val="24"/>
                <w:szCs w:val="24"/>
              </w:rPr>
            </w:pPr>
            <w:r w:rsidRPr="003E29E0">
              <w:rPr>
                <w:rFonts w:cstheme="minorHAnsi"/>
                <w:b/>
                <w:bCs/>
                <w:sz w:val="24"/>
                <w:szCs w:val="24"/>
              </w:rPr>
              <w:t>Capital inputs</w:t>
            </w:r>
          </w:p>
        </w:tc>
        <w:tc>
          <w:tcPr>
            <w:tcW w:w="0" w:type="auto"/>
          </w:tcPr>
          <w:p w14:paraId="7412F35C" w14:textId="1ECE003F" w:rsidR="00B86E37" w:rsidRPr="003E29E0" w:rsidRDefault="00B86E37" w:rsidP="00B86E37">
            <w:pPr>
              <w:spacing w:line="259" w:lineRule="auto"/>
              <w:rPr>
                <w:rFonts w:cstheme="minorHAnsi"/>
                <w:sz w:val="24"/>
                <w:szCs w:val="24"/>
              </w:rPr>
            </w:pPr>
          </w:p>
        </w:tc>
      </w:tr>
      <w:tr w:rsidR="00B86E37" w:rsidRPr="003E29E0" w14:paraId="3E5FCB38" w14:textId="77777777" w:rsidTr="00403694">
        <w:tc>
          <w:tcPr>
            <w:tcW w:w="0" w:type="auto"/>
            <w:hideMark/>
          </w:tcPr>
          <w:p w14:paraId="5569EE47" w14:textId="77777777" w:rsidR="00B86E37" w:rsidRPr="003E29E0" w:rsidRDefault="00B86E37" w:rsidP="00B86E37">
            <w:pPr>
              <w:rPr>
                <w:rFonts w:cstheme="minorHAnsi"/>
                <w:sz w:val="24"/>
                <w:szCs w:val="24"/>
              </w:rPr>
            </w:pPr>
            <w:r w:rsidRPr="003E29E0">
              <w:rPr>
                <w:rFonts w:cstheme="minorHAnsi"/>
                <w:i/>
                <w:iCs/>
                <w:sz w:val="24"/>
                <w:szCs w:val="24"/>
              </w:rPr>
              <w:t>Hospital facility and resources</w:t>
            </w:r>
          </w:p>
        </w:tc>
        <w:tc>
          <w:tcPr>
            <w:tcW w:w="0" w:type="auto"/>
          </w:tcPr>
          <w:p w14:paraId="5C22CEAE" w14:textId="7D843ECB" w:rsidR="00B86E37" w:rsidRPr="003E29E0" w:rsidRDefault="00B86E37" w:rsidP="00B86E37">
            <w:pPr>
              <w:spacing w:line="259" w:lineRule="auto"/>
              <w:rPr>
                <w:rFonts w:cstheme="minorHAnsi"/>
                <w:sz w:val="24"/>
                <w:szCs w:val="24"/>
              </w:rPr>
            </w:pPr>
          </w:p>
        </w:tc>
      </w:tr>
      <w:tr w:rsidR="003E29E0" w:rsidRPr="003E29E0" w14:paraId="25A3591B" w14:textId="77777777" w:rsidTr="00B86E37">
        <w:tc>
          <w:tcPr>
            <w:tcW w:w="0" w:type="auto"/>
            <w:hideMark/>
          </w:tcPr>
          <w:p w14:paraId="7C03ED4B" w14:textId="77777777" w:rsidR="003E29E0" w:rsidRPr="003E29E0" w:rsidRDefault="003E29E0" w:rsidP="0024239F">
            <w:pPr>
              <w:spacing w:line="259" w:lineRule="auto"/>
              <w:ind w:left="336"/>
              <w:rPr>
                <w:rFonts w:cstheme="minorHAnsi"/>
                <w:sz w:val="24"/>
                <w:szCs w:val="24"/>
              </w:rPr>
            </w:pPr>
            <w:r w:rsidRPr="003E29E0">
              <w:rPr>
                <w:rFonts w:cstheme="minorHAnsi"/>
                <w:sz w:val="24"/>
                <w:szCs w:val="24"/>
              </w:rPr>
              <w:t>Hospital bed size</w:t>
            </w:r>
          </w:p>
        </w:tc>
        <w:tc>
          <w:tcPr>
            <w:tcW w:w="0" w:type="auto"/>
            <w:hideMark/>
          </w:tcPr>
          <w:p w14:paraId="3DB3612A" w14:textId="77777777" w:rsidR="003E29E0" w:rsidRPr="003E29E0" w:rsidRDefault="003E29E0" w:rsidP="00B86E37">
            <w:pPr>
              <w:spacing w:line="259" w:lineRule="auto"/>
              <w:rPr>
                <w:rFonts w:cstheme="minorHAnsi"/>
                <w:sz w:val="24"/>
                <w:szCs w:val="24"/>
              </w:rPr>
            </w:pPr>
            <w:r w:rsidRPr="003E29E0">
              <w:rPr>
                <w:rFonts w:cstheme="minorHAnsi"/>
                <w:sz w:val="24"/>
                <w:szCs w:val="24"/>
              </w:rPr>
              <w:t>540.87 (315.00, 607.50)</w:t>
            </w:r>
          </w:p>
        </w:tc>
      </w:tr>
      <w:tr w:rsidR="003E29E0" w:rsidRPr="003E29E0" w14:paraId="31D715C2" w14:textId="77777777" w:rsidTr="00B86E37">
        <w:tc>
          <w:tcPr>
            <w:tcW w:w="0" w:type="auto"/>
            <w:hideMark/>
          </w:tcPr>
          <w:p w14:paraId="069E3A47" w14:textId="77777777" w:rsidR="003E29E0" w:rsidRPr="003E29E0" w:rsidRDefault="003E29E0" w:rsidP="0024239F">
            <w:pPr>
              <w:spacing w:line="259" w:lineRule="auto"/>
              <w:ind w:left="336"/>
              <w:rPr>
                <w:rFonts w:cstheme="minorHAnsi"/>
                <w:sz w:val="24"/>
                <w:szCs w:val="24"/>
              </w:rPr>
            </w:pPr>
            <w:r w:rsidRPr="003E29E0">
              <w:rPr>
                <w:rFonts w:cstheme="minorHAnsi"/>
                <w:sz w:val="24"/>
                <w:szCs w:val="24"/>
              </w:rPr>
              <w:t>Hospital type:</w:t>
            </w:r>
          </w:p>
        </w:tc>
        <w:tc>
          <w:tcPr>
            <w:tcW w:w="0" w:type="auto"/>
            <w:hideMark/>
          </w:tcPr>
          <w:p w14:paraId="7F2E649F" w14:textId="77777777" w:rsidR="003E29E0" w:rsidRPr="003E29E0" w:rsidRDefault="003E29E0" w:rsidP="00B86E37">
            <w:pPr>
              <w:spacing w:line="259" w:lineRule="auto"/>
              <w:rPr>
                <w:rFonts w:cstheme="minorHAnsi"/>
                <w:sz w:val="24"/>
                <w:szCs w:val="24"/>
              </w:rPr>
            </w:pPr>
          </w:p>
        </w:tc>
      </w:tr>
      <w:tr w:rsidR="003E29E0" w:rsidRPr="003E29E0" w14:paraId="49BEDA27" w14:textId="77777777" w:rsidTr="00B86E37">
        <w:tc>
          <w:tcPr>
            <w:tcW w:w="0" w:type="auto"/>
            <w:hideMark/>
          </w:tcPr>
          <w:p w14:paraId="236A7FD5" w14:textId="77777777" w:rsidR="003E29E0" w:rsidRPr="003E29E0" w:rsidRDefault="003E29E0" w:rsidP="004B6541">
            <w:pPr>
              <w:spacing w:line="259" w:lineRule="auto"/>
              <w:ind w:left="786"/>
              <w:rPr>
                <w:rFonts w:cstheme="minorHAnsi"/>
                <w:sz w:val="24"/>
                <w:szCs w:val="24"/>
              </w:rPr>
            </w:pPr>
            <w:r w:rsidRPr="003E29E0">
              <w:rPr>
                <w:rFonts w:cstheme="minorHAnsi"/>
                <w:sz w:val="24"/>
                <w:szCs w:val="24"/>
              </w:rPr>
              <w:t>Rural, nonteaching</w:t>
            </w:r>
          </w:p>
        </w:tc>
        <w:tc>
          <w:tcPr>
            <w:tcW w:w="0" w:type="auto"/>
            <w:hideMark/>
          </w:tcPr>
          <w:p w14:paraId="47B6C560" w14:textId="77777777" w:rsidR="003E29E0" w:rsidRPr="003E29E0" w:rsidRDefault="003E29E0" w:rsidP="00B86E37">
            <w:pPr>
              <w:spacing w:line="259" w:lineRule="auto"/>
              <w:rPr>
                <w:rFonts w:cstheme="minorHAnsi"/>
                <w:sz w:val="24"/>
                <w:szCs w:val="24"/>
              </w:rPr>
            </w:pPr>
            <w:r w:rsidRPr="003E29E0">
              <w:rPr>
                <w:rFonts w:cstheme="minorHAnsi"/>
                <w:sz w:val="24"/>
                <w:szCs w:val="24"/>
              </w:rPr>
              <w:t>1 (3.23%)</w:t>
            </w:r>
          </w:p>
        </w:tc>
      </w:tr>
      <w:tr w:rsidR="003E29E0" w:rsidRPr="003E29E0" w14:paraId="1CEF39D6" w14:textId="77777777" w:rsidTr="00B86E37">
        <w:tc>
          <w:tcPr>
            <w:tcW w:w="0" w:type="auto"/>
            <w:hideMark/>
          </w:tcPr>
          <w:p w14:paraId="39C3E1AF" w14:textId="77777777" w:rsidR="003E29E0" w:rsidRPr="003E29E0" w:rsidRDefault="003E29E0" w:rsidP="004B6541">
            <w:pPr>
              <w:spacing w:line="259" w:lineRule="auto"/>
              <w:ind w:left="786"/>
              <w:rPr>
                <w:rFonts w:cstheme="minorHAnsi"/>
                <w:sz w:val="24"/>
                <w:szCs w:val="24"/>
              </w:rPr>
            </w:pPr>
            <w:r w:rsidRPr="003E29E0">
              <w:rPr>
                <w:rFonts w:cstheme="minorHAnsi"/>
                <w:sz w:val="24"/>
                <w:szCs w:val="24"/>
              </w:rPr>
              <w:t>Community, nonteaching</w:t>
            </w:r>
          </w:p>
        </w:tc>
        <w:tc>
          <w:tcPr>
            <w:tcW w:w="0" w:type="auto"/>
            <w:hideMark/>
          </w:tcPr>
          <w:p w14:paraId="2AB5D669" w14:textId="77777777" w:rsidR="003E29E0" w:rsidRPr="003E29E0" w:rsidRDefault="003E29E0" w:rsidP="00B86E37">
            <w:pPr>
              <w:spacing w:line="259" w:lineRule="auto"/>
              <w:rPr>
                <w:rFonts w:cstheme="minorHAnsi"/>
                <w:sz w:val="24"/>
                <w:szCs w:val="24"/>
              </w:rPr>
            </w:pPr>
            <w:r w:rsidRPr="003E29E0">
              <w:rPr>
                <w:rFonts w:cstheme="minorHAnsi"/>
                <w:sz w:val="24"/>
                <w:szCs w:val="24"/>
              </w:rPr>
              <w:t>11 (35.48%)</w:t>
            </w:r>
          </w:p>
        </w:tc>
      </w:tr>
      <w:tr w:rsidR="003E29E0" w:rsidRPr="003E29E0" w14:paraId="6A2168C1" w14:textId="77777777" w:rsidTr="00B86E37">
        <w:tc>
          <w:tcPr>
            <w:tcW w:w="0" w:type="auto"/>
            <w:hideMark/>
          </w:tcPr>
          <w:p w14:paraId="208A895B" w14:textId="77777777" w:rsidR="003E29E0" w:rsidRPr="003E29E0" w:rsidRDefault="003E29E0" w:rsidP="004B6541">
            <w:pPr>
              <w:spacing w:line="259" w:lineRule="auto"/>
              <w:ind w:left="786"/>
              <w:rPr>
                <w:rFonts w:cstheme="minorHAnsi"/>
                <w:sz w:val="24"/>
                <w:szCs w:val="24"/>
              </w:rPr>
            </w:pPr>
            <w:r w:rsidRPr="003E29E0">
              <w:rPr>
                <w:rFonts w:cstheme="minorHAnsi"/>
                <w:sz w:val="24"/>
                <w:szCs w:val="24"/>
              </w:rPr>
              <w:t>Community, teaching</w:t>
            </w:r>
          </w:p>
        </w:tc>
        <w:tc>
          <w:tcPr>
            <w:tcW w:w="0" w:type="auto"/>
            <w:hideMark/>
          </w:tcPr>
          <w:p w14:paraId="7DC42DE3" w14:textId="77777777" w:rsidR="003E29E0" w:rsidRPr="003E29E0" w:rsidRDefault="003E29E0" w:rsidP="00B86E37">
            <w:pPr>
              <w:spacing w:line="259" w:lineRule="auto"/>
              <w:rPr>
                <w:rFonts w:cstheme="minorHAnsi"/>
                <w:sz w:val="24"/>
                <w:szCs w:val="24"/>
              </w:rPr>
            </w:pPr>
            <w:r w:rsidRPr="003E29E0">
              <w:rPr>
                <w:rFonts w:cstheme="minorHAnsi"/>
                <w:sz w:val="24"/>
                <w:szCs w:val="24"/>
              </w:rPr>
              <w:t>7 (22.58%)</w:t>
            </w:r>
          </w:p>
        </w:tc>
      </w:tr>
      <w:tr w:rsidR="003E29E0" w:rsidRPr="003E29E0" w14:paraId="08576FD8" w14:textId="77777777" w:rsidTr="00B86E37">
        <w:tc>
          <w:tcPr>
            <w:tcW w:w="0" w:type="auto"/>
            <w:hideMark/>
          </w:tcPr>
          <w:p w14:paraId="1EBCA7BB" w14:textId="77777777" w:rsidR="003E29E0" w:rsidRPr="003E29E0" w:rsidRDefault="003E29E0" w:rsidP="004B6541">
            <w:pPr>
              <w:spacing w:line="259" w:lineRule="auto"/>
              <w:ind w:left="786"/>
              <w:rPr>
                <w:rFonts w:cstheme="minorHAnsi"/>
                <w:sz w:val="24"/>
                <w:szCs w:val="24"/>
              </w:rPr>
            </w:pPr>
            <w:r w:rsidRPr="003E29E0">
              <w:rPr>
                <w:rFonts w:cstheme="minorHAnsi"/>
                <w:sz w:val="24"/>
                <w:szCs w:val="24"/>
              </w:rPr>
              <w:t>Urban, nonteaching</w:t>
            </w:r>
          </w:p>
        </w:tc>
        <w:tc>
          <w:tcPr>
            <w:tcW w:w="0" w:type="auto"/>
            <w:hideMark/>
          </w:tcPr>
          <w:p w14:paraId="467B6ED3" w14:textId="77777777" w:rsidR="003E29E0" w:rsidRPr="003E29E0" w:rsidRDefault="003E29E0" w:rsidP="00B86E37">
            <w:pPr>
              <w:spacing w:line="259" w:lineRule="auto"/>
              <w:rPr>
                <w:rFonts w:cstheme="minorHAnsi"/>
                <w:sz w:val="24"/>
                <w:szCs w:val="24"/>
              </w:rPr>
            </w:pPr>
            <w:r w:rsidRPr="003E29E0">
              <w:rPr>
                <w:rFonts w:cstheme="minorHAnsi"/>
                <w:sz w:val="24"/>
                <w:szCs w:val="24"/>
              </w:rPr>
              <w:t>4 (12.90%)</w:t>
            </w:r>
          </w:p>
        </w:tc>
      </w:tr>
      <w:tr w:rsidR="003E29E0" w:rsidRPr="003E29E0" w14:paraId="036C77B7" w14:textId="77777777" w:rsidTr="00B86E37">
        <w:tc>
          <w:tcPr>
            <w:tcW w:w="0" w:type="auto"/>
            <w:hideMark/>
          </w:tcPr>
          <w:p w14:paraId="1D6A671F" w14:textId="77777777" w:rsidR="003E29E0" w:rsidRPr="003E29E0" w:rsidRDefault="003E29E0" w:rsidP="004B6541">
            <w:pPr>
              <w:spacing w:line="259" w:lineRule="auto"/>
              <w:ind w:left="786"/>
              <w:rPr>
                <w:rFonts w:cstheme="minorHAnsi"/>
                <w:sz w:val="24"/>
                <w:szCs w:val="24"/>
              </w:rPr>
            </w:pPr>
            <w:r w:rsidRPr="003E29E0">
              <w:rPr>
                <w:rFonts w:cstheme="minorHAnsi"/>
                <w:sz w:val="24"/>
                <w:szCs w:val="24"/>
              </w:rPr>
              <w:t>Urban, teaching</w:t>
            </w:r>
          </w:p>
        </w:tc>
        <w:tc>
          <w:tcPr>
            <w:tcW w:w="0" w:type="auto"/>
            <w:hideMark/>
          </w:tcPr>
          <w:p w14:paraId="1602C5D7" w14:textId="77777777" w:rsidR="003E29E0" w:rsidRPr="003E29E0" w:rsidRDefault="003E29E0" w:rsidP="00B86E37">
            <w:pPr>
              <w:spacing w:line="259" w:lineRule="auto"/>
              <w:rPr>
                <w:rFonts w:cstheme="minorHAnsi"/>
                <w:sz w:val="24"/>
                <w:szCs w:val="24"/>
              </w:rPr>
            </w:pPr>
            <w:r w:rsidRPr="003E29E0">
              <w:rPr>
                <w:rFonts w:cstheme="minorHAnsi"/>
                <w:sz w:val="24"/>
                <w:szCs w:val="24"/>
              </w:rPr>
              <w:t>3 (9.68%)</w:t>
            </w:r>
          </w:p>
        </w:tc>
      </w:tr>
      <w:tr w:rsidR="003E29E0" w:rsidRPr="003E29E0" w14:paraId="7D0EB554" w14:textId="77777777" w:rsidTr="00B86E37">
        <w:tc>
          <w:tcPr>
            <w:tcW w:w="0" w:type="auto"/>
            <w:hideMark/>
          </w:tcPr>
          <w:p w14:paraId="73395A34" w14:textId="77777777" w:rsidR="003E29E0" w:rsidRPr="003E29E0" w:rsidRDefault="003E29E0" w:rsidP="004B6541">
            <w:pPr>
              <w:spacing w:line="259" w:lineRule="auto"/>
              <w:ind w:left="786"/>
              <w:rPr>
                <w:rFonts w:cstheme="minorHAnsi"/>
                <w:sz w:val="24"/>
                <w:szCs w:val="24"/>
              </w:rPr>
            </w:pPr>
            <w:r w:rsidRPr="003E29E0">
              <w:rPr>
                <w:rFonts w:cstheme="minorHAnsi"/>
                <w:sz w:val="24"/>
                <w:szCs w:val="24"/>
              </w:rPr>
              <w:t>Academic medical center</w:t>
            </w:r>
          </w:p>
        </w:tc>
        <w:tc>
          <w:tcPr>
            <w:tcW w:w="0" w:type="auto"/>
            <w:hideMark/>
          </w:tcPr>
          <w:p w14:paraId="7A467BF7" w14:textId="77777777" w:rsidR="003E29E0" w:rsidRPr="003E29E0" w:rsidRDefault="003E29E0" w:rsidP="00B86E37">
            <w:pPr>
              <w:spacing w:line="259" w:lineRule="auto"/>
              <w:rPr>
                <w:rFonts w:cstheme="minorHAnsi"/>
                <w:sz w:val="24"/>
                <w:szCs w:val="24"/>
              </w:rPr>
            </w:pPr>
            <w:r w:rsidRPr="003E29E0">
              <w:rPr>
                <w:rFonts w:cstheme="minorHAnsi"/>
                <w:sz w:val="24"/>
                <w:szCs w:val="24"/>
              </w:rPr>
              <w:t>5 (16.13%)</w:t>
            </w:r>
          </w:p>
        </w:tc>
      </w:tr>
      <w:tr w:rsidR="00B86E37" w:rsidRPr="003E29E0" w14:paraId="549A99F9" w14:textId="77777777" w:rsidTr="00F870D2">
        <w:tc>
          <w:tcPr>
            <w:tcW w:w="0" w:type="auto"/>
            <w:hideMark/>
          </w:tcPr>
          <w:p w14:paraId="00A35415" w14:textId="77777777" w:rsidR="00B86E37" w:rsidRPr="003E29E0" w:rsidRDefault="00B86E37" w:rsidP="00B86E37">
            <w:pPr>
              <w:rPr>
                <w:rFonts w:cstheme="minorHAnsi"/>
                <w:sz w:val="24"/>
                <w:szCs w:val="24"/>
              </w:rPr>
            </w:pPr>
            <w:r w:rsidRPr="003E29E0">
              <w:rPr>
                <w:rFonts w:cstheme="minorHAnsi"/>
                <w:i/>
                <w:iCs/>
                <w:sz w:val="24"/>
                <w:szCs w:val="24"/>
              </w:rPr>
              <w:t>Unit-specific facility and resources</w:t>
            </w:r>
          </w:p>
        </w:tc>
        <w:tc>
          <w:tcPr>
            <w:tcW w:w="0" w:type="auto"/>
          </w:tcPr>
          <w:p w14:paraId="384F486F" w14:textId="09F46A6B" w:rsidR="00B86E37" w:rsidRPr="003E29E0" w:rsidRDefault="00B86E37" w:rsidP="00B86E37">
            <w:pPr>
              <w:spacing w:line="259" w:lineRule="auto"/>
              <w:rPr>
                <w:rFonts w:cstheme="minorHAnsi"/>
                <w:sz w:val="24"/>
                <w:szCs w:val="24"/>
              </w:rPr>
            </w:pPr>
          </w:p>
        </w:tc>
      </w:tr>
      <w:tr w:rsidR="00B86E37" w:rsidRPr="003E29E0" w14:paraId="266032B9" w14:textId="77777777" w:rsidTr="00D3566C">
        <w:tc>
          <w:tcPr>
            <w:tcW w:w="0" w:type="auto"/>
            <w:hideMark/>
          </w:tcPr>
          <w:p w14:paraId="07D2D1B7" w14:textId="77777777" w:rsidR="00B86E37" w:rsidRPr="003E29E0" w:rsidRDefault="00B86E37" w:rsidP="0024239F">
            <w:pPr>
              <w:ind w:left="336"/>
              <w:rPr>
                <w:rFonts w:cstheme="minorHAnsi"/>
                <w:sz w:val="24"/>
                <w:szCs w:val="24"/>
              </w:rPr>
            </w:pPr>
            <w:r w:rsidRPr="003E29E0">
              <w:rPr>
                <w:rFonts w:cstheme="minorHAnsi"/>
                <w:sz w:val="24"/>
                <w:szCs w:val="24"/>
              </w:rPr>
              <w:t>Unit type:</w:t>
            </w:r>
          </w:p>
        </w:tc>
        <w:tc>
          <w:tcPr>
            <w:tcW w:w="0" w:type="auto"/>
          </w:tcPr>
          <w:p w14:paraId="4A11C285" w14:textId="3644C8A9" w:rsidR="00B86E37" w:rsidRPr="003E29E0" w:rsidRDefault="00B86E37" w:rsidP="00B86E37">
            <w:pPr>
              <w:spacing w:line="259" w:lineRule="auto"/>
              <w:rPr>
                <w:rFonts w:cstheme="minorHAnsi"/>
                <w:sz w:val="24"/>
                <w:szCs w:val="24"/>
              </w:rPr>
            </w:pPr>
          </w:p>
        </w:tc>
      </w:tr>
      <w:tr w:rsidR="003E29E0" w:rsidRPr="003E29E0" w14:paraId="094D3C9D" w14:textId="77777777" w:rsidTr="00B86E37">
        <w:tc>
          <w:tcPr>
            <w:tcW w:w="0" w:type="auto"/>
            <w:hideMark/>
          </w:tcPr>
          <w:p w14:paraId="5386A4D8" w14:textId="77777777" w:rsidR="003E29E0" w:rsidRPr="003E29E0" w:rsidRDefault="003E29E0" w:rsidP="004B6541">
            <w:pPr>
              <w:spacing w:line="259" w:lineRule="auto"/>
              <w:ind w:left="786"/>
              <w:rPr>
                <w:rFonts w:cstheme="minorHAnsi"/>
                <w:sz w:val="24"/>
                <w:szCs w:val="24"/>
              </w:rPr>
            </w:pPr>
            <w:r w:rsidRPr="003E29E0">
              <w:rPr>
                <w:rFonts w:cstheme="minorHAnsi"/>
                <w:sz w:val="24"/>
                <w:szCs w:val="24"/>
              </w:rPr>
              <w:t>Cardiac care</w:t>
            </w:r>
          </w:p>
        </w:tc>
        <w:tc>
          <w:tcPr>
            <w:tcW w:w="0" w:type="auto"/>
            <w:hideMark/>
          </w:tcPr>
          <w:p w14:paraId="6F6ED0CD" w14:textId="77777777" w:rsidR="003E29E0" w:rsidRPr="003E29E0" w:rsidRDefault="003E29E0" w:rsidP="00B86E37">
            <w:pPr>
              <w:spacing w:line="259" w:lineRule="auto"/>
              <w:rPr>
                <w:rFonts w:cstheme="minorHAnsi"/>
                <w:sz w:val="24"/>
                <w:szCs w:val="24"/>
              </w:rPr>
            </w:pPr>
            <w:r w:rsidRPr="003E29E0">
              <w:rPr>
                <w:rFonts w:cstheme="minorHAnsi"/>
                <w:sz w:val="24"/>
                <w:szCs w:val="24"/>
              </w:rPr>
              <w:t>11 (17.74%)</w:t>
            </w:r>
          </w:p>
        </w:tc>
      </w:tr>
      <w:tr w:rsidR="003E29E0" w:rsidRPr="003E29E0" w14:paraId="319C3244" w14:textId="77777777" w:rsidTr="00B86E37">
        <w:tc>
          <w:tcPr>
            <w:tcW w:w="0" w:type="auto"/>
            <w:hideMark/>
          </w:tcPr>
          <w:p w14:paraId="731B1B7D" w14:textId="77777777" w:rsidR="003E29E0" w:rsidRPr="003E29E0" w:rsidRDefault="003E29E0" w:rsidP="004B6541">
            <w:pPr>
              <w:spacing w:line="259" w:lineRule="auto"/>
              <w:ind w:left="786"/>
              <w:rPr>
                <w:rFonts w:cstheme="minorHAnsi"/>
                <w:sz w:val="24"/>
                <w:szCs w:val="24"/>
              </w:rPr>
            </w:pPr>
            <w:r w:rsidRPr="003E29E0">
              <w:rPr>
                <w:rFonts w:cstheme="minorHAnsi"/>
                <w:sz w:val="24"/>
                <w:szCs w:val="24"/>
              </w:rPr>
              <w:t>Medical</w:t>
            </w:r>
          </w:p>
        </w:tc>
        <w:tc>
          <w:tcPr>
            <w:tcW w:w="0" w:type="auto"/>
            <w:hideMark/>
          </w:tcPr>
          <w:p w14:paraId="71FA7D0C" w14:textId="77777777" w:rsidR="003E29E0" w:rsidRPr="003E29E0" w:rsidRDefault="003E29E0" w:rsidP="00B86E37">
            <w:pPr>
              <w:spacing w:line="259" w:lineRule="auto"/>
              <w:rPr>
                <w:rFonts w:cstheme="minorHAnsi"/>
                <w:sz w:val="24"/>
                <w:szCs w:val="24"/>
              </w:rPr>
            </w:pPr>
            <w:r w:rsidRPr="003E29E0">
              <w:rPr>
                <w:rFonts w:cstheme="minorHAnsi"/>
                <w:sz w:val="24"/>
                <w:szCs w:val="24"/>
              </w:rPr>
              <w:t>8 (12.90%)</w:t>
            </w:r>
          </w:p>
        </w:tc>
      </w:tr>
      <w:tr w:rsidR="003E29E0" w:rsidRPr="003E29E0" w14:paraId="1AEB6862" w14:textId="77777777" w:rsidTr="00B86E37">
        <w:tc>
          <w:tcPr>
            <w:tcW w:w="0" w:type="auto"/>
            <w:hideMark/>
          </w:tcPr>
          <w:p w14:paraId="50412CC0" w14:textId="77777777" w:rsidR="003E29E0" w:rsidRPr="003E29E0" w:rsidRDefault="003E29E0" w:rsidP="004B6541">
            <w:pPr>
              <w:spacing w:line="259" w:lineRule="auto"/>
              <w:ind w:left="786"/>
              <w:rPr>
                <w:rFonts w:cstheme="minorHAnsi"/>
                <w:sz w:val="24"/>
                <w:szCs w:val="24"/>
              </w:rPr>
            </w:pPr>
            <w:r w:rsidRPr="003E29E0">
              <w:rPr>
                <w:rFonts w:cstheme="minorHAnsi"/>
                <w:sz w:val="24"/>
                <w:szCs w:val="24"/>
              </w:rPr>
              <w:t>Surgical</w:t>
            </w:r>
          </w:p>
        </w:tc>
        <w:tc>
          <w:tcPr>
            <w:tcW w:w="0" w:type="auto"/>
            <w:hideMark/>
          </w:tcPr>
          <w:p w14:paraId="6F5E979E" w14:textId="77777777" w:rsidR="003E29E0" w:rsidRPr="003E29E0" w:rsidRDefault="003E29E0" w:rsidP="00B86E37">
            <w:pPr>
              <w:spacing w:line="259" w:lineRule="auto"/>
              <w:rPr>
                <w:rFonts w:cstheme="minorHAnsi"/>
                <w:sz w:val="24"/>
                <w:szCs w:val="24"/>
              </w:rPr>
            </w:pPr>
            <w:r w:rsidRPr="003E29E0">
              <w:rPr>
                <w:rFonts w:cstheme="minorHAnsi"/>
                <w:sz w:val="24"/>
                <w:szCs w:val="24"/>
              </w:rPr>
              <w:t>2 (3.23%)</w:t>
            </w:r>
          </w:p>
        </w:tc>
      </w:tr>
      <w:tr w:rsidR="003E29E0" w:rsidRPr="003E29E0" w14:paraId="1284E950" w14:textId="77777777" w:rsidTr="00B86E37">
        <w:tc>
          <w:tcPr>
            <w:tcW w:w="0" w:type="auto"/>
            <w:hideMark/>
          </w:tcPr>
          <w:p w14:paraId="5410454D" w14:textId="77777777" w:rsidR="003E29E0" w:rsidRPr="003E29E0" w:rsidRDefault="003E29E0" w:rsidP="004B6541">
            <w:pPr>
              <w:spacing w:line="259" w:lineRule="auto"/>
              <w:ind w:left="786"/>
              <w:rPr>
                <w:rFonts w:cstheme="minorHAnsi"/>
                <w:sz w:val="24"/>
                <w:szCs w:val="24"/>
              </w:rPr>
            </w:pPr>
            <w:r w:rsidRPr="003E29E0">
              <w:rPr>
                <w:rFonts w:cstheme="minorHAnsi"/>
                <w:sz w:val="24"/>
                <w:szCs w:val="24"/>
              </w:rPr>
              <w:t>Medical/surgical</w:t>
            </w:r>
          </w:p>
        </w:tc>
        <w:tc>
          <w:tcPr>
            <w:tcW w:w="0" w:type="auto"/>
            <w:hideMark/>
          </w:tcPr>
          <w:p w14:paraId="0F3F82AD" w14:textId="77777777" w:rsidR="003E29E0" w:rsidRPr="003E29E0" w:rsidRDefault="003E29E0" w:rsidP="00B86E37">
            <w:pPr>
              <w:spacing w:line="259" w:lineRule="auto"/>
              <w:rPr>
                <w:rFonts w:cstheme="minorHAnsi"/>
                <w:sz w:val="24"/>
                <w:szCs w:val="24"/>
              </w:rPr>
            </w:pPr>
            <w:r w:rsidRPr="003E29E0">
              <w:rPr>
                <w:rFonts w:cstheme="minorHAnsi"/>
                <w:sz w:val="24"/>
                <w:szCs w:val="24"/>
              </w:rPr>
              <w:t>17 (27.42%)</w:t>
            </w:r>
          </w:p>
        </w:tc>
      </w:tr>
      <w:tr w:rsidR="003E29E0" w:rsidRPr="003E29E0" w14:paraId="675DFFC6" w14:textId="77777777" w:rsidTr="00B86E37">
        <w:tc>
          <w:tcPr>
            <w:tcW w:w="0" w:type="auto"/>
            <w:hideMark/>
          </w:tcPr>
          <w:p w14:paraId="0FF759F6" w14:textId="77777777" w:rsidR="003E29E0" w:rsidRPr="003E29E0" w:rsidRDefault="003E29E0" w:rsidP="004B6541">
            <w:pPr>
              <w:spacing w:line="259" w:lineRule="auto"/>
              <w:ind w:left="786"/>
              <w:rPr>
                <w:rFonts w:cstheme="minorHAnsi"/>
                <w:sz w:val="24"/>
                <w:szCs w:val="24"/>
              </w:rPr>
            </w:pPr>
            <w:r w:rsidRPr="003E29E0">
              <w:rPr>
                <w:rFonts w:cstheme="minorHAnsi"/>
                <w:sz w:val="24"/>
                <w:szCs w:val="24"/>
              </w:rPr>
              <w:t>Medical with telemetry</w:t>
            </w:r>
          </w:p>
        </w:tc>
        <w:tc>
          <w:tcPr>
            <w:tcW w:w="0" w:type="auto"/>
            <w:hideMark/>
          </w:tcPr>
          <w:p w14:paraId="1F42F92D" w14:textId="77777777" w:rsidR="003E29E0" w:rsidRPr="003E29E0" w:rsidRDefault="003E29E0" w:rsidP="00B86E37">
            <w:pPr>
              <w:spacing w:line="259" w:lineRule="auto"/>
              <w:rPr>
                <w:rFonts w:cstheme="minorHAnsi"/>
                <w:sz w:val="24"/>
                <w:szCs w:val="24"/>
              </w:rPr>
            </w:pPr>
            <w:r w:rsidRPr="003E29E0">
              <w:rPr>
                <w:rFonts w:cstheme="minorHAnsi"/>
                <w:sz w:val="24"/>
                <w:szCs w:val="24"/>
              </w:rPr>
              <w:t>17 (27.42%)</w:t>
            </w:r>
          </w:p>
        </w:tc>
      </w:tr>
      <w:tr w:rsidR="003E29E0" w:rsidRPr="003E29E0" w14:paraId="2584E93F" w14:textId="77777777" w:rsidTr="00B86E37">
        <w:tc>
          <w:tcPr>
            <w:tcW w:w="0" w:type="auto"/>
            <w:hideMark/>
          </w:tcPr>
          <w:p w14:paraId="1C2A3343" w14:textId="77777777" w:rsidR="003E29E0" w:rsidRPr="003E29E0" w:rsidRDefault="003E29E0" w:rsidP="004B6541">
            <w:pPr>
              <w:spacing w:line="259" w:lineRule="auto"/>
              <w:ind w:left="786"/>
              <w:rPr>
                <w:rFonts w:cstheme="minorHAnsi"/>
                <w:sz w:val="24"/>
                <w:szCs w:val="24"/>
              </w:rPr>
            </w:pPr>
            <w:r w:rsidRPr="003E29E0">
              <w:rPr>
                <w:rFonts w:cstheme="minorHAnsi"/>
                <w:sz w:val="24"/>
                <w:szCs w:val="24"/>
              </w:rPr>
              <w:t>Surgical with telemetry</w:t>
            </w:r>
          </w:p>
        </w:tc>
        <w:tc>
          <w:tcPr>
            <w:tcW w:w="0" w:type="auto"/>
            <w:hideMark/>
          </w:tcPr>
          <w:p w14:paraId="19FD4D23" w14:textId="77777777" w:rsidR="003E29E0" w:rsidRPr="003E29E0" w:rsidRDefault="003E29E0" w:rsidP="00B86E37">
            <w:pPr>
              <w:spacing w:line="259" w:lineRule="auto"/>
              <w:rPr>
                <w:rFonts w:cstheme="minorHAnsi"/>
                <w:sz w:val="24"/>
                <w:szCs w:val="24"/>
              </w:rPr>
            </w:pPr>
            <w:r w:rsidRPr="003E29E0">
              <w:rPr>
                <w:rFonts w:cstheme="minorHAnsi"/>
                <w:sz w:val="24"/>
                <w:szCs w:val="24"/>
              </w:rPr>
              <w:t>3 (4.84%)</w:t>
            </w:r>
          </w:p>
        </w:tc>
      </w:tr>
      <w:tr w:rsidR="003E29E0" w:rsidRPr="003E29E0" w14:paraId="3926F65C" w14:textId="77777777" w:rsidTr="00B86E37">
        <w:tc>
          <w:tcPr>
            <w:tcW w:w="0" w:type="auto"/>
            <w:hideMark/>
          </w:tcPr>
          <w:p w14:paraId="76F4CBD5" w14:textId="77777777" w:rsidR="003E29E0" w:rsidRPr="003E29E0" w:rsidRDefault="003E29E0" w:rsidP="004B6541">
            <w:pPr>
              <w:spacing w:line="259" w:lineRule="auto"/>
              <w:ind w:left="786"/>
              <w:rPr>
                <w:rFonts w:cstheme="minorHAnsi"/>
                <w:sz w:val="24"/>
                <w:szCs w:val="24"/>
              </w:rPr>
            </w:pPr>
            <w:r w:rsidRPr="003E29E0">
              <w:rPr>
                <w:rFonts w:cstheme="minorHAnsi"/>
                <w:sz w:val="24"/>
                <w:szCs w:val="24"/>
              </w:rPr>
              <w:t>Neurology/neurosurgery</w:t>
            </w:r>
          </w:p>
        </w:tc>
        <w:tc>
          <w:tcPr>
            <w:tcW w:w="0" w:type="auto"/>
            <w:hideMark/>
          </w:tcPr>
          <w:p w14:paraId="283CA231" w14:textId="77777777" w:rsidR="003E29E0" w:rsidRPr="003E29E0" w:rsidRDefault="003E29E0" w:rsidP="00B86E37">
            <w:pPr>
              <w:spacing w:line="259" w:lineRule="auto"/>
              <w:rPr>
                <w:rFonts w:cstheme="minorHAnsi"/>
                <w:sz w:val="24"/>
                <w:szCs w:val="24"/>
              </w:rPr>
            </w:pPr>
            <w:r w:rsidRPr="003E29E0">
              <w:rPr>
                <w:rFonts w:cstheme="minorHAnsi"/>
                <w:sz w:val="24"/>
                <w:szCs w:val="24"/>
              </w:rPr>
              <w:t>2 (3.23%)</w:t>
            </w:r>
          </w:p>
        </w:tc>
      </w:tr>
      <w:tr w:rsidR="003E29E0" w:rsidRPr="003E29E0" w14:paraId="148B9C38" w14:textId="77777777" w:rsidTr="00B86E37">
        <w:tc>
          <w:tcPr>
            <w:tcW w:w="0" w:type="auto"/>
            <w:hideMark/>
          </w:tcPr>
          <w:p w14:paraId="26C608FB" w14:textId="77777777" w:rsidR="003E29E0" w:rsidRPr="003E29E0" w:rsidRDefault="003E29E0" w:rsidP="004B6541">
            <w:pPr>
              <w:spacing w:line="259" w:lineRule="auto"/>
              <w:ind w:left="786"/>
              <w:rPr>
                <w:rFonts w:cstheme="minorHAnsi"/>
                <w:sz w:val="24"/>
                <w:szCs w:val="24"/>
              </w:rPr>
            </w:pPr>
            <w:r w:rsidRPr="003E29E0">
              <w:rPr>
                <w:rFonts w:cstheme="minorHAnsi"/>
                <w:sz w:val="24"/>
                <w:szCs w:val="24"/>
              </w:rPr>
              <w:t>Orthopedics</w:t>
            </w:r>
          </w:p>
        </w:tc>
        <w:tc>
          <w:tcPr>
            <w:tcW w:w="0" w:type="auto"/>
            <w:hideMark/>
          </w:tcPr>
          <w:p w14:paraId="16534BB2" w14:textId="77777777" w:rsidR="003E29E0" w:rsidRPr="003E29E0" w:rsidRDefault="003E29E0" w:rsidP="00B86E37">
            <w:pPr>
              <w:spacing w:line="259" w:lineRule="auto"/>
              <w:rPr>
                <w:rFonts w:cstheme="minorHAnsi"/>
                <w:sz w:val="24"/>
                <w:szCs w:val="24"/>
              </w:rPr>
            </w:pPr>
            <w:r w:rsidRPr="003E29E0">
              <w:rPr>
                <w:rFonts w:cstheme="minorHAnsi"/>
                <w:sz w:val="24"/>
                <w:szCs w:val="24"/>
              </w:rPr>
              <w:t>1 (1.61%)</w:t>
            </w:r>
          </w:p>
        </w:tc>
      </w:tr>
      <w:tr w:rsidR="003E29E0" w:rsidRPr="003E29E0" w14:paraId="2B473F66" w14:textId="77777777" w:rsidTr="00B86E37">
        <w:tc>
          <w:tcPr>
            <w:tcW w:w="0" w:type="auto"/>
            <w:hideMark/>
          </w:tcPr>
          <w:p w14:paraId="4AF4DECB" w14:textId="77777777" w:rsidR="003E29E0" w:rsidRPr="003E29E0" w:rsidRDefault="003E29E0" w:rsidP="004B6541">
            <w:pPr>
              <w:spacing w:line="259" w:lineRule="auto"/>
              <w:ind w:left="786"/>
              <w:rPr>
                <w:rFonts w:cstheme="minorHAnsi"/>
                <w:sz w:val="24"/>
                <w:szCs w:val="24"/>
              </w:rPr>
            </w:pPr>
            <w:r w:rsidRPr="003E29E0">
              <w:rPr>
                <w:rFonts w:cstheme="minorHAnsi"/>
                <w:sz w:val="24"/>
                <w:szCs w:val="24"/>
              </w:rPr>
              <w:t>Respiratory</w:t>
            </w:r>
          </w:p>
        </w:tc>
        <w:tc>
          <w:tcPr>
            <w:tcW w:w="0" w:type="auto"/>
            <w:hideMark/>
          </w:tcPr>
          <w:p w14:paraId="2F13F268" w14:textId="77777777" w:rsidR="003E29E0" w:rsidRPr="003E29E0" w:rsidRDefault="003E29E0" w:rsidP="00B86E37">
            <w:pPr>
              <w:spacing w:line="259" w:lineRule="auto"/>
              <w:rPr>
                <w:rFonts w:cstheme="minorHAnsi"/>
                <w:sz w:val="24"/>
                <w:szCs w:val="24"/>
              </w:rPr>
            </w:pPr>
            <w:r w:rsidRPr="003E29E0">
              <w:rPr>
                <w:rFonts w:cstheme="minorHAnsi"/>
                <w:sz w:val="24"/>
                <w:szCs w:val="24"/>
              </w:rPr>
              <w:t>1 (1.61%)</w:t>
            </w:r>
          </w:p>
        </w:tc>
      </w:tr>
      <w:tr w:rsidR="003E29E0" w:rsidRPr="003E29E0" w14:paraId="3C4D8CBD" w14:textId="77777777" w:rsidTr="00B86E37">
        <w:tc>
          <w:tcPr>
            <w:tcW w:w="0" w:type="auto"/>
            <w:hideMark/>
          </w:tcPr>
          <w:p w14:paraId="6757E7B2" w14:textId="549051D7" w:rsidR="003E29E0" w:rsidRPr="003E29E0" w:rsidRDefault="003E29E0" w:rsidP="0024239F">
            <w:pPr>
              <w:spacing w:line="259" w:lineRule="auto"/>
              <w:ind w:left="336"/>
              <w:rPr>
                <w:rFonts w:cstheme="minorHAnsi"/>
                <w:sz w:val="24"/>
                <w:szCs w:val="24"/>
              </w:rPr>
            </w:pPr>
            <w:r w:rsidRPr="003E29E0">
              <w:rPr>
                <w:rFonts w:cstheme="minorHAnsi"/>
                <w:sz w:val="24"/>
                <w:szCs w:val="24"/>
              </w:rPr>
              <w:t>Average daily patient census</w:t>
            </w:r>
            <w:r w:rsidRPr="003E29E0">
              <w:rPr>
                <w:rFonts w:cstheme="minorHAnsi"/>
                <w:i/>
                <w:iCs/>
                <w:sz w:val="24"/>
                <w:szCs w:val="24"/>
                <w:vertAlign w:val="superscript"/>
              </w:rPr>
              <w:t>b</w:t>
            </w:r>
          </w:p>
        </w:tc>
        <w:tc>
          <w:tcPr>
            <w:tcW w:w="0" w:type="auto"/>
            <w:hideMark/>
          </w:tcPr>
          <w:p w14:paraId="326087FC" w14:textId="77777777" w:rsidR="003E29E0" w:rsidRPr="003E29E0" w:rsidRDefault="003E29E0" w:rsidP="00B86E37">
            <w:pPr>
              <w:spacing w:line="259" w:lineRule="auto"/>
              <w:rPr>
                <w:rFonts w:cstheme="minorHAnsi"/>
                <w:sz w:val="24"/>
                <w:szCs w:val="24"/>
              </w:rPr>
            </w:pPr>
            <w:r w:rsidRPr="003E29E0">
              <w:rPr>
                <w:rFonts w:cstheme="minorHAnsi"/>
                <w:sz w:val="24"/>
                <w:szCs w:val="24"/>
              </w:rPr>
              <w:t>26.49 (22.19, 28.70)</w:t>
            </w:r>
          </w:p>
        </w:tc>
      </w:tr>
      <w:tr w:rsidR="003E29E0" w:rsidRPr="003E29E0" w14:paraId="5BD842B6" w14:textId="77777777" w:rsidTr="00B86E37">
        <w:tc>
          <w:tcPr>
            <w:tcW w:w="0" w:type="auto"/>
            <w:hideMark/>
          </w:tcPr>
          <w:p w14:paraId="061CFF5D" w14:textId="46B07355" w:rsidR="003E29E0" w:rsidRPr="003E29E0" w:rsidRDefault="003E29E0" w:rsidP="0024239F">
            <w:pPr>
              <w:spacing w:line="259" w:lineRule="auto"/>
              <w:ind w:left="336"/>
              <w:rPr>
                <w:rFonts w:cstheme="minorHAnsi"/>
                <w:sz w:val="24"/>
                <w:szCs w:val="24"/>
              </w:rPr>
            </w:pPr>
            <w:r w:rsidRPr="003E29E0">
              <w:rPr>
                <w:rFonts w:cstheme="minorHAnsi"/>
                <w:sz w:val="24"/>
                <w:szCs w:val="24"/>
              </w:rPr>
              <w:t>Patient case mix index</w:t>
            </w:r>
            <w:r w:rsidRPr="003E29E0">
              <w:rPr>
                <w:rFonts w:cstheme="minorHAnsi"/>
                <w:i/>
                <w:iCs/>
                <w:sz w:val="24"/>
                <w:szCs w:val="24"/>
                <w:vertAlign w:val="superscript"/>
              </w:rPr>
              <w:t>b</w:t>
            </w:r>
          </w:p>
        </w:tc>
        <w:tc>
          <w:tcPr>
            <w:tcW w:w="0" w:type="auto"/>
            <w:hideMark/>
          </w:tcPr>
          <w:p w14:paraId="217D37F4" w14:textId="77777777" w:rsidR="003E29E0" w:rsidRPr="003E29E0" w:rsidRDefault="003E29E0" w:rsidP="00B86E37">
            <w:pPr>
              <w:spacing w:line="259" w:lineRule="auto"/>
              <w:rPr>
                <w:rFonts w:cstheme="minorHAnsi"/>
                <w:sz w:val="24"/>
                <w:szCs w:val="24"/>
              </w:rPr>
            </w:pPr>
            <w:r w:rsidRPr="003E29E0">
              <w:rPr>
                <w:rFonts w:cstheme="minorHAnsi"/>
                <w:sz w:val="24"/>
                <w:szCs w:val="24"/>
              </w:rPr>
              <w:t>1.76 (1.42, 1.80)</w:t>
            </w:r>
          </w:p>
        </w:tc>
      </w:tr>
      <w:tr w:rsidR="00B86E37" w:rsidRPr="003E29E0" w14:paraId="73CD1C2D" w14:textId="77777777" w:rsidTr="00243C06">
        <w:tc>
          <w:tcPr>
            <w:tcW w:w="0" w:type="auto"/>
            <w:hideMark/>
          </w:tcPr>
          <w:p w14:paraId="2A5B4EAA" w14:textId="77777777" w:rsidR="00B86E37" w:rsidRPr="003E29E0" w:rsidRDefault="00B86E37" w:rsidP="00B86E37">
            <w:pPr>
              <w:rPr>
                <w:rFonts w:cstheme="minorHAnsi"/>
                <w:sz w:val="24"/>
                <w:szCs w:val="24"/>
              </w:rPr>
            </w:pPr>
            <w:r w:rsidRPr="003E29E0">
              <w:rPr>
                <w:rFonts w:cstheme="minorHAnsi"/>
                <w:b/>
                <w:bCs/>
                <w:sz w:val="24"/>
                <w:szCs w:val="24"/>
              </w:rPr>
              <w:t>Technology for readmission avoidance</w:t>
            </w:r>
          </w:p>
        </w:tc>
        <w:tc>
          <w:tcPr>
            <w:tcW w:w="0" w:type="auto"/>
          </w:tcPr>
          <w:p w14:paraId="12842D5E" w14:textId="00286FF2" w:rsidR="00B86E37" w:rsidRPr="003E29E0" w:rsidRDefault="00B86E37" w:rsidP="00B86E37">
            <w:pPr>
              <w:spacing w:line="259" w:lineRule="auto"/>
              <w:rPr>
                <w:rFonts w:cstheme="minorHAnsi"/>
                <w:sz w:val="24"/>
                <w:szCs w:val="24"/>
              </w:rPr>
            </w:pPr>
          </w:p>
        </w:tc>
      </w:tr>
      <w:tr w:rsidR="00B86E37" w:rsidRPr="003E29E0" w14:paraId="1E2D49E7" w14:textId="77777777" w:rsidTr="007C1FA9">
        <w:tc>
          <w:tcPr>
            <w:tcW w:w="0" w:type="auto"/>
            <w:hideMark/>
          </w:tcPr>
          <w:p w14:paraId="53DD0CD1" w14:textId="12C4B0BB" w:rsidR="00B86E37" w:rsidRPr="003E29E0" w:rsidRDefault="00B86E37" w:rsidP="00B86E37">
            <w:pPr>
              <w:rPr>
                <w:rFonts w:cstheme="minorHAnsi"/>
                <w:sz w:val="24"/>
                <w:szCs w:val="24"/>
              </w:rPr>
            </w:pPr>
            <w:r w:rsidRPr="003E29E0">
              <w:rPr>
                <w:rFonts w:cstheme="minorHAnsi"/>
                <w:i/>
                <w:iCs/>
                <w:sz w:val="24"/>
                <w:szCs w:val="24"/>
              </w:rPr>
              <w:t>Discharge care models</w:t>
            </w:r>
            <w:r w:rsidRPr="003E29E0">
              <w:rPr>
                <w:rFonts w:cstheme="minorHAnsi"/>
                <w:i/>
                <w:iCs/>
                <w:sz w:val="24"/>
                <w:szCs w:val="24"/>
                <w:vertAlign w:val="superscript"/>
              </w:rPr>
              <w:t>d</w:t>
            </w:r>
          </w:p>
        </w:tc>
        <w:tc>
          <w:tcPr>
            <w:tcW w:w="0" w:type="auto"/>
          </w:tcPr>
          <w:p w14:paraId="1EBEF0EC" w14:textId="3BDE2277" w:rsidR="00B86E37" w:rsidRPr="003E29E0" w:rsidRDefault="00B86E37" w:rsidP="00B86E37">
            <w:pPr>
              <w:spacing w:line="259" w:lineRule="auto"/>
              <w:rPr>
                <w:rFonts w:cstheme="minorHAnsi"/>
                <w:sz w:val="24"/>
                <w:szCs w:val="24"/>
              </w:rPr>
            </w:pPr>
          </w:p>
        </w:tc>
      </w:tr>
      <w:tr w:rsidR="003E29E0" w:rsidRPr="003E29E0" w14:paraId="0E18092E" w14:textId="77777777" w:rsidTr="00B86E37">
        <w:tc>
          <w:tcPr>
            <w:tcW w:w="0" w:type="auto"/>
            <w:hideMark/>
          </w:tcPr>
          <w:p w14:paraId="4A78F749" w14:textId="77777777" w:rsidR="003E29E0" w:rsidRPr="003E29E0" w:rsidRDefault="003E29E0" w:rsidP="0024239F">
            <w:pPr>
              <w:spacing w:line="259" w:lineRule="auto"/>
              <w:ind w:left="336"/>
              <w:rPr>
                <w:rFonts w:cstheme="minorHAnsi"/>
                <w:sz w:val="24"/>
                <w:szCs w:val="24"/>
              </w:rPr>
            </w:pPr>
            <w:r w:rsidRPr="003E29E0">
              <w:rPr>
                <w:rFonts w:cstheme="minorHAnsi"/>
                <w:sz w:val="24"/>
                <w:szCs w:val="24"/>
              </w:rPr>
              <w:t>Transitional care model</w:t>
            </w:r>
          </w:p>
        </w:tc>
        <w:tc>
          <w:tcPr>
            <w:tcW w:w="0" w:type="auto"/>
            <w:hideMark/>
          </w:tcPr>
          <w:p w14:paraId="1DB39997" w14:textId="77777777" w:rsidR="003E29E0" w:rsidRPr="003E29E0" w:rsidRDefault="003E29E0" w:rsidP="00B86E37">
            <w:pPr>
              <w:spacing w:line="259" w:lineRule="auto"/>
              <w:rPr>
                <w:rFonts w:cstheme="minorHAnsi"/>
                <w:sz w:val="24"/>
                <w:szCs w:val="24"/>
              </w:rPr>
            </w:pPr>
            <w:r w:rsidRPr="003E29E0">
              <w:rPr>
                <w:rFonts w:cstheme="minorHAnsi"/>
                <w:sz w:val="24"/>
                <w:szCs w:val="24"/>
              </w:rPr>
              <w:t>1 (3.23%)</w:t>
            </w:r>
          </w:p>
        </w:tc>
      </w:tr>
      <w:tr w:rsidR="003E29E0" w:rsidRPr="003E29E0" w14:paraId="11AF5870" w14:textId="77777777" w:rsidTr="00B86E37">
        <w:tc>
          <w:tcPr>
            <w:tcW w:w="0" w:type="auto"/>
            <w:hideMark/>
          </w:tcPr>
          <w:p w14:paraId="4B24DC96" w14:textId="77777777" w:rsidR="003E29E0" w:rsidRPr="003E29E0" w:rsidRDefault="003E29E0" w:rsidP="0024239F">
            <w:pPr>
              <w:spacing w:line="259" w:lineRule="auto"/>
              <w:ind w:left="336"/>
              <w:rPr>
                <w:rFonts w:cstheme="minorHAnsi"/>
                <w:sz w:val="24"/>
                <w:szCs w:val="24"/>
              </w:rPr>
            </w:pPr>
            <w:r w:rsidRPr="003E29E0">
              <w:rPr>
                <w:rFonts w:cstheme="minorHAnsi"/>
                <w:sz w:val="24"/>
                <w:szCs w:val="24"/>
              </w:rPr>
              <w:t>Care transitions model</w:t>
            </w:r>
          </w:p>
        </w:tc>
        <w:tc>
          <w:tcPr>
            <w:tcW w:w="0" w:type="auto"/>
            <w:hideMark/>
          </w:tcPr>
          <w:p w14:paraId="602F4D24" w14:textId="77777777" w:rsidR="003E29E0" w:rsidRPr="003E29E0" w:rsidRDefault="003E29E0" w:rsidP="00B86E37">
            <w:pPr>
              <w:spacing w:line="259" w:lineRule="auto"/>
              <w:rPr>
                <w:rFonts w:cstheme="minorHAnsi"/>
                <w:sz w:val="24"/>
                <w:szCs w:val="24"/>
              </w:rPr>
            </w:pPr>
            <w:r w:rsidRPr="003E29E0">
              <w:rPr>
                <w:rFonts w:cstheme="minorHAnsi"/>
                <w:sz w:val="24"/>
                <w:szCs w:val="24"/>
              </w:rPr>
              <w:t>6 (19.35%)</w:t>
            </w:r>
          </w:p>
        </w:tc>
      </w:tr>
      <w:tr w:rsidR="003E29E0" w:rsidRPr="003E29E0" w14:paraId="4459E331" w14:textId="77777777" w:rsidTr="00B86E37">
        <w:tc>
          <w:tcPr>
            <w:tcW w:w="0" w:type="auto"/>
            <w:hideMark/>
          </w:tcPr>
          <w:p w14:paraId="0EE08BEB" w14:textId="77777777" w:rsidR="003E29E0" w:rsidRPr="003E29E0" w:rsidRDefault="003E29E0" w:rsidP="0024239F">
            <w:pPr>
              <w:spacing w:line="259" w:lineRule="auto"/>
              <w:ind w:left="336"/>
              <w:rPr>
                <w:rFonts w:cstheme="minorHAnsi"/>
                <w:sz w:val="24"/>
                <w:szCs w:val="24"/>
              </w:rPr>
            </w:pPr>
            <w:r w:rsidRPr="003E29E0">
              <w:rPr>
                <w:rFonts w:cstheme="minorHAnsi"/>
                <w:sz w:val="24"/>
                <w:szCs w:val="24"/>
              </w:rPr>
              <w:t>Re-engineered discharge</w:t>
            </w:r>
          </w:p>
        </w:tc>
        <w:tc>
          <w:tcPr>
            <w:tcW w:w="0" w:type="auto"/>
            <w:hideMark/>
          </w:tcPr>
          <w:p w14:paraId="576477EF" w14:textId="77777777" w:rsidR="003E29E0" w:rsidRPr="003E29E0" w:rsidRDefault="003E29E0" w:rsidP="00B86E37">
            <w:pPr>
              <w:spacing w:line="259" w:lineRule="auto"/>
              <w:rPr>
                <w:rFonts w:cstheme="minorHAnsi"/>
                <w:sz w:val="24"/>
                <w:szCs w:val="24"/>
              </w:rPr>
            </w:pPr>
            <w:r w:rsidRPr="003E29E0">
              <w:rPr>
                <w:rFonts w:cstheme="minorHAnsi"/>
                <w:sz w:val="24"/>
                <w:szCs w:val="24"/>
              </w:rPr>
              <w:t>2 (6.45%)</w:t>
            </w:r>
          </w:p>
        </w:tc>
      </w:tr>
      <w:tr w:rsidR="003E29E0" w:rsidRPr="003E29E0" w14:paraId="3DA3313B" w14:textId="77777777" w:rsidTr="00B86E37">
        <w:tc>
          <w:tcPr>
            <w:tcW w:w="0" w:type="auto"/>
            <w:hideMark/>
          </w:tcPr>
          <w:p w14:paraId="476DA0B3" w14:textId="77777777" w:rsidR="003E29E0" w:rsidRPr="003E29E0" w:rsidRDefault="003E29E0" w:rsidP="0024239F">
            <w:pPr>
              <w:spacing w:line="259" w:lineRule="auto"/>
              <w:ind w:left="336"/>
              <w:rPr>
                <w:rFonts w:cstheme="minorHAnsi"/>
                <w:sz w:val="24"/>
                <w:szCs w:val="24"/>
              </w:rPr>
            </w:pPr>
            <w:r w:rsidRPr="003E29E0">
              <w:rPr>
                <w:rFonts w:cstheme="minorHAnsi"/>
                <w:sz w:val="24"/>
                <w:szCs w:val="24"/>
              </w:rPr>
              <w:t>Institute for Healthcare Improvement/State Action on Avoidable Readmissions</w:t>
            </w:r>
          </w:p>
        </w:tc>
        <w:tc>
          <w:tcPr>
            <w:tcW w:w="0" w:type="auto"/>
            <w:hideMark/>
          </w:tcPr>
          <w:p w14:paraId="53BABAF5" w14:textId="77777777" w:rsidR="003E29E0" w:rsidRPr="003E29E0" w:rsidRDefault="003E29E0" w:rsidP="00B86E37">
            <w:pPr>
              <w:spacing w:line="259" w:lineRule="auto"/>
              <w:rPr>
                <w:rFonts w:cstheme="minorHAnsi"/>
                <w:sz w:val="24"/>
                <w:szCs w:val="24"/>
              </w:rPr>
            </w:pPr>
            <w:r w:rsidRPr="003E29E0">
              <w:rPr>
                <w:rFonts w:cstheme="minorHAnsi"/>
                <w:sz w:val="24"/>
                <w:szCs w:val="24"/>
              </w:rPr>
              <w:t>2 (6.45%)</w:t>
            </w:r>
          </w:p>
        </w:tc>
      </w:tr>
      <w:tr w:rsidR="003E29E0" w:rsidRPr="003E29E0" w14:paraId="4ED9D0C0" w14:textId="77777777" w:rsidTr="00B86E37">
        <w:tc>
          <w:tcPr>
            <w:tcW w:w="0" w:type="auto"/>
            <w:hideMark/>
          </w:tcPr>
          <w:p w14:paraId="38A47150" w14:textId="77777777" w:rsidR="003E29E0" w:rsidRPr="003E29E0" w:rsidRDefault="003E29E0" w:rsidP="0024239F">
            <w:pPr>
              <w:spacing w:line="259" w:lineRule="auto"/>
              <w:ind w:left="336"/>
              <w:rPr>
                <w:rFonts w:cstheme="minorHAnsi"/>
                <w:sz w:val="24"/>
                <w:szCs w:val="24"/>
              </w:rPr>
            </w:pPr>
            <w:r w:rsidRPr="003E29E0">
              <w:rPr>
                <w:rFonts w:cstheme="minorHAnsi"/>
                <w:sz w:val="24"/>
                <w:szCs w:val="24"/>
              </w:rPr>
              <w:t>Centers for Medicare/Medicaid Services</w:t>
            </w:r>
          </w:p>
        </w:tc>
        <w:tc>
          <w:tcPr>
            <w:tcW w:w="0" w:type="auto"/>
            <w:hideMark/>
          </w:tcPr>
          <w:p w14:paraId="179BCB7A" w14:textId="77777777" w:rsidR="003E29E0" w:rsidRPr="003E29E0" w:rsidRDefault="003E29E0" w:rsidP="00B86E37">
            <w:pPr>
              <w:spacing w:line="259" w:lineRule="auto"/>
              <w:rPr>
                <w:rFonts w:cstheme="minorHAnsi"/>
                <w:sz w:val="24"/>
                <w:szCs w:val="24"/>
              </w:rPr>
            </w:pPr>
            <w:r w:rsidRPr="003E29E0">
              <w:rPr>
                <w:rFonts w:cstheme="minorHAnsi"/>
                <w:sz w:val="24"/>
                <w:szCs w:val="24"/>
              </w:rPr>
              <w:t>3 (9.68%)</w:t>
            </w:r>
          </w:p>
        </w:tc>
      </w:tr>
      <w:tr w:rsidR="003E29E0" w:rsidRPr="003E29E0" w14:paraId="46D90CFF" w14:textId="77777777" w:rsidTr="00B86E37">
        <w:tc>
          <w:tcPr>
            <w:tcW w:w="0" w:type="auto"/>
            <w:hideMark/>
          </w:tcPr>
          <w:p w14:paraId="152A2FE4" w14:textId="77777777" w:rsidR="003E29E0" w:rsidRPr="003E29E0" w:rsidRDefault="003E29E0" w:rsidP="0024239F">
            <w:pPr>
              <w:spacing w:line="259" w:lineRule="auto"/>
              <w:ind w:left="336"/>
              <w:rPr>
                <w:rFonts w:cstheme="minorHAnsi"/>
                <w:sz w:val="24"/>
                <w:szCs w:val="24"/>
              </w:rPr>
            </w:pPr>
            <w:r w:rsidRPr="003E29E0">
              <w:rPr>
                <w:rFonts w:cstheme="minorHAnsi"/>
                <w:sz w:val="24"/>
                <w:szCs w:val="24"/>
              </w:rPr>
              <w:t>State hospital association initiative</w:t>
            </w:r>
          </w:p>
        </w:tc>
        <w:tc>
          <w:tcPr>
            <w:tcW w:w="0" w:type="auto"/>
            <w:hideMark/>
          </w:tcPr>
          <w:p w14:paraId="0E7C0503" w14:textId="77777777" w:rsidR="003E29E0" w:rsidRPr="003E29E0" w:rsidRDefault="003E29E0" w:rsidP="00B86E37">
            <w:pPr>
              <w:spacing w:line="259" w:lineRule="auto"/>
              <w:rPr>
                <w:rFonts w:cstheme="minorHAnsi"/>
                <w:sz w:val="24"/>
                <w:szCs w:val="24"/>
              </w:rPr>
            </w:pPr>
            <w:r w:rsidRPr="003E29E0">
              <w:rPr>
                <w:rFonts w:cstheme="minorHAnsi"/>
                <w:sz w:val="24"/>
                <w:szCs w:val="24"/>
              </w:rPr>
              <w:t>3 (9.68%)</w:t>
            </w:r>
          </w:p>
        </w:tc>
      </w:tr>
      <w:tr w:rsidR="003E29E0" w:rsidRPr="003E29E0" w14:paraId="4197F36C" w14:textId="77777777" w:rsidTr="00B86E37">
        <w:tc>
          <w:tcPr>
            <w:tcW w:w="0" w:type="auto"/>
            <w:hideMark/>
          </w:tcPr>
          <w:p w14:paraId="0FD4625D" w14:textId="77777777" w:rsidR="003E29E0" w:rsidRPr="003E29E0" w:rsidRDefault="003E29E0" w:rsidP="0024239F">
            <w:pPr>
              <w:spacing w:line="259" w:lineRule="auto"/>
              <w:ind w:left="336"/>
              <w:rPr>
                <w:rFonts w:cstheme="minorHAnsi"/>
                <w:sz w:val="24"/>
                <w:szCs w:val="24"/>
              </w:rPr>
            </w:pPr>
            <w:r w:rsidRPr="003E29E0">
              <w:rPr>
                <w:rFonts w:cstheme="minorHAnsi"/>
                <w:sz w:val="24"/>
                <w:szCs w:val="24"/>
              </w:rPr>
              <w:t>Local/regional collaborative initiative</w:t>
            </w:r>
          </w:p>
        </w:tc>
        <w:tc>
          <w:tcPr>
            <w:tcW w:w="0" w:type="auto"/>
            <w:hideMark/>
          </w:tcPr>
          <w:p w14:paraId="61CE4773" w14:textId="77777777" w:rsidR="003E29E0" w:rsidRPr="003E29E0" w:rsidRDefault="003E29E0" w:rsidP="00B86E37">
            <w:pPr>
              <w:spacing w:line="259" w:lineRule="auto"/>
              <w:rPr>
                <w:rFonts w:cstheme="minorHAnsi"/>
                <w:sz w:val="24"/>
                <w:szCs w:val="24"/>
              </w:rPr>
            </w:pPr>
            <w:r w:rsidRPr="003E29E0">
              <w:rPr>
                <w:rFonts w:cstheme="minorHAnsi"/>
                <w:sz w:val="24"/>
                <w:szCs w:val="24"/>
              </w:rPr>
              <w:t>4 (12.90%)</w:t>
            </w:r>
          </w:p>
        </w:tc>
      </w:tr>
      <w:tr w:rsidR="003E29E0" w:rsidRPr="003E29E0" w14:paraId="0BACB195" w14:textId="77777777" w:rsidTr="00B86E37">
        <w:tc>
          <w:tcPr>
            <w:tcW w:w="0" w:type="auto"/>
            <w:hideMark/>
          </w:tcPr>
          <w:p w14:paraId="7D625E9B" w14:textId="77777777" w:rsidR="003E29E0" w:rsidRPr="003E29E0" w:rsidRDefault="003E29E0" w:rsidP="0024239F">
            <w:pPr>
              <w:spacing w:line="259" w:lineRule="auto"/>
              <w:ind w:left="336"/>
              <w:rPr>
                <w:rFonts w:cstheme="minorHAnsi"/>
                <w:sz w:val="24"/>
                <w:szCs w:val="24"/>
              </w:rPr>
            </w:pPr>
            <w:r w:rsidRPr="003E29E0">
              <w:rPr>
                <w:rFonts w:cstheme="minorHAnsi"/>
                <w:sz w:val="24"/>
                <w:szCs w:val="24"/>
              </w:rPr>
              <w:t>None of the above/other</w:t>
            </w:r>
          </w:p>
        </w:tc>
        <w:tc>
          <w:tcPr>
            <w:tcW w:w="0" w:type="auto"/>
            <w:hideMark/>
          </w:tcPr>
          <w:p w14:paraId="41D4617C" w14:textId="77777777" w:rsidR="003E29E0" w:rsidRPr="003E29E0" w:rsidRDefault="003E29E0" w:rsidP="00B86E37">
            <w:pPr>
              <w:spacing w:line="259" w:lineRule="auto"/>
              <w:rPr>
                <w:rFonts w:cstheme="minorHAnsi"/>
                <w:sz w:val="24"/>
                <w:szCs w:val="24"/>
              </w:rPr>
            </w:pPr>
            <w:r w:rsidRPr="003E29E0">
              <w:rPr>
                <w:rFonts w:cstheme="minorHAnsi"/>
                <w:sz w:val="24"/>
                <w:szCs w:val="24"/>
              </w:rPr>
              <w:t>18 (58.06%)</w:t>
            </w:r>
          </w:p>
        </w:tc>
      </w:tr>
    </w:tbl>
    <w:p w14:paraId="7B256B4E" w14:textId="77777777" w:rsidR="003E29E0" w:rsidRPr="003E29E0" w:rsidRDefault="003E29E0" w:rsidP="00440693">
      <w:pPr>
        <w:spacing w:after="0"/>
        <w:ind w:left="360"/>
        <w:rPr>
          <w:rFonts w:cstheme="minorHAnsi"/>
          <w:sz w:val="24"/>
          <w:szCs w:val="24"/>
        </w:rPr>
      </w:pPr>
      <w:r w:rsidRPr="003E29E0">
        <w:rPr>
          <w:rFonts w:cstheme="minorHAnsi"/>
          <w:sz w:val="24"/>
          <w:szCs w:val="24"/>
        </w:rPr>
        <w:t>Abbreviations: BSN, Bachelor of Science in Nursing; HPPD, hours per patient day; RN, registered nurse.</w:t>
      </w:r>
    </w:p>
    <w:p w14:paraId="659288CB" w14:textId="2B6A5AC8" w:rsidR="003E29E0" w:rsidRPr="003E29E0" w:rsidRDefault="003E29E0" w:rsidP="00440693">
      <w:pPr>
        <w:spacing w:after="0"/>
        <w:ind w:left="360"/>
        <w:rPr>
          <w:rFonts w:cstheme="minorHAnsi"/>
          <w:sz w:val="24"/>
          <w:szCs w:val="24"/>
        </w:rPr>
      </w:pPr>
      <w:r w:rsidRPr="003E29E0">
        <w:rPr>
          <w:rFonts w:cstheme="minorHAnsi"/>
          <w:sz w:val="24"/>
          <w:szCs w:val="24"/>
          <w:vertAlign w:val="superscript"/>
        </w:rPr>
        <w:t>a</w:t>
      </w:r>
      <w:r w:rsidRPr="003E29E0">
        <w:rPr>
          <w:rFonts w:cstheme="minorHAnsi"/>
          <w:sz w:val="24"/>
          <w:szCs w:val="24"/>
        </w:rPr>
        <w:t> See Supplement Figure A and Table A for the full set of structural input variables.</w:t>
      </w:r>
    </w:p>
    <w:p w14:paraId="4196BE85" w14:textId="77777777" w:rsidR="003E29E0" w:rsidRPr="003E29E0" w:rsidRDefault="003E29E0" w:rsidP="00440693">
      <w:pPr>
        <w:spacing w:after="0"/>
        <w:ind w:left="360"/>
        <w:rPr>
          <w:rFonts w:cstheme="minorHAnsi"/>
          <w:sz w:val="24"/>
          <w:szCs w:val="24"/>
        </w:rPr>
      </w:pPr>
      <w:r w:rsidRPr="003E29E0">
        <w:rPr>
          <w:rFonts w:cstheme="minorHAnsi"/>
          <w:sz w:val="24"/>
          <w:szCs w:val="24"/>
          <w:vertAlign w:val="superscript"/>
        </w:rPr>
        <w:t>b</w:t>
      </w:r>
      <w:r w:rsidRPr="003E29E0">
        <w:rPr>
          <w:rFonts w:cstheme="minorHAnsi"/>
          <w:sz w:val="24"/>
          <w:szCs w:val="24"/>
        </w:rPr>
        <w:t> Measured monthly (19 data points); otherwise measured annually (two data points).</w:t>
      </w:r>
    </w:p>
    <w:p w14:paraId="4F17C7F0" w14:textId="02B1744B" w:rsidR="003E29E0" w:rsidRPr="003E29E0" w:rsidRDefault="003E29E0" w:rsidP="00440693">
      <w:pPr>
        <w:spacing w:after="0"/>
        <w:ind w:left="360"/>
        <w:rPr>
          <w:rFonts w:cstheme="minorHAnsi"/>
          <w:sz w:val="24"/>
          <w:szCs w:val="24"/>
        </w:rPr>
      </w:pPr>
      <w:r w:rsidRPr="003E29E0">
        <w:rPr>
          <w:rFonts w:cstheme="minorHAnsi"/>
          <w:sz w:val="24"/>
          <w:szCs w:val="24"/>
          <w:vertAlign w:val="superscript"/>
        </w:rPr>
        <w:t>c</w:t>
      </w:r>
      <w:r w:rsidRPr="003E29E0">
        <w:rPr>
          <w:rFonts w:cstheme="minorHAnsi"/>
          <w:sz w:val="24"/>
          <w:szCs w:val="24"/>
        </w:rPr>
        <w:t> All hospital employees (physicians, pharmacists, therapists, administrative, laboratory, house-keeping, etc.) on hospital payroll, per the American Hospital Association Annual Survey definition.</w:t>
      </w:r>
      <w:r w:rsidRPr="003E29E0">
        <w:rPr>
          <w:rFonts w:cstheme="minorHAnsi"/>
          <w:sz w:val="24"/>
          <w:szCs w:val="24"/>
          <w:vertAlign w:val="superscript"/>
        </w:rPr>
        <w:t>20</w:t>
      </w:r>
    </w:p>
    <w:p w14:paraId="5E5E10F0" w14:textId="77777777" w:rsidR="003E29E0" w:rsidRPr="003E29E0" w:rsidRDefault="003E29E0" w:rsidP="00440693">
      <w:pPr>
        <w:spacing w:after="0"/>
        <w:ind w:left="360"/>
        <w:rPr>
          <w:rFonts w:cstheme="minorHAnsi"/>
          <w:sz w:val="24"/>
          <w:szCs w:val="24"/>
        </w:rPr>
      </w:pPr>
      <w:r w:rsidRPr="003E29E0">
        <w:rPr>
          <w:rFonts w:cstheme="minorHAnsi"/>
          <w:sz w:val="24"/>
          <w:szCs w:val="24"/>
          <w:vertAlign w:val="superscript"/>
        </w:rPr>
        <w:t>d</w:t>
      </w:r>
      <w:r w:rsidRPr="003E29E0">
        <w:rPr>
          <w:rFonts w:cstheme="minorHAnsi"/>
          <w:sz w:val="24"/>
          <w:szCs w:val="24"/>
        </w:rPr>
        <w:t> Categories are not mutually exclusive.</w:t>
      </w:r>
    </w:p>
    <w:p w14:paraId="59BC9D5B" w14:textId="77777777" w:rsidR="003E29E0" w:rsidRPr="003E29E0" w:rsidRDefault="003E29E0" w:rsidP="00440693">
      <w:pPr>
        <w:pStyle w:val="Heading2"/>
      </w:pPr>
      <w:r w:rsidRPr="003E29E0">
        <w:t>Partial dependence plots</w:t>
      </w:r>
    </w:p>
    <w:p w14:paraId="33ED818E" w14:textId="4102E933" w:rsidR="003E29E0" w:rsidRPr="003E29E0" w:rsidRDefault="003E29E0" w:rsidP="003E29E0">
      <w:pPr>
        <w:rPr>
          <w:rFonts w:cstheme="minorHAnsi"/>
          <w:sz w:val="24"/>
          <w:szCs w:val="24"/>
        </w:rPr>
      </w:pPr>
      <w:r w:rsidRPr="003E29E0">
        <w:rPr>
          <w:rFonts w:cstheme="minorHAnsi"/>
          <w:sz w:val="24"/>
          <w:szCs w:val="24"/>
        </w:rPr>
        <w:t>The PDPs for nurse staffing variables (RN non-OT HPPD, RN OT HPPD, and non-RN HPPD) revealed a common quasi-parabolic data pattern with readmission likelihood first falling as staffing increased from the lowest staffing levels, reaching a minimum point, and then increasing as staffing levels increased. (Figure </w:t>
      </w:r>
      <w:r w:rsidRPr="003E29E0">
        <w:rPr>
          <w:rFonts w:cstheme="minorHAnsi"/>
          <w:b/>
          <w:bCs/>
          <w:sz w:val="24"/>
          <w:szCs w:val="24"/>
        </w:rPr>
        <w:t>1</w:t>
      </w:r>
      <w:r w:rsidRPr="003E29E0">
        <w:rPr>
          <w:rFonts w:cstheme="minorHAnsi"/>
          <w:sz w:val="24"/>
          <w:szCs w:val="24"/>
        </w:rPr>
        <w:t>). The tipping points were observed at 6.95 HPPD of RN non-OT staffing, 0.21 HPPD of RN OT staffing, and 2.91 HPPD non-RN staffing.</w:t>
      </w:r>
    </w:p>
    <w:p w14:paraId="398FE1BA" w14:textId="59C74510" w:rsidR="003E29E0" w:rsidRPr="003E29E0" w:rsidRDefault="003E29E0" w:rsidP="00440693">
      <w:pPr>
        <w:pStyle w:val="NoSpacing"/>
      </w:pPr>
      <w:r w:rsidRPr="003E29E0">
        <w:drawing>
          <wp:inline distT="0" distB="0" distL="0" distR="0" wp14:anchorId="5FCE487A" wp14:editId="60D4AB94">
            <wp:extent cx="4761865" cy="2724785"/>
            <wp:effectExtent l="0" t="0" r="635" b="0"/>
            <wp:docPr id="1492519466" name="Picture 1" descr="Details are in the caption following the image">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tails are in the caption following the image">
                      <a:hlinkClick r:id="rId11" tgtFrame="&quot;_blank&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61865" cy="2724785"/>
                    </a:xfrm>
                    <a:prstGeom prst="rect">
                      <a:avLst/>
                    </a:prstGeom>
                    <a:noFill/>
                    <a:ln>
                      <a:noFill/>
                    </a:ln>
                  </pic:spPr>
                </pic:pic>
              </a:graphicData>
            </a:graphic>
          </wp:inline>
        </w:drawing>
      </w:r>
    </w:p>
    <w:p w14:paraId="556D5E12" w14:textId="7456CBEB" w:rsidR="003E29E0" w:rsidRDefault="003E29E0" w:rsidP="00440693">
      <w:pPr>
        <w:pStyle w:val="NoSpacing"/>
      </w:pPr>
      <w:r w:rsidRPr="003E29E0">
        <w:rPr>
          <w:b/>
          <w:bCs/>
        </w:rPr>
        <w:t>FIGURE 1</w:t>
      </w:r>
      <w:r w:rsidR="00440693">
        <w:t xml:space="preserve"> </w:t>
      </w:r>
      <w:r w:rsidRPr="003E29E0">
        <w:t>Partial dependence plots of the relationship between nurse staffing and readmissions, the learning sample (</w:t>
      </w:r>
      <w:r w:rsidRPr="003E29E0">
        <w:rPr>
          <w:i/>
          <w:iCs/>
        </w:rPr>
        <w:t>n</w:t>
      </w:r>
      <w:r w:rsidRPr="003E29E0">
        <w:t> = 96 444). </w:t>
      </w:r>
      <w:r w:rsidRPr="003E29E0">
        <w:rPr>
          <w:i/>
          <w:iCs/>
        </w:rPr>
        <w:t>Note</w:t>
      </w:r>
      <w:r w:rsidRPr="003E29E0">
        <w:t xml:space="preserve">: For each of the staffing variables, the figure shows: (1) the PDP for the relationship between the corresponding staffing hours variable and the predicted probability of readmission (PDP, solid black curve) and the 95% confidence interval (pink sleeve); (2) the relative frequency distribution of the patient sample by nursing hours per patient day in 25 increments (gray-shaded bars); and (3) the first and third quartile of the unit-level distribution of nursing hours per patient day (dashed vertical lines) </w:t>
      </w:r>
    </w:p>
    <w:p w14:paraId="02FE6434" w14:textId="77777777" w:rsidR="00440693" w:rsidRPr="003E29E0" w:rsidRDefault="00440693" w:rsidP="003E29E0">
      <w:pPr>
        <w:rPr>
          <w:rFonts w:cstheme="minorHAnsi"/>
          <w:sz w:val="24"/>
          <w:szCs w:val="24"/>
        </w:rPr>
      </w:pPr>
    </w:p>
    <w:p w14:paraId="5FBEAA5C" w14:textId="3F2D1326" w:rsidR="003E29E0" w:rsidRPr="003E29E0" w:rsidRDefault="003E29E0" w:rsidP="003E29E0">
      <w:pPr>
        <w:rPr>
          <w:rFonts w:cstheme="minorHAnsi"/>
          <w:sz w:val="24"/>
          <w:szCs w:val="24"/>
        </w:rPr>
      </w:pPr>
      <w:r w:rsidRPr="003E29E0">
        <w:rPr>
          <w:rFonts w:cstheme="minorHAnsi"/>
          <w:sz w:val="24"/>
          <w:szCs w:val="24"/>
        </w:rPr>
        <w:t>In sensitivity analyses, the quasi-parabolic patterns were also evident: (1) in the testing data sample, supporting the robustness of the model in out-of-sample performance (</w:t>
      </w:r>
      <w:r w:rsidRPr="003E29E0">
        <w:rPr>
          <w:rFonts w:cstheme="minorHAnsi"/>
          <w:b/>
          <w:bCs/>
          <w:sz w:val="24"/>
          <w:szCs w:val="24"/>
        </w:rPr>
        <w:t>Supplemental File: Figure B</w:t>
      </w:r>
      <w:r w:rsidRPr="003E29E0">
        <w:rPr>
          <w:rFonts w:cstheme="minorHAnsi"/>
          <w:sz w:val="24"/>
          <w:szCs w:val="24"/>
        </w:rPr>
        <w:t>); (2) using restricted models that eliminated various features, reducing concerns about overfitting (</w:t>
      </w:r>
      <w:r w:rsidRPr="003E29E0">
        <w:rPr>
          <w:rFonts w:cstheme="minorHAnsi"/>
          <w:b/>
          <w:bCs/>
          <w:sz w:val="24"/>
          <w:szCs w:val="24"/>
        </w:rPr>
        <w:t>Supplemental File: Figure C</w:t>
      </w:r>
      <w:r w:rsidRPr="003E29E0">
        <w:rPr>
          <w:rFonts w:cstheme="minorHAnsi"/>
          <w:sz w:val="24"/>
          <w:szCs w:val="24"/>
        </w:rPr>
        <w:t>); (3) in a subsample of patients discharged from control units, eliminating potential confounding from the intervention (</w:t>
      </w:r>
      <w:r w:rsidRPr="003E29E0">
        <w:rPr>
          <w:rFonts w:cstheme="minorHAnsi"/>
          <w:b/>
          <w:bCs/>
          <w:sz w:val="24"/>
          <w:szCs w:val="24"/>
        </w:rPr>
        <w:t>Supplemental File: Figure D</w:t>
      </w:r>
      <w:r w:rsidRPr="003E29E0">
        <w:rPr>
          <w:rFonts w:cstheme="minorHAnsi"/>
          <w:sz w:val="24"/>
          <w:szCs w:val="24"/>
        </w:rPr>
        <w:t>); and (4) after casewise deletion, instead of imputation of missing data prior to estimation (</w:t>
      </w:r>
      <w:r w:rsidRPr="003E29E0">
        <w:rPr>
          <w:rFonts w:cstheme="minorHAnsi"/>
          <w:b/>
          <w:bCs/>
          <w:sz w:val="24"/>
          <w:szCs w:val="24"/>
        </w:rPr>
        <w:t>Supplemental File: Figure E</w:t>
      </w:r>
      <w:r w:rsidRPr="003E29E0">
        <w:rPr>
          <w:rFonts w:cstheme="minorHAnsi"/>
          <w:sz w:val="24"/>
          <w:szCs w:val="24"/>
        </w:rPr>
        <w:t>).</w:t>
      </w:r>
    </w:p>
    <w:p w14:paraId="309A72C0" w14:textId="77777777" w:rsidR="003E29E0" w:rsidRPr="003E29E0" w:rsidRDefault="003E29E0" w:rsidP="00440693">
      <w:pPr>
        <w:pStyle w:val="Heading1"/>
      </w:pPr>
      <w:r w:rsidRPr="003E29E0">
        <w:t>5 DISCUSSION</w:t>
      </w:r>
    </w:p>
    <w:p w14:paraId="3030F5BC" w14:textId="314CDF26" w:rsidR="003E29E0" w:rsidRPr="003E29E0" w:rsidRDefault="003E29E0" w:rsidP="003E29E0">
      <w:pPr>
        <w:rPr>
          <w:rFonts w:cstheme="minorHAnsi"/>
          <w:sz w:val="24"/>
          <w:szCs w:val="24"/>
        </w:rPr>
      </w:pPr>
      <w:r w:rsidRPr="003E29E0">
        <w:rPr>
          <w:rFonts w:cstheme="minorHAnsi"/>
          <w:sz w:val="24"/>
          <w:szCs w:val="24"/>
        </w:rPr>
        <w:t>In our sample of medical, surgical, and medical-surgical units in 31 US Magnet hospitals, we found that hospital readmissions are related to nurse staffing via a robust U-shaped data pattern consistent with a tipping point past which additional staffing was associated with increasing readmission rates. Adding to several prior studies reporting diminishing returns to nurse staffing,</w:t>
      </w:r>
      <w:r w:rsidRPr="003E29E0">
        <w:rPr>
          <w:rFonts w:cstheme="minorHAnsi"/>
          <w:sz w:val="24"/>
          <w:szCs w:val="24"/>
          <w:vertAlign w:val="superscript"/>
        </w:rPr>
        <w:t>7, 9, 12-15</w:t>
      </w:r>
      <w:r w:rsidRPr="003E29E0">
        <w:rPr>
          <w:rFonts w:cstheme="minorHAnsi"/>
          <w:sz w:val="24"/>
          <w:szCs w:val="24"/>
        </w:rPr>
        <w:t> our findings suggest that when it comes to optimizing delivery of care for maximum outcomes, a “more is better” approach may not be a universally applicable principle to guide organizations in workforce planning.</w:t>
      </w:r>
    </w:p>
    <w:p w14:paraId="614FF9CC" w14:textId="177553FA" w:rsidR="003E29E0" w:rsidRPr="003E29E0" w:rsidRDefault="003E29E0" w:rsidP="003E29E0">
      <w:pPr>
        <w:rPr>
          <w:rFonts w:cstheme="minorHAnsi"/>
          <w:sz w:val="24"/>
          <w:szCs w:val="24"/>
        </w:rPr>
      </w:pPr>
      <w:r w:rsidRPr="003E29E0">
        <w:rPr>
          <w:rFonts w:cstheme="minorHAnsi"/>
          <w:sz w:val="24"/>
          <w:szCs w:val="24"/>
        </w:rPr>
        <w:t>From the lens of the economic theory of production, the observed U-shaped relationship between staffing and readmissions can be explained by the law of diminishing returns.</w:t>
      </w:r>
      <w:r w:rsidRPr="003E29E0">
        <w:rPr>
          <w:rFonts w:cstheme="minorHAnsi"/>
          <w:sz w:val="24"/>
          <w:szCs w:val="24"/>
          <w:vertAlign w:val="superscript"/>
        </w:rPr>
        <w:t>19, 29</w:t>
      </w:r>
      <w:r w:rsidRPr="003E29E0">
        <w:rPr>
          <w:rFonts w:cstheme="minorHAnsi"/>
          <w:sz w:val="24"/>
          <w:szCs w:val="24"/>
        </w:rPr>
        <w:t> It states that the production of additional output will decrease as more of a single factor of production (e.g., nursing labor) is incrementally added while the amounts of all other factors (other types of labor and capital) and technology stay the same. The law of diminishing returns is a direct derivative from the economic theory of production because the contribution of any one input, such as labor, depends on the amounts of the other inputs and technology; adding more labor alone, without simultaneously increasing the levels of the other inputs or improving technology, will eventually diminish the productivity (or returns) of labor. For example, as more autoworkers are hired by an automobile manufacturer, without also modifying the production floor for safety, installing additional equipment, and hiring more training and management personnel, the productivity of the expanding workforce will eventually decline.</w:t>
      </w:r>
    </w:p>
    <w:p w14:paraId="542EF268" w14:textId="1FB5F917" w:rsidR="003E29E0" w:rsidRPr="003E29E0" w:rsidRDefault="003E29E0" w:rsidP="003E29E0">
      <w:pPr>
        <w:rPr>
          <w:rFonts w:cstheme="minorHAnsi"/>
          <w:sz w:val="24"/>
          <w:szCs w:val="24"/>
        </w:rPr>
      </w:pPr>
      <w:r w:rsidRPr="003E29E0">
        <w:rPr>
          <w:rFonts w:cstheme="minorHAnsi"/>
          <w:sz w:val="24"/>
          <w:szCs w:val="24"/>
        </w:rPr>
        <w:t>Applied to nursing, the law of diminishing returns predicts that increasing a nursing unit's staff will lead to initial performance gains. Eventually, however, economic theory predicts that, without additional investments in all relevant structural factors that enable the delivery of high-quality care by nurses, adding more nursing hours alone will, first, reduce, then eliminate, and may eventually even reverse the initial productivity gains. One explanation could be what Needleman and Shekelle (2019) called “the diffusion of effort and responsibility”</w:t>
      </w:r>
      <w:r w:rsidRPr="003E29E0">
        <w:rPr>
          <w:rFonts w:cstheme="minorHAnsi"/>
          <w:sz w:val="24"/>
          <w:szCs w:val="24"/>
          <w:vertAlign w:val="superscript"/>
        </w:rPr>
        <w:t>16</w:t>
      </w:r>
      <w:r w:rsidRPr="003E29E0">
        <w:rPr>
          <w:rFonts w:cstheme="minorHAnsi"/>
          <w:sz w:val="24"/>
          <w:szCs w:val="24"/>
        </w:rPr>
        <w:t>—simply increasing the number of direct care nurses may lead to missed, duplicative, or low-value nursing care that fails to improve and may even worsen outcomes.</w:t>
      </w:r>
      <w:r w:rsidRPr="003E29E0">
        <w:rPr>
          <w:rFonts w:cstheme="minorHAnsi"/>
          <w:sz w:val="24"/>
          <w:szCs w:val="24"/>
          <w:vertAlign w:val="superscript"/>
        </w:rPr>
        <w:t>30, 31</w:t>
      </w:r>
      <w:r w:rsidRPr="003E29E0">
        <w:rPr>
          <w:rFonts w:cstheme="minorHAnsi"/>
          <w:sz w:val="24"/>
          <w:szCs w:val="24"/>
        </w:rPr>
        <w:t> Specific to readmissions, diffusion of effort and responsibility may manifest itself as poor nurse–patient communication during discharge planning, coordination, and teaching,</w:t>
      </w:r>
      <w:r w:rsidRPr="003E29E0">
        <w:rPr>
          <w:rFonts w:cstheme="minorHAnsi"/>
          <w:sz w:val="24"/>
          <w:szCs w:val="24"/>
          <w:vertAlign w:val="superscript"/>
        </w:rPr>
        <w:t>12</w:t>
      </w:r>
      <w:r w:rsidRPr="003E29E0">
        <w:rPr>
          <w:rFonts w:cstheme="minorHAnsi"/>
          <w:sz w:val="24"/>
          <w:szCs w:val="24"/>
        </w:rPr>
        <w:t> thus inhibiting a successful patient transition from hospital to home and increasing readmissions.</w:t>
      </w:r>
      <w:r w:rsidRPr="003E29E0">
        <w:rPr>
          <w:rFonts w:cstheme="minorHAnsi"/>
          <w:sz w:val="24"/>
          <w:szCs w:val="24"/>
          <w:vertAlign w:val="superscript"/>
        </w:rPr>
        <w:t>32</w:t>
      </w:r>
      <w:r w:rsidRPr="003E29E0">
        <w:rPr>
          <w:rFonts w:cstheme="minorHAnsi"/>
          <w:sz w:val="24"/>
          <w:szCs w:val="24"/>
        </w:rPr>
        <w:t> This conceptual framework and our results align with the previous studies showing tapering off and a U-shaped relationship between nurse staffing and adverse patient outcomes.</w:t>
      </w:r>
      <w:r w:rsidRPr="003E29E0">
        <w:rPr>
          <w:rFonts w:cstheme="minorHAnsi"/>
          <w:sz w:val="24"/>
          <w:szCs w:val="24"/>
          <w:vertAlign w:val="superscript"/>
        </w:rPr>
        <w:t>7, 12-15</w:t>
      </w:r>
    </w:p>
    <w:p w14:paraId="28165DD1" w14:textId="0B98F0FB" w:rsidR="003E29E0" w:rsidRPr="003E29E0" w:rsidRDefault="003E29E0" w:rsidP="003E29E0">
      <w:pPr>
        <w:rPr>
          <w:rFonts w:cstheme="minorHAnsi"/>
          <w:sz w:val="24"/>
          <w:szCs w:val="24"/>
        </w:rPr>
      </w:pPr>
      <w:r w:rsidRPr="003E29E0">
        <w:rPr>
          <w:rFonts w:cstheme="minorHAnsi"/>
          <w:sz w:val="24"/>
          <w:szCs w:val="24"/>
        </w:rPr>
        <w:t>The downward-trending part of the U-shape is consistent with a large body of staffing literature reporting lower rates of readmission and other adverse outcomes with increasing RN staffing.</w:t>
      </w:r>
      <w:r w:rsidRPr="003E29E0">
        <w:rPr>
          <w:rFonts w:cstheme="minorHAnsi"/>
          <w:sz w:val="24"/>
          <w:szCs w:val="24"/>
          <w:vertAlign w:val="superscript"/>
        </w:rPr>
        <w:t>1-11</w:t>
      </w:r>
      <w:r w:rsidRPr="003E29E0">
        <w:rPr>
          <w:rFonts w:cstheme="minorHAnsi"/>
          <w:sz w:val="24"/>
          <w:szCs w:val="24"/>
        </w:rPr>
        <w:t> Higher nurse staffing and lower patient–nurse ratios can afford more direct nursing care time for assessment of patients' readiness for discharge, discharge teaching, and discharge coordination, thus reducing risk of readmission.</w:t>
      </w:r>
      <w:r w:rsidRPr="003E29E0">
        <w:rPr>
          <w:rFonts w:cstheme="minorHAnsi"/>
          <w:sz w:val="24"/>
          <w:szCs w:val="24"/>
          <w:vertAlign w:val="superscript"/>
        </w:rPr>
        <w:t>32</w:t>
      </w:r>
      <w:r w:rsidRPr="003E29E0">
        <w:rPr>
          <w:rFonts w:cstheme="minorHAnsi"/>
          <w:sz w:val="24"/>
          <w:szCs w:val="24"/>
        </w:rPr>
        <w:t> Higher nurse staffing can also contribute to reducing readmissions indirectly, by affording more time for professional development and unit-based nursing governance, which can improve nurse job satisfaction and reduce burnout and turnover.</w:t>
      </w:r>
      <w:r w:rsidRPr="003E29E0">
        <w:rPr>
          <w:rFonts w:cstheme="minorHAnsi"/>
          <w:sz w:val="24"/>
          <w:szCs w:val="24"/>
          <w:vertAlign w:val="superscript"/>
        </w:rPr>
        <w:t>33, 34</w:t>
      </w:r>
      <w:r w:rsidRPr="003E29E0">
        <w:rPr>
          <w:rFonts w:cstheme="minorHAnsi"/>
          <w:sz w:val="24"/>
          <w:szCs w:val="24"/>
        </w:rPr>
        <w:t> For units with nurse staffing levels below their tipping point, retention and recruitment of a larger unit nurse workforce can be foundational to reducing readmissions.</w:t>
      </w:r>
    </w:p>
    <w:p w14:paraId="7D19F330" w14:textId="77777777" w:rsidR="003E29E0" w:rsidRPr="003E29E0" w:rsidRDefault="003E29E0" w:rsidP="003E29E0">
      <w:pPr>
        <w:rPr>
          <w:rFonts w:cstheme="minorHAnsi"/>
          <w:sz w:val="24"/>
          <w:szCs w:val="24"/>
        </w:rPr>
      </w:pPr>
      <w:r w:rsidRPr="003E29E0">
        <w:rPr>
          <w:rFonts w:cstheme="minorHAnsi"/>
          <w:sz w:val="24"/>
          <w:szCs w:val="24"/>
        </w:rPr>
        <w:t>It is important, however, not to wrongfully infer that the observed tipping point is the 'optimal' staffing point for benchmarking unit staffing levels; nor does our study imply that relatively well-staffed units, those on the upward sloping part of the U-shaped pattern, should be cutting back on nurse staffing. Firstly, our observational study design limits causal interpretation of our findings. More importantly, though, is to understand that, even if our findings truly reflect a causal diminishing returns relationship, the tipping point would occur, theoretically, only when the organization fails to deploy other structural resources to support a larger nursing staff, thus effectively resulting in an inefficient substitution of nurse staffing for other hospital inputs (commonly known as “plugging a hole”). Therefore, to derive continuing productivity gains from nurse staffing, well-staffed organizations should be not reducing nursing staff, but instead increasing investments in other structural variables (factors of production and technology) that enable nurses to deliver high-quality discharge care. Depending on the context of each specific organization, these may include an increased supply of labor (e.g., shift managers or discharge coordinators, planners, flow coordinators, expeditors), capital (e.g., an EHR system with capacity for real-time aggregation of discharge-relevant information from multiple entry points), or technology (e.g., implementation of new organizational processes to improve communication and care coordination, such as interdisciplinary team discharge rounds). Currently, little is known about various organizational approaches to preventing and reversing diminishing returns; this area of future research presents an exciting new opportunity for informing continued outcomes improvement in already well-performing organizations.</w:t>
      </w:r>
    </w:p>
    <w:p w14:paraId="67937797" w14:textId="77777777" w:rsidR="003E29E0" w:rsidRPr="003E29E0" w:rsidRDefault="003E29E0" w:rsidP="003E29E0">
      <w:pPr>
        <w:rPr>
          <w:rFonts w:cstheme="minorHAnsi"/>
          <w:sz w:val="24"/>
          <w:szCs w:val="24"/>
        </w:rPr>
      </w:pPr>
      <w:r w:rsidRPr="003E29E0">
        <w:rPr>
          <w:rFonts w:cstheme="minorHAnsi"/>
          <w:sz w:val="24"/>
          <w:szCs w:val="24"/>
        </w:rPr>
        <w:t>Our study was one of the first to examine the importance of nurse staffing with other structural and patient variables interacting in a complex nonparametric model. Not surprisingly, patient characteristics were the most important predictors of patient readmission risk in our study. However, nurse HPPD had the highest predictive association among most other structural factors, including nurse skill mix, education, experience and expertise, and hospital- and unit-specific discharge care variables. While a patient's risk of readmission attributable to patient-specific factors may be difficult to identify and modify, nurse staffing strategies are well within an organization's domain of influence and should continue to be a focus of organizational outcomes improvement efforts.</w:t>
      </w:r>
    </w:p>
    <w:p w14:paraId="1F5FBF23" w14:textId="2D8482DA" w:rsidR="003E29E0" w:rsidRPr="003E29E0" w:rsidRDefault="003E29E0" w:rsidP="003E29E0">
      <w:pPr>
        <w:rPr>
          <w:rFonts w:cstheme="minorHAnsi"/>
          <w:sz w:val="24"/>
          <w:szCs w:val="24"/>
        </w:rPr>
      </w:pPr>
      <w:r w:rsidRPr="003E29E0">
        <w:rPr>
          <w:rFonts w:cstheme="minorHAnsi"/>
          <w:sz w:val="24"/>
          <w:szCs w:val="24"/>
        </w:rPr>
        <w:t>Our study was the first to apply ML methods to study nurse staffing and readmissions. To date, empirical studies of the relationship between nurse staffing and patient outcomes (including readmissions) have been performed using a parametric regression analysis approach, which requires the regression equation to be chosen by the researcher prior to estimation process. Parametric regression binds the data to a preconceived (by the researcher) notion of the relationship, then finds the coefficients, or parameter estimates, that best support the a priori chosen equation in a given set of data. Previous studies that reported diminishing returns to nurse staffing were designed a priori to look for particular nonlinear shapes: a piecewise linear regression (ie, a “V”)</w:t>
      </w:r>
      <w:r w:rsidRPr="003E29E0">
        <w:rPr>
          <w:rFonts w:cstheme="minorHAnsi"/>
          <w:sz w:val="24"/>
          <w:szCs w:val="24"/>
          <w:vertAlign w:val="superscript"/>
        </w:rPr>
        <w:t>13</w:t>
      </w:r>
      <w:r w:rsidRPr="003E29E0">
        <w:rPr>
          <w:rFonts w:cstheme="minorHAnsi"/>
          <w:sz w:val="24"/>
          <w:szCs w:val="24"/>
        </w:rPr>
        <w:t> and a higher-order polynomial for staffing (ie, a “U”).</w:t>
      </w:r>
      <w:r w:rsidRPr="003E29E0">
        <w:rPr>
          <w:rFonts w:cstheme="minorHAnsi"/>
          <w:sz w:val="24"/>
          <w:szCs w:val="24"/>
          <w:vertAlign w:val="superscript"/>
        </w:rPr>
        <w:t>7, 12, 14</w:t>
      </w:r>
      <w:r w:rsidRPr="003E29E0">
        <w:rPr>
          <w:rFonts w:cstheme="minorHAnsi"/>
          <w:sz w:val="24"/>
          <w:szCs w:val="24"/>
        </w:rPr>
        <w:t> Once chosen, the parametric methods in these studies were only able to confirm or reject the shape specified a priori by the researchers but unable to reveal any other data patterns. By not constraining our data to any functional form prior to estimation, our findings provide further credence to the idea that the previously reported U-shapes were likely real and not an artifact of the previously selected parametrizations. Interestingly, when we attempted to replicate the previously used parametric approaches in our data (</w:t>
      </w:r>
      <w:r w:rsidRPr="003E29E0">
        <w:rPr>
          <w:rFonts w:cstheme="minorHAnsi"/>
          <w:b/>
          <w:bCs/>
          <w:sz w:val="24"/>
          <w:szCs w:val="24"/>
        </w:rPr>
        <w:t>Supplemental File: Figures F1-F3</w:t>
      </w:r>
      <w:r w:rsidRPr="003E29E0">
        <w:rPr>
          <w:rFonts w:cstheme="minorHAnsi"/>
          <w:sz w:val="24"/>
          <w:szCs w:val="24"/>
        </w:rPr>
        <w:t>), there was little agreement regarding the shape of the pattern between methods and types of nurse staffing. One explanation is the possibility that the underlying empirical pattern in our data was not consistent with either a cubic or a linear spline model, resulting in poor fit. The other possibility lies in the different ways that parametric regression and ML methods form predictions—while traditional regression models calculate predictions by setting all over covariates at their means, ML predictions are simulated while keeping other covariates at their observed values.</w:t>
      </w:r>
      <w:r w:rsidRPr="003E29E0">
        <w:rPr>
          <w:rFonts w:cstheme="minorHAnsi"/>
          <w:sz w:val="24"/>
          <w:szCs w:val="24"/>
          <w:vertAlign w:val="superscript"/>
        </w:rPr>
        <w:t>23</w:t>
      </w:r>
      <w:r w:rsidRPr="003E29E0">
        <w:rPr>
          <w:rFonts w:cstheme="minorHAnsi"/>
          <w:sz w:val="24"/>
          <w:szCs w:val="24"/>
        </w:rPr>
        <w:t> The relative performance of ML methods versus parametric and semi-parametric (e.g., quantile and fixed effects) regression should be examined in future studies.</w:t>
      </w:r>
    </w:p>
    <w:p w14:paraId="37346F0B" w14:textId="14E8A206" w:rsidR="003E29E0" w:rsidRPr="003E29E0" w:rsidRDefault="003E29E0" w:rsidP="003E29E0">
      <w:pPr>
        <w:rPr>
          <w:rFonts w:cstheme="minorHAnsi"/>
          <w:sz w:val="24"/>
          <w:szCs w:val="24"/>
        </w:rPr>
      </w:pPr>
      <w:r w:rsidRPr="003E29E0">
        <w:rPr>
          <w:rFonts w:cstheme="minorHAnsi"/>
          <w:sz w:val="24"/>
          <w:szCs w:val="24"/>
        </w:rPr>
        <w:t>Our study had a number of limitations. First, like all observational studies, our study is subject to confounding from unobserved variables and potential reverse causality. Although our study used one of the largest, richest sources of data collected specifically for analysis of readmissions in a structure-process-outcomes framework, and although the findings are robust across samples and in models with different sets of features in sensitivity analyses, our study design does not allow for causal interpretation. Second, although the READI intervention was modeled in our analysis as a unit-specific technology variable (similarly to how we accounted for all other hospital and unit discharge practices) and although our findings are robust in a subsample of patients discharged from control units in sensitivity analyses, it is difficult to know for sure to what extent our results apply to an intervention-independent sample. Third, although our sample has similar nurse staffing levels</w:t>
      </w:r>
      <w:r w:rsidRPr="003E29E0">
        <w:rPr>
          <w:rFonts w:cstheme="minorHAnsi"/>
          <w:sz w:val="24"/>
          <w:szCs w:val="24"/>
          <w:vertAlign w:val="superscript"/>
        </w:rPr>
        <w:t>35, 36</w:t>
      </w:r>
      <w:r w:rsidRPr="003E29E0">
        <w:rPr>
          <w:rFonts w:cstheme="minorHAnsi"/>
          <w:sz w:val="24"/>
          <w:szCs w:val="24"/>
        </w:rPr>
        <w:t> and readmission rates</w:t>
      </w:r>
      <w:r w:rsidRPr="003E29E0">
        <w:rPr>
          <w:rFonts w:cstheme="minorHAnsi"/>
          <w:sz w:val="24"/>
          <w:szCs w:val="24"/>
          <w:vertAlign w:val="superscript"/>
        </w:rPr>
        <w:t>37</w:t>
      </w:r>
      <w:r w:rsidRPr="003E29E0">
        <w:rPr>
          <w:rFonts w:cstheme="minorHAnsi"/>
          <w:sz w:val="24"/>
          <w:szCs w:val="24"/>
        </w:rPr>
        <w:t> to national studies of US hospitals (including Magnet hospitals</w:t>
      </w:r>
      <w:r w:rsidRPr="003E29E0">
        <w:rPr>
          <w:rFonts w:cstheme="minorHAnsi"/>
          <w:sz w:val="24"/>
          <w:szCs w:val="24"/>
          <w:vertAlign w:val="superscript"/>
        </w:rPr>
        <w:t>36</w:t>
      </w:r>
      <w:r w:rsidRPr="003E29E0">
        <w:rPr>
          <w:rFonts w:cstheme="minorHAnsi"/>
          <w:sz w:val="24"/>
          <w:szCs w:val="24"/>
        </w:rPr>
        <w:t>), in general, Magnet hospitals tend to be larger, have higher levels of nurse staffing, invest more in nurse staff development and education, and deliver higher-quality care including discharge care,</w:t>
      </w:r>
      <w:r w:rsidRPr="003E29E0">
        <w:rPr>
          <w:rFonts w:cstheme="minorHAnsi"/>
          <w:sz w:val="24"/>
          <w:szCs w:val="24"/>
          <w:vertAlign w:val="superscript"/>
        </w:rPr>
        <w:t>36, 38-40</w:t>
      </w:r>
      <w:r w:rsidRPr="003E29E0">
        <w:rPr>
          <w:rFonts w:cstheme="minorHAnsi"/>
          <w:sz w:val="24"/>
          <w:szCs w:val="24"/>
        </w:rPr>
        <w:t> further limiting the generalizability of our findings. Fourth, we estimated the overall association of staffing with readmissions across 31 hospitals. Even though the actual tipping points in HPPD are likely context and patient-population specific, the ML method we demonstrated can be applied across contexts. Fifth, we only examined a single patient outcome—readmission; further research is needed to test whether these findings are equally true for other outcomes. Last, we studied three nurse staffing variables (RN non-OT HPPD, RN OT HPPD, and non-RN HPPD) separately, and the association of each with readmissions was obtained holding the other two constant. Future studies should examine nurse staffing variables as dynamic and interdependent to fully understand the optimal staffing strategy to produce desired patient outcomes.</w:t>
      </w:r>
    </w:p>
    <w:p w14:paraId="7194BDDA" w14:textId="77777777" w:rsidR="003E29E0" w:rsidRPr="003E29E0" w:rsidRDefault="003E29E0" w:rsidP="00440693">
      <w:pPr>
        <w:pStyle w:val="Heading1"/>
      </w:pPr>
      <w:r w:rsidRPr="003E29E0">
        <w:t>6 CONCLUSION</w:t>
      </w:r>
    </w:p>
    <w:p w14:paraId="7244519F" w14:textId="77777777" w:rsidR="003E29E0" w:rsidRPr="003E29E0" w:rsidRDefault="003E29E0" w:rsidP="003E29E0">
      <w:pPr>
        <w:rPr>
          <w:rFonts w:cstheme="minorHAnsi"/>
          <w:sz w:val="24"/>
          <w:szCs w:val="24"/>
        </w:rPr>
      </w:pPr>
      <w:r w:rsidRPr="003E29E0">
        <w:rPr>
          <w:rFonts w:cstheme="minorHAnsi"/>
          <w:sz w:val="24"/>
          <w:szCs w:val="24"/>
        </w:rPr>
        <w:t>While the idea of diminishing returns to labor is intuitive to most economists, it has not yet influenced health care policy makers or administrators who tend to subscribe to a linear “more is better” thinking. Our findings suggest that increasing nurse staffing alone may not always yield continuing improvements in readmissions; after a point, accompanying investments in infrastructure and other resources may be needed to support further nurse performance improvement and outcome gains. In complex health care delivery systems where relationships among staffing variables and patient outcomes are interdependent, subject to organization-specific factors, and are not directly observed, ML methods may offer an advantage of exposing the tipping point and informing proactive organizational action to support continued high returns from nurse staffing to patient outcomes.</w:t>
      </w:r>
    </w:p>
    <w:p w14:paraId="41FC43A9" w14:textId="77777777" w:rsidR="003E29E0" w:rsidRPr="003E29E0" w:rsidRDefault="003E29E0" w:rsidP="00440693">
      <w:pPr>
        <w:pStyle w:val="Heading1"/>
      </w:pPr>
      <w:r w:rsidRPr="003E29E0">
        <w:t>ACKNOWLEDGMENTS</w:t>
      </w:r>
    </w:p>
    <w:p w14:paraId="05BC90D3" w14:textId="77777777" w:rsidR="003E29E0" w:rsidRPr="003E29E0" w:rsidRDefault="003E29E0" w:rsidP="003E29E0">
      <w:pPr>
        <w:rPr>
          <w:rFonts w:cstheme="minorHAnsi"/>
          <w:sz w:val="24"/>
          <w:szCs w:val="24"/>
        </w:rPr>
      </w:pPr>
      <w:r w:rsidRPr="003E29E0">
        <w:rPr>
          <w:rFonts w:cstheme="minorHAnsi"/>
          <w:sz w:val="24"/>
          <w:szCs w:val="24"/>
        </w:rPr>
        <w:t>The READI study, the data source for this study, was funded by the American Nurse Credentialing Center (ANCC) following a competitive application process. Participating hospitals paid a fee to the ANCC to participate. The ANCC had no role in the design and conduct of the present study; collection, management, analysis, and interpretation of the data; preparation, review, or approval of the manuscript; and decision to submit the manuscript for publication.</w:t>
      </w:r>
    </w:p>
    <w:p w14:paraId="3772299E" w14:textId="77777777" w:rsidR="003E29E0" w:rsidRPr="003E29E0" w:rsidRDefault="003E29E0" w:rsidP="00440693">
      <w:pPr>
        <w:pStyle w:val="Heading1"/>
      </w:pPr>
      <w:r w:rsidRPr="003E29E0">
        <w:t>REFERENCES</w:t>
      </w:r>
    </w:p>
    <w:p w14:paraId="39EF4036" w14:textId="2FA71A92" w:rsidR="006133CD" w:rsidRPr="00440693" w:rsidRDefault="006133CD" w:rsidP="00440693">
      <w:pPr>
        <w:pStyle w:val="NoSpacing"/>
        <w:ind w:left="720" w:hanging="720"/>
        <w:rPr>
          <w:sz w:val="24"/>
          <w:szCs w:val="24"/>
        </w:rPr>
      </w:pPr>
      <w:r w:rsidRPr="00440693">
        <w:rPr>
          <w:sz w:val="24"/>
          <w:szCs w:val="24"/>
        </w:rPr>
        <w:t>1</w:t>
      </w:r>
      <w:r w:rsidR="00440693">
        <w:rPr>
          <w:sz w:val="24"/>
          <w:szCs w:val="24"/>
        </w:rPr>
        <w:t xml:space="preserve"> </w:t>
      </w:r>
      <w:r w:rsidRPr="00440693">
        <w:rPr>
          <w:sz w:val="24"/>
          <w:szCs w:val="24"/>
        </w:rPr>
        <w:t>Giuliano KK, Danesh V, Funk M. The relationship between nurse staffing and 30-day readmission for adults with heart failure. </w:t>
      </w:r>
      <w:r w:rsidRPr="00440693">
        <w:rPr>
          <w:i/>
          <w:iCs/>
          <w:sz w:val="24"/>
          <w:szCs w:val="24"/>
        </w:rPr>
        <w:t>J Nurs Adm</w:t>
      </w:r>
      <w:r w:rsidRPr="00440693">
        <w:rPr>
          <w:sz w:val="24"/>
          <w:szCs w:val="24"/>
        </w:rPr>
        <w:t>. 2016; </w:t>
      </w:r>
      <w:r w:rsidRPr="00440693">
        <w:rPr>
          <w:b/>
          <w:bCs/>
          <w:sz w:val="24"/>
          <w:szCs w:val="24"/>
        </w:rPr>
        <w:t>46</w:t>
      </w:r>
      <w:r w:rsidRPr="00440693">
        <w:rPr>
          <w:sz w:val="24"/>
          <w:szCs w:val="24"/>
        </w:rPr>
        <w:t>(1): 25- 29.</w:t>
      </w:r>
    </w:p>
    <w:p w14:paraId="6252ABEF" w14:textId="38B330B3" w:rsidR="006133CD" w:rsidRPr="00440693" w:rsidRDefault="006133CD" w:rsidP="00440693">
      <w:pPr>
        <w:pStyle w:val="NoSpacing"/>
        <w:ind w:left="720" w:hanging="720"/>
        <w:rPr>
          <w:sz w:val="24"/>
          <w:szCs w:val="24"/>
        </w:rPr>
      </w:pPr>
      <w:r w:rsidRPr="00440693">
        <w:rPr>
          <w:sz w:val="24"/>
          <w:szCs w:val="24"/>
        </w:rPr>
        <w:t>2</w:t>
      </w:r>
      <w:r w:rsidR="00440693">
        <w:rPr>
          <w:sz w:val="24"/>
          <w:szCs w:val="24"/>
        </w:rPr>
        <w:t xml:space="preserve"> </w:t>
      </w:r>
      <w:r w:rsidRPr="00440693">
        <w:rPr>
          <w:sz w:val="24"/>
          <w:szCs w:val="24"/>
        </w:rPr>
        <w:t>McHugh M, Ma C. Hospital nursing and 30-day readmissions among Medicare patients with heart failure, acute myocardial infarction, and pneumonia. </w:t>
      </w:r>
      <w:r w:rsidRPr="00440693">
        <w:rPr>
          <w:i/>
          <w:iCs/>
          <w:sz w:val="24"/>
          <w:szCs w:val="24"/>
        </w:rPr>
        <w:t>J Nurs Adm</w:t>
      </w:r>
      <w:r w:rsidRPr="00440693">
        <w:rPr>
          <w:sz w:val="24"/>
          <w:szCs w:val="24"/>
        </w:rPr>
        <w:t>. 2013; </w:t>
      </w:r>
      <w:r w:rsidRPr="00440693">
        <w:rPr>
          <w:b/>
          <w:bCs/>
          <w:sz w:val="24"/>
          <w:szCs w:val="24"/>
        </w:rPr>
        <w:t>43</w:t>
      </w:r>
      <w:r w:rsidRPr="00440693">
        <w:rPr>
          <w:sz w:val="24"/>
          <w:szCs w:val="24"/>
        </w:rPr>
        <w:t>(10 suppl): S11- S18.</w:t>
      </w:r>
    </w:p>
    <w:p w14:paraId="7825120F" w14:textId="4D601ED0" w:rsidR="006133CD" w:rsidRPr="00440693" w:rsidRDefault="006133CD" w:rsidP="00440693">
      <w:pPr>
        <w:pStyle w:val="NoSpacing"/>
        <w:ind w:left="720" w:hanging="720"/>
        <w:rPr>
          <w:sz w:val="24"/>
          <w:szCs w:val="24"/>
        </w:rPr>
      </w:pPr>
      <w:r w:rsidRPr="00440693">
        <w:rPr>
          <w:sz w:val="24"/>
          <w:szCs w:val="24"/>
        </w:rPr>
        <w:t>3</w:t>
      </w:r>
      <w:r w:rsidR="00440693">
        <w:rPr>
          <w:sz w:val="24"/>
          <w:szCs w:val="24"/>
        </w:rPr>
        <w:t xml:space="preserve"> </w:t>
      </w:r>
      <w:r w:rsidRPr="00440693">
        <w:rPr>
          <w:sz w:val="24"/>
          <w:szCs w:val="24"/>
        </w:rPr>
        <w:t>Weiss ME, Yakusheva O, Bobay KL. Quality and cost analysis of nurse staffing, discharge preparation, and postdischarge utilization. </w:t>
      </w:r>
      <w:r w:rsidRPr="00440693">
        <w:rPr>
          <w:i/>
          <w:iCs/>
          <w:sz w:val="24"/>
          <w:szCs w:val="24"/>
        </w:rPr>
        <w:t>Health Serv Res</w:t>
      </w:r>
      <w:r w:rsidRPr="00440693">
        <w:rPr>
          <w:sz w:val="24"/>
          <w:szCs w:val="24"/>
        </w:rPr>
        <w:t>. 2011; </w:t>
      </w:r>
      <w:r w:rsidRPr="00440693">
        <w:rPr>
          <w:b/>
          <w:bCs/>
          <w:sz w:val="24"/>
          <w:szCs w:val="24"/>
        </w:rPr>
        <w:t>46</w:t>
      </w:r>
      <w:r w:rsidRPr="00440693">
        <w:rPr>
          <w:sz w:val="24"/>
          <w:szCs w:val="24"/>
        </w:rPr>
        <w:t>(5): 1473- 1494.</w:t>
      </w:r>
    </w:p>
    <w:p w14:paraId="42084B83" w14:textId="7B8AFEF4" w:rsidR="006133CD" w:rsidRPr="00440693" w:rsidRDefault="006133CD" w:rsidP="00440693">
      <w:pPr>
        <w:pStyle w:val="NoSpacing"/>
        <w:ind w:left="720" w:hanging="720"/>
        <w:rPr>
          <w:sz w:val="24"/>
          <w:szCs w:val="24"/>
        </w:rPr>
      </w:pPr>
      <w:r w:rsidRPr="00440693">
        <w:rPr>
          <w:sz w:val="24"/>
          <w:szCs w:val="24"/>
        </w:rPr>
        <w:t>4</w:t>
      </w:r>
      <w:r w:rsidR="00440693">
        <w:rPr>
          <w:sz w:val="24"/>
          <w:szCs w:val="24"/>
        </w:rPr>
        <w:t xml:space="preserve"> </w:t>
      </w:r>
      <w:r w:rsidRPr="00440693">
        <w:rPr>
          <w:sz w:val="24"/>
          <w:szCs w:val="24"/>
        </w:rPr>
        <w:t>McHugh MD, Berez J, Small DS. Hospitals with higher nurse staffing had lower odds of readmissions penalties than hospitals with lower staffing. </w:t>
      </w:r>
      <w:r w:rsidRPr="00440693">
        <w:rPr>
          <w:i/>
          <w:iCs/>
          <w:sz w:val="24"/>
          <w:szCs w:val="24"/>
        </w:rPr>
        <w:t>Health Aff (Millwood)</w:t>
      </w:r>
      <w:r w:rsidRPr="00440693">
        <w:rPr>
          <w:sz w:val="24"/>
          <w:szCs w:val="24"/>
        </w:rPr>
        <w:t>. 2013; </w:t>
      </w:r>
      <w:r w:rsidRPr="00440693">
        <w:rPr>
          <w:b/>
          <w:bCs/>
          <w:sz w:val="24"/>
          <w:szCs w:val="24"/>
        </w:rPr>
        <w:t>32</w:t>
      </w:r>
      <w:r w:rsidRPr="00440693">
        <w:rPr>
          <w:sz w:val="24"/>
          <w:szCs w:val="24"/>
        </w:rPr>
        <w:t>(10): 1740- 1747.</w:t>
      </w:r>
    </w:p>
    <w:p w14:paraId="18A5D569" w14:textId="1E63DE57" w:rsidR="006133CD" w:rsidRPr="00440693" w:rsidRDefault="006133CD" w:rsidP="00440693">
      <w:pPr>
        <w:pStyle w:val="NoSpacing"/>
        <w:ind w:left="720" w:hanging="720"/>
        <w:rPr>
          <w:sz w:val="24"/>
          <w:szCs w:val="24"/>
        </w:rPr>
      </w:pPr>
      <w:r w:rsidRPr="00440693">
        <w:rPr>
          <w:sz w:val="24"/>
          <w:szCs w:val="24"/>
        </w:rPr>
        <w:t>5</w:t>
      </w:r>
      <w:r w:rsidR="00440693">
        <w:rPr>
          <w:sz w:val="24"/>
          <w:szCs w:val="24"/>
        </w:rPr>
        <w:t xml:space="preserve"> </w:t>
      </w:r>
      <w:r w:rsidRPr="00440693">
        <w:rPr>
          <w:sz w:val="24"/>
          <w:szCs w:val="24"/>
        </w:rPr>
        <w:t>Aiken LH, Clarke SP, Sloane DM, Sochalski J, Silber JH. Hospital nurse staffing and patient mortality, nurse burnout, and job dissatisfaction. </w:t>
      </w:r>
      <w:r w:rsidRPr="00440693">
        <w:rPr>
          <w:i/>
          <w:iCs/>
          <w:sz w:val="24"/>
          <w:szCs w:val="24"/>
        </w:rPr>
        <w:t>JAMA</w:t>
      </w:r>
      <w:r w:rsidRPr="00440693">
        <w:rPr>
          <w:sz w:val="24"/>
          <w:szCs w:val="24"/>
        </w:rPr>
        <w:t>. 2002; </w:t>
      </w:r>
      <w:r w:rsidRPr="00440693">
        <w:rPr>
          <w:b/>
          <w:bCs/>
          <w:sz w:val="24"/>
          <w:szCs w:val="24"/>
        </w:rPr>
        <w:t>288</w:t>
      </w:r>
      <w:r w:rsidRPr="00440693">
        <w:rPr>
          <w:sz w:val="24"/>
          <w:szCs w:val="24"/>
        </w:rPr>
        <w:t>(16): 1987- 1993.</w:t>
      </w:r>
    </w:p>
    <w:p w14:paraId="175D478E" w14:textId="78556148" w:rsidR="006133CD" w:rsidRPr="00440693" w:rsidRDefault="006133CD" w:rsidP="00440693">
      <w:pPr>
        <w:pStyle w:val="NoSpacing"/>
        <w:ind w:left="720" w:hanging="720"/>
        <w:rPr>
          <w:sz w:val="24"/>
          <w:szCs w:val="24"/>
        </w:rPr>
      </w:pPr>
      <w:r w:rsidRPr="00440693">
        <w:rPr>
          <w:sz w:val="24"/>
          <w:szCs w:val="24"/>
        </w:rPr>
        <w:t>6</w:t>
      </w:r>
      <w:r w:rsidR="00440693">
        <w:rPr>
          <w:sz w:val="24"/>
          <w:szCs w:val="24"/>
        </w:rPr>
        <w:t xml:space="preserve"> </w:t>
      </w:r>
      <w:r w:rsidRPr="00440693">
        <w:rPr>
          <w:sz w:val="24"/>
          <w:szCs w:val="24"/>
        </w:rPr>
        <w:t>Aiken LH, Sloane DM, Bruyneel L, et al. Nurse staffing and education and hospital mortality in nine European countries: a retrospective observational study. </w:t>
      </w:r>
      <w:r w:rsidRPr="00440693">
        <w:rPr>
          <w:i/>
          <w:iCs/>
          <w:sz w:val="24"/>
          <w:szCs w:val="24"/>
        </w:rPr>
        <w:t>Lancet</w:t>
      </w:r>
      <w:r w:rsidRPr="00440693">
        <w:rPr>
          <w:sz w:val="24"/>
          <w:szCs w:val="24"/>
        </w:rPr>
        <w:t>. 2014; </w:t>
      </w:r>
      <w:r w:rsidRPr="00440693">
        <w:rPr>
          <w:b/>
          <w:bCs/>
          <w:sz w:val="24"/>
          <w:szCs w:val="24"/>
        </w:rPr>
        <w:t>383</w:t>
      </w:r>
      <w:r w:rsidRPr="00440693">
        <w:rPr>
          <w:sz w:val="24"/>
          <w:szCs w:val="24"/>
        </w:rPr>
        <w:t>(9931): 1824- 1830.</w:t>
      </w:r>
    </w:p>
    <w:p w14:paraId="1925C8FF" w14:textId="7E81F167" w:rsidR="006133CD" w:rsidRPr="00440693" w:rsidRDefault="006133CD" w:rsidP="00440693">
      <w:pPr>
        <w:pStyle w:val="NoSpacing"/>
        <w:ind w:left="720" w:hanging="720"/>
        <w:rPr>
          <w:sz w:val="24"/>
          <w:szCs w:val="24"/>
        </w:rPr>
      </w:pPr>
      <w:r w:rsidRPr="00440693">
        <w:rPr>
          <w:sz w:val="24"/>
          <w:szCs w:val="24"/>
        </w:rPr>
        <w:t>7</w:t>
      </w:r>
      <w:r w:rsidR="00440693">
        <w:rPr>
          <w:sz w:val="24"/>
          <w:szCs w:val="24"/>
        </w:rPr>
        <w:t xml:space="preserve"> </w:t>
      </w:r>
      <w:r w:rsidRPr="00440693">
        <w:rPr>
          <w:sz w:val="24"/>
          <w:szCs w:val="24"/>
        </w:rPr>
        <w:t>Griffiths P, Maruotti A, Recio Saucedo A, et al. Nurse staffing, nursing assistants and hospital mortality: retrospective longitudinal cohort study. </w:t>
      </w:r>
      <w:r w:rsidRPr="00440693">
        <w:rPr>
          <w:i/>
          <w:iCs/>
          <w:sz w:val="24"/>
          <w:szCs w:val="24"/>
        </w:rPr>
        <w:t>BMJ Qual Saf</w:t>
      </w:r>
      <w:r w:rsidRPr="00440693">
        <w:rPr>
          <w:sz w:val="24"/>
          <w:szCs w:val="24"/>
        </w:rPr>
        <w:t>. 2019; </w:t>
      </w:r>
      <w:r w:rsidRPr="00440693">
        <w:rPr>
          <w:b/>
          <w:bCs/>
          <w:sz w:val="24"/>
          <w:szCs w:val="24"/>
        </w:rPr>
        <w:t>28</w:t>
      </w:r>
      <w:r w:rsidRPr="00440693">
        <w:rPr>
          <w:sz w:val="24"/>
          <w:szCs w:val="24"/>
        </w:rPr>
        <w:t>(8): 609- 617.</w:t>
      </w:r>
    </w:p>
    <w:p w14:paraId="16A6CCBB" w14:textId="5A16EC23" w:rsidR="006133CD" w:rsidRPr="00440693" w:rsidRDefault="006133CD" w:rsidP="00440693">
      <w:pPr>
        <w:pStyle w:val="NoSpacing"/>
        <w:ind w:left="720" w:hanging="720"/>
        <w:rPr>
          <w:sz w:val="24"/>
          <w:szCs w:val="24"/>
        </w:rPr>
      </w:pPr>
      <w:r w:rsidRPr="00440693">
        <w:rPr>
          <w:sz w:val="24"/>
          <w:szCs w:val="24"/>
        </w:rPr>
        <w:t>8</w:t>
      </w:r>
      <w:r w:rsidR="00440693">
        <w:rPr>
          <w:sz w:val="24"/>
          <w:szCs w:val="24"/>
        </w:rPr>
        <w:t xml:space="preserve"> </w:t>
      </w:r>
      <w:r w:rsidRPr="00440693">
        <w:rPr>
          <w:sz w:val="24"/>
          <w:szCs w:val="24"/>
        </w:rPr>
        <w:t>Needleman J, Buerhaus P, Pankratz VS, Leibson CL, Stevens SR, Harris M. Nurse staffing and inpatient hospital mortality. </w:t>
      </w:r>
      <w:r w:rsidRPr="00440693">
        <w:rPr>
          <w:i/>
          <w:iCs/>
          <w:sz w:val="24"/>
          <w:szCs w:val="24"/>
        </w:rPr>
        <w:t>N Engl J Med</w:t>
      </w:r>
      <w:r w:rsidRPr="00440693">
        <w:rPr>
          <w:sz w:val="24"/>
          <w:szCs w:val="24"/>
        </w:rPr>
        <w:t>. 2011; </w:t>
      </w:r>
      <w:r w:rsidRPr="00440693">
        <w:rPr>
          <w:b/>
          <w:bCs/>
          <w:sz w:val="24"/>
          <w:szCs w:val="24"/>
        </w:rPr>
        <w:t>364</w:t>
      </w:r>
      <w:r w:rsidRPr="00440693">
        <w:rPr>
          <w:sz w:val="24"/>
          <w:szCs w:val="24"/>
        </w:rPr>
        <w:t>(11): 1037- 1045.</w:t>
      </w:r>
    </w:p>
    <w:p w14:paraId="011B0567" w14:textId="3C6DCDF6" w:rsidR="006133CD" w:rsidRPr="00440693" w:rsidRDefault="006133CD" w:rsidP="00440693">
      <w:pPr>
        <w:pStyle w:val="NoSpacing"/>
        <w:ind w:left="720" w:hanging="720"/>
        <w:rPr>
          <w:sz w:val="24"/>
          <w:szCs w:val="24"/>
        </w:rPr>
      </w:pPr>
      <w:r w:rsidRPr="00440693">
        <w:rPr>
          <w:sz w:val="24"/>
          <w:szCs w:val="24"/>
        </w:rPr>
        <w:t>9</w:t>
      </w:r>
      <w:r w:rsidR="00440693">
        <w:rPr>
          <w:sz w:val="24"/>
          <w:szCs w:val="24"/>
        </w:rPr>
        <w:t xml:space="preserve"> </w:t>
      </w:r>
      <w:r w:rsidRPr="00440693">
        <w:rPr>
          <w:sz w:val="24"/>
          <w:szCs w:val="24"/>
        </w:rPr>
        <w:t>Kane RL, Shamliyan TA, Mueller C, Duval S, Wilt TJ. The association of registered nurse staffing levels and patient outcomes: systematic review and meta-analysis. </w:t>
      </w:r>
      <w:r w:rsidRPr="00440693">
        <w:rPr>
          <w:i/>
          <w:iCs/>
          <w:sz w:val="24"/>
          <w:szCs w:val="24"/>
        </w:rPr>
        <w:t>Med Care</w:t>
      </w:r>
      <w:r w:rsidRPr="00440693">
        <w:rPr>
          <w:sz w:val="24"/>
          <w:szCs w:val="24"/>
        </w:rPr>
        <w:t>. 2007; </w:t>
      </w:r>
      <w:r w:rsidRPr="00440693">
        <w:rPr>
          <w:b/>
          <w:bCs/>
          <w:sz w:val="24"/>
          <w:szCs w:val="24"/>
        </w:rPr>
        <w:t>45</w:t>
      </w:r>
      <w:r w:rsidRPr="00440693">
        <w:rPr>
          <w:sz w:val="24"/>
          <w:szCs w:val="24"/>
        </w:rPr>
        <w:t>(12): 1195- 1204.</w:t>
      </w:r>
    </w:p>
    <w:p w14:paraId="3E468566" w14:textId="5B8328A3" w:rsidR="006133CD" w:rsidRPr="00440693" w:rsidRDefault="006133CD" w:rsidP="00440693">
      <w:pPr>
        <w:pStyle w:val="NoSpacing"/>
        <w:ind w:left="720" w:hanging="720"/>
        <w:rPr>
          <w:sz w:val="24"/>
          <w:szCs w:val="24"/>
        </w:rPr>
      </w:pPr>
      <w:r w:rsidRPr="00440693">
        <w:rPr>
          <w:sz w:val="24"/>
          <w:szCs w:val="24"/>
        </w:rPr>
        <w:t>10</w:t>
      </w:r>
      <w:r w:rsidR="00440693">
        <w:rPr>
          <w:sz w:val="24"/>
          <w:szCs w:val="24"/>
        </w:rPr>
        <w:t xml:space="preserve"> </w:t>
      </w:r>
      <w:r w:rsidRPr="00440693">
        <w:rPr>
          <w:sz w:val="24"/>
          <w:szCs w:val="24"/>
        </w:rPr>
        <w:t>Needleman J, Buerhaus P, Mattke S, Stewart M, Zelevinsky K. Nurse-staffing levels and the quality of care in hospitals. </w:t>
      </w:r>
      <w:r w:rsidRPr="00440693">
        <w:rPr>
          <w:i/>
          <w:iCs/>
          <w:sz w:val="24"/>
          <w:szCs w:val="24"/>
        </w:rPr>
        <w:t>N Engl J Med</w:t>
      </w:r>
      <w:r w:rsidRPr="00440693">
        <w:rPr>
          <w:sz w:val="24"/>
          <w:szCs w:val="24"/>
        </w:rPr>
        <w:t>. 2002; </w:t>
      </w:r>
      <w:r w:rsidRPr="00440693">
        <w:rPr>
          <w:b/>
          <w:bCs/>
          <w:sz w:val="24"/>
          <w:szCs w:val="24"/>
        </w:rPr>
        <w:t>346</w:t>
      </w:r>
      <w:r w:rsidRPr="00440693">
        <w:rPr>
          <w:sz w:val="24"/>
          <w:szCs w:val="24"/>
        </w:rPr>
        <w:t>(22): 1715- 1722.</w:t>
      </w:r>
    </w:p>
    <w:p w14:paraId="78A2F0B5" w14:textId="51BADFFD" w:rsidR="006133CD" w:rsidRPr="00440693" w:rsidRDefault="006133CD" w:rsidP="00440693">
      <w:pPr>
        <w:pStyle w:val="NoSpacing"/>
        <w:ind w:left="720" w:hanging="720"/>
        <w:rPr>
          <w:sz w:val="24"/>
          <w:szCs w:val="24"/>
        </w:rPr>
      </w:pPr>
      <w:r w:rsidRPr="00440693">
        <w:rPr>
          <w:sz w:val="24"/>
          <w:szCs w:val="24"/>
        </w:rPr>
        <w:t>11</w:t>
      </w:r>
      <w:r w:rsidR="00440693">
        <w:rPr>
          <w:sz w:val="24"/>
          <w:szCs w:val="24"/>
        </w:rPr>
        <w:t xml:space="preserve"> </w:t>
      </w:r>
      <w:r w:rsidRPr="00440693">
        <w:rPr>
          <w:sz w:val="24"/>
          <w:szCs w:val="24"/>
        </w:rPr>
        <w:t>Needleman J, Buerhaus PI, Stewart M, Zelevinsky K, Mattke S. Nurse staffing in hospitals: is there a business case for quality? </w:t>
      </w:r>
      <w:r w:rsidRPr="00440693">
        <w:rPr>
          <w:i/>
          <w:iCs/>
          <w:sz w:val="24"/>
          <w:szCs w:val="24"/>
        </w:rPr>
        <w:t>Health Aff (Millwood)</w:t>
      </w:r>
      <w:r w:rsidRPr="00440693">
        <w:rPr>
          <w:sz w:val="24"/>
          <w:szCs w:val="24"/>
        </w:rPr>
        <w:t>. 2006; </w:t>
      </w:r>
      <w:r w:rsidRPr="00440693">
        <w:rPr>
          <w:b/>
          <w:bCs/>
          <w:sz w:val="24"/>
          <w:szCs w:val="24"/>
        </w:rPr>
        <w:t>25</w:t>
      </w:r>
      <w:r w:rsidRPr="00440693">
        <w:rPr>
          <w:sz w:val="24"/>
          <w:szCs w:val="24"/>
        </w:rPr>
        <w:t>(1): 204- 211.</w:t>
      </w:r>
    </w:p>
    <w:p w14:paraId="321038EE" w14:textId="092FC089" w:rsidR="006133CD" w:rsidRPr="00440693" w:rsidRDefault="006133CD" w:rsidP="00440693">
      <w:pPr>
        <w:pStyle w:val="NoSpacing"/>
        <w:ind w:left="720" w:hanging="720"/>
        <w:rPr>
          <w:sz w:val="24"/>
          <w:szCs w:val="24"/>
        </w:rPr>
      </w:pPr>
      <w:r w:rsidRPr="00440693">
        <w:rPr>
          <w:sz w:val="24"/>
          <w:szCs w:val="24"/>
        </w:rPr>
        <w:t>12</w:t>
      </w:r>
      <w:r w:rsidR="00440693">
        <w:rPr>
          <w:sz w:val="24"/>
          <w:szCs w:val="24"/>
        </w:rPr>
        <w:t xml:space="preserve"> </w:t>
      </w:r>
      <w:r w:rsidRPr="00440693">
        <w:rPr>
          <w:sz w:val="24"/>
          <w:szCs w:val="24"/>
        </w:rPr>
        <w:t>Oppel EM, Young GJ. Nurse staffing patterns and patient experience of care: an empirical analysis of U.S. hospitals. </w:t>
      </w:r>
      <w:r w:rsidRPr="00440693">
        <w:rPr>
          <w:i/>
          <w:iCs/>
          <w:sz w:val="24"/>
          <w:szCs w:val="24"/>
        </w:rPr>
        <w:t>Health Serv Res</w:t>
      </w:r>
      <w:r w:rsidRPr="00440693">
        <w:rPr>
          <w:sz w:val="24"/>
          <w:szCs w:val="24"/>
        </w:rPr>
        <w:t>. 2018; </w:t>
      </w:r>
      <w:r w:rsidRPr="00440693">
        <w:rPr>
          <w:b/>
          <w:bCs/>
          <w:sz w:val="24"/>
          <w:szCs w:val="24"/>
        </w:rPr>
        <w:t>53</w:t>
      </w:r>
      <w:r w:rsidRPr="00440693">
        <w:rPr>
          <w:sz w:val="24"/>
          <w:szCs w:val="24"/>
        </w:rPr>
        <w:t>(3): 1799- 1818.</w:t>
      </w:r>
    </w:p>
    <w:p w14:paraId="37E1303D" w14:textId="07F9F029" w:rsidR="006133CD" w:rsidRPr="00440693" w:rsidRDefault="006133CD" w:rsidP="00440693">
      <w:pPr>
        <w:pStyle w:val="NoSpacing"/>
        <w:ind w:left="720" w:hanging="720"/>
        <w:rPr>
          <w:sz w:val="24"/>
          <w:szCs w:val="24"/>
        </w:rPr>
      </w:pPr>
      <w:r w:rsidRPr="00440693">
        <w:rPr>
          <w:sz w:val="24"/>
          <w:szCs w:val="24"/>
        </w:rPr>
        <w:t>13</w:t>
      </w:r>
      <w:r w:rsidR="00440693">
        <w:rPr>
          <w:sz w:val="24"/>
          <w:szCs w:val="24"/>
        </w:rPr>
        <w:t xml:space="preserve"> </w:t>
      </w:r>
      <w:r w:rsidRPr="00440693">
        <w:rPr>
          <w:sz w:val="24"/>
          <w:szCs w:val="24"/>
        </w:rPr>
        <w:t>Blegen MA, Goode CJ, Reed L. Nurse staffing and patient outcomes. </w:t>
      </w:r>
      <w:r w:rsidRPr="00440693">
        <w:rPr>
          <w:i/>
          <w:iCs/>
          <w:sz w:val="24"/>
          <w:szCs w:val="24"/>
        </w:rPr>
        <w:t>Nurs Res</w:t>
      </w:r>
      <w:r w:rsidRPr="00440693">
        <w:rPr>
          <w:sz w:val="24"/>
          <w:szCs w:val="24"/>
        </w:rPr>
        <w:t>. 1998; </w:t>
      </w:r>
      <w:r w:rsidRPr="00440693">
        <w:rPr>
          <w:b/>
          <w:bCs/>
          <w:sz w:val="24"/>
          <w:szCs w:val="24"/>
        </w:rPr>
        <w:t>47</w:t>
      </w:r>
      <w:r w:rsidRPr="00440693">
        <w:rPr>
          <w:sz w:val="24"/>
          <w:szCs w:val="24"/>
        </w:rPr>
        <w:t>(1): 43- 50.</w:t>
      </w:r>
    </w:p>
    <w:p w14:paraId="02F03842" w14:textId="1A7F04B4" w:rsidR="006133CD" w:rsidRPr="00440693" w:rsidRDefault="006133CD" w:rsidP="00440693">
      <w:pPr>
        <w:pStyle w:val="NoSpacing"/>
        <w:ind w:left="720" w:hanging="720"/>
        <w:rPr>
          <w:sz w:val="24"/>
          <w:szCs w:val="24"/>
        </w:rPr>
      </w:pPr>
      <w:r w:rsidRPr="00440693">
        <w:rPr>
          <w:sz w:val="24"/>
          <w:szCs w:val="24"/>
        </w:rPr>
        <w:t>14</w:t>
      </w:r>
      <w:r w:rsidR="00440693">
        <w:rPr>
          <w:sz w:val="24"/>
          <w:szCs w:val="24"/>
        </w:rPr>
        <w:t xml:space="preserve"> </w:t>
      </w:r>
      <w:r w:rsidRPr="00440693">
        <w:rPr>
          <w:sz w:val="24"/>
          <w:szCs w:val="24"/>
        </w:rPr>
        <w:t>Mark BA, Harless DW, McCue M, Xu Y. A longitudinal examination of hospital registered nurse staffing and quality of care. </w:t>
      </w:r>
      <w:r w:rsidRPr="00440693">
        <w:rPr>
          <w:i/>
          <w:iCs/>
          <w:sz w:val="24"/>
          <w:szCs w:val="24"/>
        </w:rPr>
        <w:t>Health Serv Res</w:t>
      </w:r>
      <w:r w:rsidRPr="00440693">
        <w:rPr>
          <w:sz w:val="24"/>
          <w:szCs w:val="24"/>
        </w:rPr>
        <w:t>. 2004; </w:t>
      </w:r>
      <w:r w:rsidRPr="00440693">
        <w:rPr>
          <w:b/>
          <w:bCs/>
          <w:sz w:val="24"/>
          <w:szCs w:val="24"/>
        </w:rPr>
        <w:t>39</w:t>
      </w:r>
      <w:r w:rsidRPr="00440693">
        <w:rPr>
          <w:sz w:val="24"/>
          <w:szCs w:val="24"/>
        </w:rPr>
        <w:t>(2): 279- 300.</w:t>
      </w:r>
    </w:p>
    <w:p w14:paraId="0E0A3C51" w14:textId="15E41C86" w:rsidR="006133CD" w:rsidRPr="00440693" w:rsidRDefault="006133CD" w:rsidP="00440693">
      <w:pPr>
        <w:pStyle w:val="NoSpacing"/>
        <w:ind w:left="720" w:hanging="720"/>
        <w:rPr>
          <w:sz w:val="24"/>
          <w:szCs w:val="24"/>
        </w:rPr>
      </w:pPr>
      <w:r w:rsidRPr="00440693">
        <w:rPr>
          <w:sz w:val="24"/>
          <w:szCs w:val="24"/>
        </w:rPr>
        <w:t>15</w:t>
      </w:r>
      <w:r w:rsidR="00440693">
        <w:rPr>
          <w:sz w:val="24"/>
          <w:szCs w:val="24"/>
        </w:rPr>
        <w:t xml:space="preserve"> </w:t>
      </w:r>
      <w:r w:rsidRPr="00440693">
        <w:rPr>
          <w:sz w:val="24"/>
          <w:szCs w:val="24"/>
        </w:rPr>
        <w:t>Lankshear AJ, Sheldon TA, Maynard A. Nurse staffing and healthcare outcomes: a systematic review of the international research evidence. </w:t>
      </w:r>
      <w:r w:rsidRPr="00440693">
        <w:rPr>
          <w:i/>
          <w:iCs/>
          <w:sz w:val="24"/>
          <w:szCs w:val="24"/>
        </w:rPr>
        <w:t>ANS Adv Nurs Sci</w:t>
      </w:r>
      <w:r w:rsidRPr="00440693">
        <w:rPr>
          <w:sz w:val="24"/>
          <w:szCs w:val="24"/>
        </w:rPr>
        <w:t>. 2005; </w:t>
      </w:r>
      <w:r w:rsidRPr="00440693">
        <w:rPr>
          <w:b/>
          <w:bCs/>
          <w:sz w:val="24"/>
          <w:szCs w:val="24"/>
        </w:rPr>
        <w:t>28</w:t>
      </w:r>
      <w:r w:rsidRPr="00440693">
        <w:rPr>
          <w:sz w:val="24"/>
          <w:szCs w:val="24"/>
        </w:rPr>
        <w:t>(2): 163- 174.</w:t>
      </w:r>
    </w:p>
    <w:p w14:paraId="4CDB010B" w14:textId="6B26FDD2" w:rsidR="006133CD" w:rsidRPr="00440693" w:rsidRDefault="006133CD" w:rsidP="00440693">
      <w:pPr>
        <w:pStyle w:val="NoSpacing"/>
        <w:ind w:left="720" w:hanging="720"/>
        <w:rPr>
          <w:sz w:val="24"/>
          <w:szCs w:val="24"/>
        </w:rPr>
      </w:pPr>
      <w:r w:rsidRPr="00440693">
        <w:rPr>
          <w:sz w:val="24"/>
          <w:szCs w:val="24"/>
        </w:rPr>
        <w:t>16</w:t>
      </w:r>
      <w:r w:rsidR="00440693">
        <w:rPr>
          <w:sz w:val="24"/>
          <w:szCs w:val="24"/>
        </w:rPr>
        <w:t xml:space="preserve"> </w:t>
      </w:r>
      <w:r w:rsidRPr="00440693">
        <w:rPr>
          <w:sz w:val="24"/>
          <w:szCs w:val="24"/>
        </w:rPr>
        <w:t>Needleman J, Shekelle PG. More ward nursing staff improves inpatient outcomes, but how much is enough? </w:t>
      </w:r>
      <w:r w:rsidRPr="00440693">
        <w:rPr>
          <w:i/>
          <w:iCs/>
          <w:sz w:val="24"/>
          <w:szCs w:val="24"/>
        </w:rPr>
        <w:t>BMJ Qual Saf</w:t>
      </w:r>
      <w:r w:rsidRPr="00440693">
        <w:rPr>
          <w:sz w:val="24"/>
          <w:szCs w:val="24"/>
        </w:rPr>
        <w:t>. 2019; </w:t>
      </w:r>
      <w:r w:rsidRPr="00440693">
        <w:rPr>
          <w:b/>
          <w:bCs/>
          <w:sz w:val="24"/>
          <w:szCs w:val="24"/>
        </w:rPr>
        <w:t>28</w:t>
      </w:r>
      <w:r w:rsidRPr="00440693">
        <w:rPr>
          <w:sz w:val="24"/>
          <w:szCs w:val="24"/>
        </w:rPr>
        <w:t>(8): 603- 605.</w:t>
      </w:r>
    </w:p>
    <w:p w14:paraId="6E7710E2" w14:textId="51E44385" w:rsidR="006133CD" w:rsidRPr="00440693" w:rsidRDefault="006133CD" w:rsidP="00440693">
      <w:pPr>
        <w:pStyle w:val="NoSpacing"/>
        <w:ind w:left="720" w:hanging="720"/>
        <w:rPr>
          <w:sz w:val="24"/>
          <w:szCs w:val="24"/>
        </w:rPr>
      </w:pPr>
      <w:r w:rsidRPr="00440693">
        <w:rPr>
          <w:sz w:val="24"/>
          <w:szCs w:val="24"/>
        </w:rPr>
        <w:t>17</w:t>
      </w:r>
      <w:r w:rsidR="00440693">
        <w:rPr>
          <w:sz w:val="24"/>
          <w:szCs w:val="24"/>
        </w:rPr>
        <w:t xml:space="preserve"> </w:t>
      </w:r>
      <w:r w:rsidRPr="00440693">
        <w:rPr>
          <w:sz w:val="24"/>
          <w:szCs w:val="24"/>
        </w:rPr>
        <w:t>Donabedian A. Evaluating the quality of medical care. 1966. </w:t>
      </w:r>
      <w:r w:rsidRPr="00440693">
        <w:rPr>
          <w:i/>
          <w:iCs/>
          <w:sz w:val="24"/>
          <w:szCs w:val="24"/>
        </w:rPr>
        <w:t>Milbank Q</w:t>
      </w:r>
      <w:r w:rsidRPr="00440693">
        <w:rPr>
          <w:sz w:val="24"/>
          <w:szCs w:val="24"/>
        </w:rPr>
        <w:t>. 2005; </w:t>
      </w:r>
      <w:r w:rsidRPr="00440693">
        <w:rPr>
          <w:b/>
          <w:bCs/>
          <w:sz w:val="24"/>
          <w:szCs w:val="24"/>
        </w:rPr>
        <w:t>83</w:t>
      </w:r>
      <w:r w:rsidRPr="00440693">
        <w:rPr>
          <w:sz w:val="24"/>
          <w:szCs w:val="24"/>
        </w:rPr>
        <w:t>(4): 691- 729.</w:t>
      </w:r>
    </w:p>
    <w:p w14:paraId="38E8C5AC" w14:textId="3CFF2440" w:rsidR="006133CD" w:rsidRPr="00440693" w:rsidRDefault="006133CD" w:rsidP="00440693">
      <w:pPr>
        <w:pStyle w:val="NoSpacing"/>
        <w:ind w:left="720" w:hanging="720"/>
        <w:rPr>
          <w:sz w:val="24"/>
          <w:szCs w:val="24"/>
        </w:rPr>
      </w:pPr>
      <w:r w:rsidRPr="00440693">
        <w:rPr>
          <w:sz w:val="24"/>
          <w:szCs w:val="24"/>
        </w:rPr>
        <w:t>18</w:t>
      </w:r>
      <w:r w:rsidR="00440693">
        <w:rPr>
          <w:sz w:val="24"/>
          <w:szCs w:val="24"/>
        </w:rPr>
        <w:t xml:space="preserve"> </w:t>
      </w:r>
      <w:r w:rsidRPr="00440693">
        <w:rPr>
          <w:sz w:val="24"/>
          <w:szCs w:val="24"/>
        </w:rPr>
        <w:t>Mitchell PH, Ferketich S, Jennings BM. Quality health outcomes model. American Academy of Nursing expert panel on quality health care. </w:t>
      </w:r>
      <w:r w:rsidRPr="00440693">
        <w:rPr>
          <w:i/>
          <w:iCs/>
          <w:sz w:val="24"/>
          <w:szCs w:val="24"/>
        </w:rPr>
        <w:t>Image J Nurs Sch</w:t>
      </w:r>
      <w:r w:rsidRPr="00440693">
        <w:rPr>
          <w:sz w:val="24"/>
          <w:szCs w:val="24"/>
        </w:rPr>
        <w:t>. 1998; </w:t>
      </w:r>
      <w:r w:rsidRPr="00440693">
        <w:rPr>
          <w:b/>
          <w:bCs/>
          <w:sz w:val="24"/>
          <w:szCs w:val="24"/>
        </w:rPr>
        <w:t>30</w:t>
      </w:r>
      <w:r w:rsidRPr="00440693">
        <w:rPr>
          <w:sz w:val="24"/>
          <w:szCs w:val="24"/>
        </w:rPr>
        <w:t>(1): 43- 46.</w:t>
      </w:r>
    </w:p>
    <w:p w14:paraId="315490AD" w14:textId="231E8A69" w:rsidR="006133CD" w:rsidRPr="00440693" w:rsidRDefault="006133CD" w:rsidP="00440693">
      <w:pPr>
        <w:pStyle w:val="NoSpacing"/>
        <w:ind w:left="720" w:hanging="720"/>
        <w:rPr>
          <w:sz w:val="24"/>
          <w:szCs w:val="24"/>
        </w:rPr>
      </w:pPr>
      <w:r w:rsidRPr="00440693">
        <w:rPr>
          <w:sz w:val="24"/>
          <w:szCs w:val="24"/>
        </w:rPr>
        <w:t>19</w:t>
      </w:r>
      <w:r w:rsidR="00440693">
        <w:rPr>
          <w:sz w:val="24"/>
          <w:szCs w:val="24"/>
        </w:rPr>
        <w:t xml:space="preserve"> </w:t>
      </w:r>
      <w:r w:rsidRPr="00440693">
        <w:rPr>
          <w:sz w:val="24"/>
          <w:szCs w:val="24"/>
        </w:rPr>
        <w:t>Craig C, Harris R. Total productivity measurement at the firm level. </w:t>
      </w:r>
      <w:r w:rsidRPr="00440693">
        <w:rPr>
          <w:i/>
          <w:iCs/>
          <w:sz w:val="24"/>
          <w:szCs w:val="24"/>
        </w:rPr>
        <w:t>Sloan Manage Rev</w:t>
      </w:r>
      <w:r w:rsidRPr="00440693">
        <w:rPr>
          <w:sz w:val="24"/>
          <w:szCs w:val="24"/>
        </w:rPr>
        <w:t>. 1973; </w:t>
      </w:r>
      <w:r w:rsidRPr="00440693">
        <w:rPr>
          <w:b/>
          <w:bCs/>
          <w:sz w:val="24"/>
          <w:szCs w:val="24"/>
        </w:rPr>
        <w:t>1973</w:t>
      </w:r>
      <w:r w:rsidRPr="00440693">
        <w:rPr>
          <w:sz w:val="24"/>
          <w:szCs w:val="24"/>
        </w:rPr>
        <w:t>: 13- 28.</w:t>
      </w:r>
    </w:p>
    <w:p w14:paraId="4EC16460" w14:textId="77777777" w:rsidR="006133CD" w:rsidRPr="00440693" w:rsidRDefault="006133CD" w:rsidP="00440693">
      <w:pPr>
        <w:pStyle w:val="NoSpacing"/>
        <w:ind w:left="720" w:hanging="720"/>
        <w:rPr>
          <w:sz w:val="24"/>
          <w:szCs w:val="24"/>
        </w:rPr>
      </w:pPr>
      <w:r w:rsidRPr="00440693">
        <w:rPr>
          <w:sz w:val="24"/>
          <w:szCs w:val="24"/>
        </w:rPr>
        <w:t>20 </w:t>
      </w:r>
      <w:r w:rsidRPr="00440693">
        <w:rPr>
          <w:i/>
          <w:iCs/>
          <w:sz w:val="24"/>
          <w:szCs w:val="24"/>
        </w:rPr>
        <w:t>AHA Annual Survey American Hospital Association</w:t>
      </w:r>
      <w:r w:rsidRPr="00440693">
        <w:rPr>
          <w:sz w:val="24"/>
          <w:szCs w:val="24"/>
        </w:rPr>
        <w:t>. Chicago, IL: American Hospital Association; 2020.</w:t>
      </w:r>
    </w:p>
    <w:p w14:paraId="36925A4F" w14:textId="65B0ABD8" w:rsidR="006133CD" w:rsidRPr="00440693" w:rsidRDefault="006133CD" w:rsidP="00440693">
      <w:pPr>
        <w:pStyle w:val="NoSpacing"/>
        <w:ind w:left="720" w:hanging="720"/>
        <w:rPr>
          <w:sz w:val="24"/>
          <w:szCs w:val="24"/>
        </w:rPr>
      </w:pPr>
      <w:r w:rsidRPr="00440693">
        <w:rPr>
          <w:sz w:val="24"/>
          <w:szCs w:val="24"/>
        </w:rPr>
        <w:t>21</w:t>
      </w:r>
      <w:r w:rsidR="00440693">
        <w:rPr>
          <w:sz w:val="24"/>
          <w:szCs w:val="24"/>
        </w:rPr>
        <w:t xml:space="preserve"> </w:t>
      </w:r>
      <w:r w:rsidRPr="00440693">
        <w:rPr>
          <w:sz w:val="24"/>
          <w:szCs w:val="24"/>
        </w:rPr>
        <w:t>Bobay K, Bahr SJ, Weiss ME, Hughes R, Costa L. Models of discharge Care in Magnet® hospitals. </w:t>
      </w:r>
      <w:r w:rsidRPr="00440693">
        <w:rPr>
          <w:i/>
          <w:iCs/>
          <w:sz w:val="24"/>
          <w:szCs w:val="24"/>
        </w:rPr>
        <w:t>J Nurs Adm</w:t>
      </w:r>
      <w:r w:rsidRPr="00440693">
        <w:rPr>
          <w:sz w:val="24"/>
          <w:szCs w:val="24"/>
        </w:rPr>
        <w:t>. 2015; </w:t>
      </w:r>
      <w:r w:rsidRPr="00440693">
        <w:rPr>
          <w:b/>
          <w:bCs/>
          <w:sz w:val="24"/>
          <w:szCs w:val="24"/>
        </w:rPr>
        <w:t>45</w:t>
      </w:r>
      <w:r w:rsidRPr="00440693">
        <w:rPr>
          <w:sz w:val="24"/>
          <w:szCs w:val="24"/>
        </w:rPr>
        <w:t>(10): 485- 491.</w:t>
      </w:r>
    </w:p>
    <w:p w14:paraId="6221C137" w14:textId="45BD652B" w:rsidR="006133CD" w:rsidRPr="00440693" w:rsidRDefault="006133CD" w:rsidP="00440693">
      <w:pPr>
        <w:pStyle w:val="NoSpacing"/>
        <w:ind w:left="720" w:hanging="720"/>
        <w:rPr>
          <w:sz w:val="24"/>
          <w:szCs w:val="24"/>
        </w:rPr>
      </w:pPr>
      <w:r w:rsidRPr="00440693">
        <w:rPr>
          <w:sz w:val="24"/>
          <w:szCs w:val="24"/>
        </w:rPr>
        <w:t>22</w:t>
      </w:r>
      <w:r w:rsidR="00440693">
        <w:rPr>
          <w:sz w:val="24"/>
          <w:szCs w:val="24"/>
        </w:rPr>
        <w:t xml:space="preserve"> </w:t>
      </w:r>
      <w:r w:rsidRPr="00440693">
        <w:rPr>
          <w:sz w:val="24"/>
          <w:szCs w:val="24"/>
        </w:rPr>
        <w:t>James G, Witten D, Hastie T, Tibshirani R. </w:t>
      </w:r>
      <w:r w:rsidRPr="00440693">
        <w:rPr>
          <w:i/>
          <w:iCs/>
          <w:sz w:val="24"/>
          <w:szCs w:val="24"/>
        </w:rPr>
        <w:t>An Introduction to Statistical Learning</w:t>
      </w:r>
      <w:r w:rsidRPr="00440693">
        <w:rPr>
          <w:sz w:val="24"/>
          <w:szCs w:val="24"/>
        </w:rPr>
        <w:t>. New York, NY: Springer; 2013.</w:t>
      </w:r>
    </w:p>
    <w:p w14:paraId="5BB6CE84" w14:textId="3BA6D0ED" w:rsidR="006133CD" w:rsidRPr="00440693" w:rsidRDefault="006133CD" w:rsidP="00440693">
      <w:pPr>
        <w:pStyle w:val="NoSpacing"/>
        <w:ind w:left="720" w:hanging="720"/>
        <w:rPr>
          <w:sz w:val="24"/>
          <w:szCs w:val="24"/>
        </w:rPr>
      </w:pPr>
      <w:r w:rsidRPr="00440693">
        <w:rPr>
          <w:sz w:val="24"/>
          <w:szCs w:val="24"/>
        </w:rPr>
        <w:t>23</w:t>
      </w:r>
      <w:r w:rsidR="00440693">
        <w:rPr>
          <w:sz w:val="24"/>
          <w:szCs w:val="24"/>
        </w:rPr>
        <w:t xml:space="preserve"> </w:t>
      </w:r>
      <w:r w:rsidRPr="00440693">
        <w:rPr>
          <w:sz w:val="24"/>
          <w:szCs w:val="24"/>
        </w:rPr>
        <w:t>Biecek P. DALEX: Explainers for Complex Predictive Models in R. </w:t>
      </w:r>
      <w:r w:rsidRPr="00440693">
        <w:rPr>
          <w:i/>
          <w:iCs/>
          <w:sz w:val="24"/>
          <w:szCs w:val="24"/>
        </w:rPr>
        <w:t>Journal of Machine Learning Research</w:t>
      </w:r>
      <w:r w:rsidRPr="00440693">
        <w:rPr>
          <w:sz w:val="24"/>
          <w:szCs w:val="24"/>
        </w:rPr>
        <w:t>. 2018; </w:t>
      </w:r>
      <w:r w:rsidRPr="00440693">
        <w:rPr>
          <w:b/>
          <w:bCs/>
          <w:sz w:val="24"/>
          <w:szCs w:val="24"/>
        </w:rPr>
        <w:t>19</w:t>
      </w:r>
      <w:r w:rsidRPr="00440693">
        <w:rPr>
          <w:sz w:val="24"/>
          <w:szCs w:val="24"/>
        </w:rPr>
        <w:t>: 1- 15. </w:t>
      </w:r>
      <w:r w:rsidRPr="00440693">
        <w:rPr>
          <w:rFonts w:cstheme="minorHAnsi"/>
          <w:sz w:val="24"/>
          <w:szCs w:val="24"/>
        </w:rPr>
        <w:t>https://www.jmlr.org/papers/volume19/18-416/18-416.pdf</w:t>
      </w:r>
      <w:r w:rsidRPr="00440693">
        <w:rPr>
          <w:sz w:val="24"/>
          <w:szCs w:val="24"/>
        </w:rPr>
        <w:t>.</w:t>
      </w:r>
    </w:p>
    <w:p w14:paraId="7C5DAC51" w14:textId="7662C9F6" w:rsidR="006133CD" w:rsidRPr="00440693" w:rsidRDefault="006133CD" w:rsidP="00440693">
      <w:pPr>
        <w:pStyle w:val="NoSpacing"/>
        <w:ind w:left="720" w:hanging="720"/>
        <w:rPr>
          <w:sz w:val="24"/>
          <w:szCs w:val="24"/>
        </w:rPr>
      </w:pPr>
      <w:r w:rsidRPr="00440693">
        <w:rPr>
          <w:sz w:val="24"/>
          <w:szCs w:val="24"/>
        </w:rPr>
        <w:t>24</w:t>
      </w:r>
      <w:r w:rsidR="00440693">
        <w:rPr>
          <w:sz w:val="24"/>
          <w:szCs w:val="24"/>
        </w:rPr>
        <w:t xml:space="preserve"> </w:t>
      </w:r>
      <w:r w:rsidRPr="00440693">
        <w:rPr>
          <w:sz w:val="24"/>
          <w:szCs w:val="24"/>
        </w:rPr>
        <w:t>Kuhn M, Wing J, Weston S, Williams A, Keefer C, Engelhardt A, et al. </w:t>
      </w:r>
      <w:r w:rsidRPr="00440693">
        <w:rPr>
          <w:i/>
          <w:iCs/>
          <w:sz w:val="24"/>
          <w:szCs w:val="24"/>
        </w:rPr>
        <w:t>Caret: Classification and Regression Training</w:t>
      </w:r>
      <w:r w:rsidRPr="00440693">
        <w:rPr>
          <w:sz w:val="24"/>
          <w:szCs w:val="24"/>
        </w:rPr>
        <w:t>. R Package Version 60-84. Vienna, Austria: Institute for Statistics and Mathematics, Vienna University for Economics and Business; 2019. </w:t>
      </w:r>
      <w:r w:rsidRPr="00440693">
        <w:rPr>
          <w:rFonts w:cstheme="minorHAnsi"/>
          <w:sz w:val="24"/>
          <w:szCs w:val="24"/>
        </w:rPr>
        <w:t>https://CRAN.R-project.org/package=caret</w:t>
      </w:r>
      <w:r w:rsidRPr="00440693">
        <w:rPr>
          <w:sz w:val="24"/>
          <w:szCs w:val="24"/>
        </w:rPr>
        <w:t>.</w:t>
      </w:r>
    </w:p>
    <w:p w14:paraId="4C4EFFDC" w14:textId="2B589DA8" w:rsidR="006133CD" w:rsidRPr="00440693" w:rsidRDefault="006133CD" w:rsidP="00440693">
      <w:pPr>
        <w:pStyle w:val="NoSpacing"/>
        <w:ind w:left="720" w:hanging="720"/>
        <w:rPr>
          <w:sz w:val="24"/>
          <w:szCs w:val="24"/>
        </w:rPr>
      </w:pPr>
      <w:r w:rsidRPr="00440693">
        <w:rPr>
          <w:sz w:val="24"/>
          <w:szCs w:val="24"/>
        </w:rPr>
        <w:t>25</w:t>
      </w:r>
      <w:r w:rsidR="00440693">
        <w:rPr>
          <w:sz w:val="24"/>
          <w:szCs w:val="24"/>
        </w:rPr>
        <w:t xml:space="preserve"> </w:t>
      </w:r>
      <w:r w:rsidRPr="00440693">
        <w:rPr>
          <w:sz w:val="24"/>
          <w:szCs w:val="24"/>
        </w:rPr>
        <w:t>Kong Y, Yu TA. Deep neural network model using random forest to extract feature representation for gene expression data classification. </w:t>
      </w:r>
      <w:r w:rsidRPr="00440693">
        <w:rPr>
          <w:i/>
          <w:iCs/>
          <w:sz w:val="24"/>
          <w:szCs w:val="24"/>
        </w:rPr>
        <w:t>Sci Rep</w:t>
      </w:r>
      <w:r w:rsidRPr="00440693">
        <w:rPr>
          <w:sz w:val="24"/>
          <w:szCs w:val="24"/>
        </w:rPr>
        <w:t>. 2018; </w:t>
      </w:r>
      <w:r w:rsidRPr="00440693">
        <w:rPr>
          <w:b/>
          <w:bCs/>
          <w:sz w:val="24"/>
          <w:szCs w:val="24"/>
        </w:rPr>
        <w:t>8</w:t>
      </w:r>
      <w:r w:rsidRPr="00440693">
        <w:rPr>
          <w:sz w:val="24"/>
          <w:szCs w:val="24"/>
        </w:rPr>
        <w:t>: 16477.</w:t>
      </w:r>
    </w:p>
    <w:p w14:paraId="20F5AB94" w14:textId="77777777" w:rsidR="006133CD" w:rsidRPr="00440693" w:rsidRDefault="006133CD" w:rsidP="00440693">
      <w:pPr>
        <w:pStyle w:val="NoSpacing"/>
        <w:ind w:left="720" w:hanging="720"/>
        <w:rPr>
          <w:sz w:val="24"/>
          <w:szCs w:val="24"/>
        </w:rPr>
      </w:pPr>
      <w:r w:rsidRPr="00440693">
        <w:rPr>
          <w:sz w:val="24"/>
          <w:szCs w:val="24"/>
        </w:rPr>
        <w:t>26 C Vens, F Costa, eds. Random forest based feature induction. Paper presented at: IEEE 11th International Conference on Data Mining (ICDM); 2011: Vancouver, Canada.</w:t>
      </w:r>
    </w:p>
    <w:p w14:paraId="798C3938" w14:textId="01A50276" w:rsidR="006133CD" w:rsidRPr="00440693" w:rsidRDefault="006133CD" w:rsidP="00440693">
      <w:pPr>
        <w:pStyle w:val="NoSpacing"/>
        <w:ind w:left="720" w:hanging="720"/>
        <w:rPr>
          <w:sz w:val="24"/>
          <w:szCs w:val="24"/>
        </w:rPr>
      </w:pPr>
      <w:r w:rsidRPr="00440693">
        <w:rPr>
          <w:sz w:val="24"/>
          <w:szCs w:val="24"/>
        </w:rPr>
        <w:t>27</w:t>
      </w:r>
      <w:r w:rsidR="00440693">
        <w:rPr>
          <w:sz w:val="24"/>
          <w:szCs w:val="24"/>
        </w:rPr>
        <w:t xml:space="preserve"> </w:t>
      </w:r>
      <w:r w:rsidRPr="00440693">
        <w:rPr>
          <w:sz w:val="24"/>
          <w:szCs w:val="24"/>
        </w:rPr>
        <w:t>Tang A, Foong J. A qualitative evaluation of random forest feature learning. In: T Herawan, R Ghazali, M Deris, editors. </w:t>
      </w:r>
      <w:r w:rsidRPr="00440693">
        <w:rPr>
          <w:i/>
          <w:iCs/>
          <w:sz w:val="24"/>
          <w:szCs w:val="24"/>
        </w:rPr>
        <w:t>Recent Advances on Soft Computing and Data Mining Advances in Intelligent Systems and Computing</w:t>
      </w:r>
      <w:r w:rsidRPr="00440693">
        <w:rPr>
          <w:sz w:val="24"/>
          <w:szCs w:val="24"/>
        </w:rPr>
        <w:t>; New York City, NY: Springer; 2014. p. 359– 68.</w:t>
      </w:r>
    </w:p>
    <w:p w14:paraId="26A4CCCE" w14:textId="38537E38" w:rsidR="006133CD" w:rsidRPr="00440693" w:rsidRDefault="006133CD" w:rsidP="00440693">
      <w:pPr>
        <w:pStyle w:val="NoSpacing"/>
        <w:ind w:left="720" w:hanging="720"/>
        <w:rPr>
          <w:sz w:val="24"/>
          <w:szCs w:val="24"/>
        </w:rPr>
      </w:pPr>
      <w:r w:rsidRPr="00440693">
        <w:rPr>
          <w:sz w:val="24"/>
          <w:szCs w:val="24"/>
        </w:rPr>
        <w:t>28</w:t>
      </w:r>
      <w:r w:rsidR="00440693">
        <w:rPr>
          <w:sz w:val="24"/>
          <w:szCs w:val="24"/>
        </w:rPr>
        <w:t xml:space="preserve"> </w:t>
      </w:r>
      <w:r w:rsidRPr="00440693">
        <w:rPr>
          <w:sz w:val="24"/>
          <w:szCs w:val="24"/>
        </w:rPr>
        <w:t>Vieira SM, Kaymak U, Sousa JMC. </w:t>
      </w:r>
      <w:r w:rsidRPr="00440693">
        <w:rPr>
          <w:i/>
          <w:iCs/>
          <w:sz w:val="24"/>
          <w:szCs w:val="24"/>
        </w:rPr>
        <w:t>Cohen’s kappa coefficient as a performance measure for feature selection</w:t>
      </w:r>
      <w:r w:rsidRPr="00440693">
        <w:rPr>
          <w:sz w:val="24"/>
          <w:szCs w:val="24"/>
        </w:rPr>
        <w:t>. Barcelona, Spain: World Congress on Computational Intelligence; 2010. </w:t>
      </w:r>
      <w:r w:rsidRPr="00440693">
        <w:rPr>
          <w:rFonts w:cstheme="minorHAnsi"/>
          <w:sz w:val="24"/>
          <w:szCs w:val="24"/>
        </w:rPr>
        <w:t>https://ieeexplore.ieee.org/document/5584447</w:t>
      </w:r>
      <w:r w:rsidRPr="00440693">
        <w:rPr>
          <w:sz w:val="24"/>
          <w:szCs w:val="24"/>
        </w:rPr>
        <w:t>.</w:t>
      </w:r>
    </w:p>
    <w:p w14:paraId="293CB1DB" w14:textId="144A9B8A" w:rsidR="006133CD" w:rsidRPr="00440693" w:rsidRDefault="006133CD" w:rsidP="00440693">
      <w:pPr>
        <w:pStyle w:val="NoSpacing"/>
        <w:ind w:left="720" w:hanging="720"/>
        <w:rPr>
          <w:sz w:val="24"/>
          <w:szCs w:val="24"/>
        </w:rPr>
      </w:pPr>
      <w:r w:rsidRPr="00440693">
        <w:rPr>
          <w:sz w:val="24"/>
          <w:szCs w:val="24"/>
        </w:rPr>
        <w:t>29</w:t>
      </w:r>
      <w:r w:rsidR="00440693">
        <w:rPr>
          <w:sz w:val="24"/>
          <w:szCs w:val="24"/>
        </w:rPr>
        <w:t xml:space="preserve"> </w:t>
      </w:r>
      <w:r w:rsidRPr="00440693">
        <w:rPr>
          <w:sz w:val="24"/>
          <w:szCs w:val="24"/>
        </w:rPr>
        <w:t>Mold JW, Hamm RM, McCarthy LH. The law of diminishing returns in clinical medicine: how much risk reduction is enough? </w:t>
      </w:r>
      <w:r w:rsidRPr="00440693">
        <w:rPr>
          <w:i/>
          <w:iCs/>
          <w:sz w:val="24"/>
          <w:szCs w:val="24"/>
        </w:rPr>
        <w:t>J Am Board Fam Med</w:t>
      </w:r>
      <w:r w:rsidRPr="00440693">
        <w:rPr>
          <w:sz w:val="24"/>
          <w:szCs w:val="24"/>
        </w:rPr>
        <w:t>. 2010; </w:t>
      </w:r>
      <w:r w:rsidRPr="00440693">
        <w:rPr>
          <w:b/>
          <w:bCs/>
          <w:sz w:val="24"/>
          <w:szCs w:val="24"/>
        </w:rPr>
        <w:t>23</w:t>
      </w:r>
      <w:r w:rsidRPr="00440693">
        <w:rPr>
          <w:sz w:val="24"/>
          <w:szCs w:val="24"/>
        </w:rPr>
        <w:t>(3): 371- 375.</w:t>
      </w:r>
    </w:p>
    <w:p w14:paraId="38AF3D7C" w14:textId="0D3DBA2A" w:rsidR="006133CD" w:rsidRPr="00440693" w:rsidRDefault="006133CD" w:rsidP="00440693">
      <w:pPr>
        <w:pStyle w:val="NoSpacing"/>
        <w:ind w:left="720" w:hanging="720"/>
        <w:rPr>
          <w:sz w:val="24"/>
          <w:szCs w:val="24"/>
        </w:rPr>
      </w:pPr>
      <w:r w:rsidRPr="00440693">
        <w:rPr>
          <w:sz w:val="24"/>
          <w:szCs w:val="24"/>
        </w:rPr>
        <w:t>30</w:t>
      </w:r>
      <w:r w:rsidR="00440693">
        <w:rPr>
          <w:sz w:val="24"/>
          <w:szCs w:val="24"/>
        </w:rPr>
        <w:t xml:space="preserve"> </w:t>
      </w:r>
      <w:r w:rsidRPr="00440693">
        <w:rPr>
          <w:sz w:val="24"/>
          <w:szCs w:val="24"/>
        </w:rPr>
        <w:t>Badgery-Parker T, Pearson SA, Dunn S, Elshaug AG. Measuring hospital-acquired complications associated with low-value care. </w:t>
      </w:r>
      <w:r w:rsidRPr="00440693">
        <w:rPr>
          <w:i/>
          <w:iCs/>
          <w:sz w:val="24"/>
          <w:szCs w:val="24"/>
        </w:rPr>
        <w:t>JAMA Intern Med</w:t>
      </w:r>
      <w:r w:rsidRPr="00440693">
        <w:rPr>
          <w:sz w:val="24"/>
          <w:szCs w:val="24"/>
        </w:rPr>
        <w:t>. 2019; </w:t>
      </w:r>
      <w:r w:rsidRPr="00440693">
        <w:rPr>
          <w:b/>
          <w:bCs/>
          <w:sz w:val="24"/>
          <w:szCs w:val="24"/>
        </w:rPr>
        <w:t>179</w:t>
      </w:r>
      <w:r w:rsidRPr="00440693">
        <w:rPr>
          <w:sz w:val="24"/>
          <w:szCs w:val="24"/>
        </w:rPr>
        <w:t>(4): 499- 505.</w:t>
      </w:r>
    </w:p>
    <w:p w14:paraId="07EB6686" w14:textId="141BA1DC" w:rsidR="006133CD" w:rsidRPr="00440693" w:rsidRDefault="006133CD" w:rsidP="00440693">
      <w:pPr>
        <w:pStyle w:val="NoSpacing"/>
        <w:ind w:left="720" w:hanging="720"/>
        <w:rPr>
          <w:sz w:val="24"/>
          <w:szCs w:val="24"/>
        </w:rPr>
      </w:pPr>
      <w:r w:rsidRPr="00440693">
        <w:rPr>
          <w:sz w:val="24"/>
          <w:szCs w:val="24"/>
        </w:rPr>
        <w:t>31</w:t>
      </w:r>
      <w:r w:rsidR="00440693">
        <w:rPr>
          <w:sz w:val="24"/>
          <w:szCs w:val="24"/>
        </w:rPr>
        <w:t xml:space="preserve"> </w:t>
      </w:r>
      <w:r w:rsidRPr="00440693">
        <w:rPr>
          <w:sz w:val="24"/>
          <w:szCs w:val="24"/>
        </w:rPr>
        <w:t>Korenstein D, Chimonas S, Barrow B, Keyhani S, Troy A, Lipitz-Snyderman A. Development of a conceptual map of negative consequences for patients of overuse of medical tests and treatments. </w:t>
      </w:r>
      <w:r w:rsidRPr="00440693">
        <w:rPr>
          <w:i/>
          <w:iCs/>
          <w:sz w:val="24"/>
          <w:szCs w:val="24"/>
        </w:rPr>
        <w:t>JAMA Intern Med</w:t>
      </w:r>
      <w:r w:rsidRPr="00440693">
        <w:rPr>
          <w:sz w:val="24"/>
          <w:szCs w:val="24"/>
        </w:rPr>
        <w:t>. 2018; </w:t>
      </w:r>
      <w:r w:rsidRPr="00440693">
        <w:rPr>
          <w:b/>
          <w:bCs/>
          <w:sz w:val="24"/>
          <w:szCs w:val="24"/>
        </w:rPr>
        <w:t>178</w:t>
      </w:r>
      <w:r w:rsidRPr="00440693">
        <w:rPr>
          <w:sz w:val="24"/>
          <w:szCs w:val="24"/>
        </w:rPr>
        <w:t>(10): 1401- 1407.</w:t>
      </w:r>
    </w:p>
    <w:p w14:paraId="51A9AC0A" w14:textId="031D206C" w:rsidR="006133CD" w:rsidRPr="00440693" w:rsidRDefault="006133CD" w:rsidP="00440693">
      <w:pPr>
        <w:pStyle w:val="NoSpacing"/>
        <w:ind w:left="720" w:hanging="720"/>
        <w:rPr>
          <w:sz w:val="24"/>
          <w:szCs w:val="24"/>
        </w:rPr>
      </w:pPr>
      <w:r w:rsidRPr="00440693">
        <w:rPr>
          <w:sz w:val="24"/>
          <w:szCs w:val="24"/>
        </w:rPr>
        <w:t>32</w:t>
      </w:r>
      <w:r w:rsidR="00440693">
        <w:rPr>
          <w:sz w:val="24"/>
          <w:szCs w:val="24"/>
        </w:rPr>
        <w:t xml:space="preserve"> </w:t>
      </w:r>
      <w:r w:rsidRPr="00440693">
        <w:rPr>
          <w:sz w:val="24"/>
          <w:szCs w:val="24"/>
        </w:rPr>
        <w:t>Weiss ME, Bobay KL, Bahr SJ, Costa L, Hughes RG, Holland DE. A model for hospital discharge preparation: from case management to care transition. </w:t>
      </w:r>
      <w:r w:rsidRPr="00440693">
        <w:rPr>
          <w:i/>
          <w:iCs/>
          <w:sz w:val="24"/>
          <w:szCs w:val="24"/>
        </w:rPr>
        <w:t>J Nurs Adm</w:t>
      </w:r>
      <w:r w:rsidRPr="00440693">
        <w:rPr>
          <w:sz w:val="24"/>
          <w:szCs w:val="24"/>
        </w:rPr>
        <w:t>. 2015; </w:t>
      </w:r>
      <w:r w:rsidRPr="00440693">
        <w:rPr>
          <w:b/>
          <w:bCs/>
          <w:sz w:val="24"/>
          <w:szCs w:val="24"/>
        </w:rPr>
        <w:t>45</w:t>
      </w:r>
      <w:r w:rsidRPr="00440693">
        <w:rPr>
          <w:sz w:val="24"/>
          <w:szCs w:val="24"/>
        </w:rPr>
        <w:t>(12): 606- 614.</w:t>
      </w:r>
    </w:p>
    <w:p w14:paraId="4B43AB89" w14:textId="0F718081" w:rsidR="006133CD" w:rsidRPr="00440693" w:rsidRDefault="006133CD" w:rsidP="00440693">
      <w:pPr>
        <w:pStyle w:val="NoSpacing"/>
        <w:ind w:left="720" w:hanging="720"/>
        <w:rPr>
          <w:sz w:val="24"/>
          <w:szCs w:val="24"/>
        </w:rPr>
      </w:pPr>
      <w:r w:rsidRPr="00440693">
        <w:rPr>
          <w:sz w:val="24"/>
          <w:szCs w:val="24"/>
        </w:rPr>
        <w:t>33</w:t>
      </w:r>
      <w:r w:rsidR="00440693">
        <w:rPr>
          <w:sz w:val="24"/>
          <w:szCs w:val="24"/>
        </w:rPr>
        <w:t xml:space="preserve"> </w:t>
      </w:r>
      <w:r w:rsidRPr="00440693">
        <w:rPr>
          <w:sz w:val="24"/>
          <w:szCs w:val="24"/>
        </w:rPr>
        <w:t>Chen YC, Guo YL, Chin WS, Cheng NY, Ho JJ, Shiao JS. Patient-nurse ratio is related to Nurses' intention to leave their job through mediating factors of burnout and job dissatisfaction. </w:t>
      </w:r>
      <w:r w:rsidRPr="00440693">
        <w:rPr>
          <w:i/>
          <w:iCs/>
          <w:sz w:val="24"/>
          <w:szCs w:val="24"/>
        </w:rPr>
        <w:t>Int J Environ Res Public Health</w:t>
      </w:r>
      <w:r w:rsidRPr="00440693">
        <w:rPr>
          <w:sz w:val="24"/>
          <w:szCs w:val="24"/>
        </w:rPr>
        <w:t>. 2019; </w:t>
      </w:r>
      <w:r w:rsidRPr="00440693">
        <w:rPr>
          <w:b/>
          <w:bCs/>
          <w:sz w:val="24"/>
          <w:szCs w:val="24"/>
        </w:rPr>
        <w:t>16</w:t>
      </w:r>
      <w:r w:rsidRPr="00440693">
        <w:rPr>
          <w:sz w:val="24"/>
          <w:szCs w:val="24"/>
        </w:rPr>
        <w:t>(23): 1- 14.</w:t>
      </w:r>
    </w:p>
    <w:p w14:paraId="7BD89238" w14:textId="77777777" w:rsidR="006133CD" w:rsidRPr="00440693" w:rsidRDefault="006133CD" w:rsidP="00440693">
      <w:pPr>
        <w:pStyle w:val="NoSpacing"/>
        <w:ind w:left="720" w:hanging="720"/>
        <w:rPr>
          <w:sz w:val="24"/>
          <w:szCs w:val="24"/>
        </w:rPr>
      </w:pPr>
      <w:r w:rsidRPr="00440693">
        <w:rPr>
          <w:sz w:val="24"/>
          <w:szCs w:val="24"/>
        </w:rPr>
        <w:t>34 </w:t>
      </w:r>
      <w:r w:rsidRPr="00440693">
        <w:rPr>
          <w:i/>
          <w:iCs/>
          <w:sz w:val="24"/>
          <w:szCs w:val="24"/>
        </w:rPr>
        <w:t>Taking Action against Clinician Burnout: a Systems Approach to Professional Well-Being: Consensus Study Report</w:t>
      </w:r>
      <w:r w:rsidRPr="00440693">
        <w:rPr>
          <w:sz w:val="24"/>
          <w:szCs w:val="24"/>
        </w:rPr>
        <w:t>. Washington, DC: National Academies Press; 2019.</w:t>
      </w:r>
    </w:p>
    <w:p w14:paraId="2D268786" w14:textId="105B859C" w:rsidR="006133CD" w:rsidRPr="00440693" w:rsidRDefault="006133CD" w:rsidP="00440693">
      <w:pPr>
        <w:pStyle w:val="NoSpacing"/>
        <w:ind w:left="720" w:hanging="720"/>
        <w:rPr>
          <w:sz w:val="24"/>
          <w:szCs w:val="24"/>
        </w:rPr>
      </w:pPr>
      <w:r w:rsidRPr="00440693">
        <w:rPr>
          <w:sz w:val="24"/>
          <w:szCs w:val="24"/>
        </w:rPr>
        <w:t>35</w:t>
      </w:r>
      <w:r w:rsidR="00440693">
        <w:rPr>
          <w:sz w:val="24"/>
          <w:szCs w:val="24"/>
        </w:rPr>
        <w:t xml:space="preserve"> </w:t>
      </w:r>
      <w:r w:rsidRPr="00440693">
        <w:rPr>
          <w:sz w:val="24"/>
          <w:szCs w:val="24"/>
        </w:rPr>
        <w:t>Jiang HJ, Stocks C, Wong CJ. Disparities between two common data sources on hospital nurse staffing. </w:t>
      </w:r>
      <w:r w:rsidRPr="00440693">
        <w:rPr>
          <w:i/>
          <w:iCs/>
          <w:sz w:val="24"/>
          <w:szCs w:val="24"/>
        </w:rPr>
        <w:t>J Nurs Scholarsh</w:t>
      </w:r>
      <w:r w:rsidRPr="00440693">
        <w:rPr>
          <w:sz w:val="24"/>
          <w:szCs w:val="24"/>
        </w:rPr>
        <w:t>. 2006; </w:t>
      </w:r>
      <w:r w:rsidRPr="00440693">
        <w:rPr>
          <w:b/>
          <w:bCs/>
          <w:sz w:val="24"/>
          <w:szCs w:val="24"/>
        </w:rPr>
        <w:t>38</w:t>
      </w:r>
      <w:r w:rsidRPr="00440693">
        <w:rPr>
          <w:sz w:val="24"/>
          <w:szCs w:val="24"/>
        </w:rPr>
        <w:t>(2): 187- 193.</w:t>
      </w:r>
    </w:p>
    <w:p w14:paraId="396205B0" w14:textId="22216F01" w:rsidR="006133CD" w:rsidRPr="00440693" w:rsidRDefault="006133CD" w:rsidP="00440693">
      <w:pPr>
        <w:pStyle w:val="NoSpacing"/>
        <w:ind w:left="720" w:hanging="720"/>
        <w:rPr>
          <w:sz w:val="24"/>
          <w:szCs w:val="24"/>
        </w:rPr>
      </w:pPr>
      <w:r w:rsidRPr="00440693">
        <w:rPr>
          <w:sz w:val="24"/>
          <w:szCs w:val="24"/>
        </w:rPr>
        <w:t>36</w:t>
      </w:r>
      <w:r w:rsidR="00440693">
        <w:rPr>
          <w:sz w:val="24"/>
          <w:szCs w:val="24"/>
        </w:rPr>
        <w:t xml:space="preserve"> </w:t>
      </w:r>
      <w:r w:rsidRPr="00440693">
        <w:rPr>
          <w:sz w:val="24"/>
          <w:szCs w:val="24"/>
        </w:rPr>
        <w:t>Friese CR, Xia R, Ghaferi A, Birkmeyer JD, Banerjee M. Hospitals in ‘Magnet’ program show better patient outcomes on mortality measures compared to non-‘Magnet’ hospitals. </w:t>
      </w:r>
      <w:r w:rsidRPr="00440693">
        <w:rPr>
          <w:i/>
          <w:iCs/>
          <w:sz w:val="24"/>
          <w:szCs w:val="24"/>
        </w:rPr>
        <w:t>Health Aff (Millwood)</w:t>
      </w:r>
      <w:r w:rsidRPr="00440693">
        <w:rPr>
          <w:sz w:val="24"/>
          <w:szCs w:val="24"/>
        </w:rPr>
        <w:t>. 2015; </w:t>
      </w:r>
      <w:r w:rsidRPr="00440693">
        <w:rPr>
          <w:b/>
          <w:bCs/>
          <w:sz w:val="24"/>
          <w:szCs w:val="24"/>
        </w:rPr>
        <w:t>34</w:t>
      </w:r>
      <w:r w:rsidRPr="00440693">
        <w:rPr>
          <w:sz w:val="24"/>
          <w:szCs w:val="24"/>
        </w:rPr>
        <w:t>(6): 986- 992.</w:t>
      </w:r>
    </w:p>
    <w:p w14:paraId="63AFB50B" w14:textId="77777777" w:rsidR="006133CD" w:rsidRPr="00440693" w:rsidRDefault="006133CD" w:rsidP="00440693">
      <w:pPr>
        <w:pStyle w:val="NoSpacing"/>
        <w:ind w:left="720" w:hanging="720"/>
        <w:rPr>
          <w:sz w:val="24"/>
          <w:szCs w:val="24"/>
        </w:rPr>
      </w:pPr>
      <w:r w:rsidRPr="00440693">
        <w:rPr>
          <w:sz w:val="24"/>
          <w:szCs w:val="24"/>
        </w:rPr>
        <w:t>37 Statistical Brief #248. </w:t>
      </w:r>
      <w:r w:rsidRPr="00440693">
        <w:rPr>
          <w:i/>
          <w:iCs/>
          <w:sz w:val="24"/>
          <w:szCs w:val="24"/>
        </w:rPr>
        <w:t>Healthcare Cost and Utilization Project (HCUP)</w:t>
      </w:r>
      <w:r w:rsidRPr="00440693">
        <w:rPr>
          <w:sz w:val="24"/>
          <w:szCs w:val="24"/>
        </w:rPr>
        <w:t>. Rockville, MD: Agency for Healthcare Research and Quality; 2019.</w:t>
      </w:r>
    </w:p>
    <w:p w14:paraId="20EC4BE1" w14:textId="77AC3378" w:rsidR="006133CD" w:rsidRPr="00440693" w:rsidRDefault="006133CD" w:rsidP="00440693">
      <w:pPr>
        <w:pStyle w:val="NoSpacing"/>
        <w:ind w:left="720" w:hanging="720"/>
        <w:rPr>
          <w:sz w:val="24"/>
          <w:szCs w:val="24"/>
        </w:rPr>
      </w:pPr>
      <w:r w:rsidRPr="00440693">
        <w:rPr>
          <w:sz w:val="24"/>
          <w:szCs w:val="24"/>
        </w:rPr>
        <w:t>38</w:t>
      </w:r>
      <w:r w:rsidR="00440693">
        <w:rPr>
          <w:sz w:val="24"/>
          <w:szCs w:val="24"/>
        </w:rPr>
        <w:t xml:space="preserve"> </w:t>
      </w:r>
      <w:r w:rsidRPr="00440693">
        <w:rPr>
          <w:sz w:val="24"/>
          <w:szCs w:val="24"/>
        </w:rPr>
        <w:t>Kelly LA, McHugh MD, Aiken LH. Nurse outcomes in magnet® and non-magnet hospitals. </w:t>
      </w:r>
      <w:r w:rsidRPr="00440693">
        <w:rPr>
          <w:i/>
          <w:iCs/>
          <w:sz w:val="24"/>
          <w:szCs w:val="24"/>
        </w:rPr>
        <w:t>J Nurs Adm</w:t>
      </w:r>
      <w:r w:rsidRPr="00440693">
        <w:rPr>
          <w:sz w:val="24"/>
          <w:szCs w:val="24"/>
        </w:rPr>
        <w:t>. 2012; </w:t>
      </w:r>
      <w:r w:rsidRPr="00440693">
        <w:rPr>
          <w:b/>
          <w:bCs/>
          <w:sz w:val="24"/>
          <w:szCs w:val="24"/>
        </w:rPr>
        <w:t>42</w:t>
      </w:r>
      <w:r w:rsidRPr="00440693">
        <w:rPr>
          <w:sz w:val="24"/>
          <w:szCs w:val="24"/>
        </w:rPr>
        <w:t>(10 suppl): S44- S49.</w:t>
      </w:r>
    </w:p>
    <w:p w14:paraId="233DB4AF" w14:textId="243F6A56" w:rsidR="006133CD" w:rsidRPr="00440693" w:rsidRDefault="006133CD" w:rsidP="00440693">
      <w:pPr>
        <w:pStyle w:val="NoSpacing"/>
        <w:ind w:left="720" w:hanging="720"/>
        <w:rPr>
          <w:sz w:val="24"/>
          <w:szCs w:val="24"/>
        </w:rPr>
      </w:pPr>
      <w:r w:rsidRPr="00440693">
        <w:rPr>
          <w:sz w:val="24"/>
          <w:szCs w:val="24"/>
        </w:rPr>
        <w:t>39</w:t>
      </w:r>
      <w:r w:rsidR="00440693">
        <w:rPr>
          <w:sz w:val="24"/>
          <w:szCs w:val="24"/>
        </w:rPr>
        <w:t xml:space="preserve"> </w:t>
      </w:r>
      <w:r w:rsidRPr="00440693">
        <w:rPr>
          <w:sz w:val="24"/>
          <w:szCs w:val="24"/>
        </w:rPr>
        <w:t>Hamadi HY, Martinez D, Palenzuela J, Spaulding AC. Magnet hospitals and 30-day readmission and mortality rates for Medicare beneficiaries. </w:t>
      </w:r>
      <w:r w:rsidRPr="00440693">
        <w:rPr>
          <w:i/>
          <w:iCs/>
          <w:sz w:val="24"/>
          <w:szCs w:val="24"/>
        </w:rPr>
        <w:t>Med Care</w:t>
      </w:r>
      <w:r w:rsidRPr="00440693">
        <w:rPr>
          <w:sz w:val="24"/>
          <w:szCs w:val="24"/>
        </w:rPr>
        <w:t>. 2021; </w:t>
      </w:r>
      <w:r w:rsidRPr="00440693">
        <w:rPr>
          <w:b/>
          <w:bCs/>
          <w:sz w:val="24"/>
          <w:szCs w:val="24"/>
        </w:rPr>
        <w:t>59</w:t>
      </w:r>
      <w:r w:rsidRPr="00440693">
        <w:rPr>
          <w:sz w:val="24"/>
          <w:szCs w:val="24"/>
        </w:rPr>
        <w:t>(1): 6- 12.</w:t>
      </w:r>
    </w:p>
    <w:p w14:paraId="78F178F6" w14:textId="2FDF181F" w:rsidR="006133CD" w:rsidRPr="00440693" w:rsidRDefault="006133CD" w:rsidP="00440693">
      <w:pPr>
        <w:pStyle w:val="NoSpacing"/>
        <w:ind w:left="720" w:hanging="720"/>
        <w:rPr>
          <w:sz w:val="24"/>
          <w:szCs w:val="24"/>
        </w:rPr>
      </w:pPr>
      <w:r w:rsidRPr="00440693">
        <w:rPr>
          <w:sz w:val="24"/>
          <w:szCs w:val="24"/>
        </w:rPr>
        <w:t>40</w:t>
      </w:r>
      <w:r w:rsidR="00440693">
        <w:rPr>
          <w:sz w:val="24"/>
          <w:szCs w:val="24"/>
        </w:rPr>
        <w:t xml:space="preserve"> </w:t>
      </w:r>
      <w:r w:rsidRPr="00440693">
        <w:rPr>
          <w:sz w:val="24"/>
          <w:szCs w:val="24"/>
        </w:rPr>
        <w:t>Jayawardhana J, Welton JM, Lindrooth RC. Is there a business case for magnet hospitals? Estimates of the cost and revenue implications of becoming a magnet. </w:t>
      </w:r>
      <w:r w:rsidRPr="00440693">
        <w:rPr>
          <w:i/>
          <w:iCs/>
          <w:sz w:val="24"/>
          <w:szCs w:val="24"/>
        </w:rPr>
        <w:t>Med Care</w:t>
      </w:r>
      <w:r w:rsidRPr="00440693">
        <w:rPr>
          <w:sz w:val="24"/>
          <w:szCs w:val="24"/>
        </w:rPr>
        <w:t>. 2014; </w:t>
      </w:r>
      <w:r w:rsidRPr="00440693">
        <w:rPr>
          <w:b/>
          <w:bCs/>
          <w:sz w:val="24"/>
          <w:szCs w:val="24"/>
        </w:rPr>
        <w:t>52</w:t>
      </w:r>
      <w:r w:rsidRPr="00440693">
        <w:rPr>
          <w:sz w:val="24"/>
          <w:szCs w:val="24"/>
        </w:rPr>
        <w:t>(5): 400- 406.</w:t>
      </w:r>
    </w:p>
    <w:p w14:paraId="1B667603" w14:textId="77777777" w:rsidR="0083781D" w:rsidRDefault="0083781D" w:rsidP="00D14423">
      <w:pPr>
        <w:rPr>
          <w:rFonts w:cstheme="minorHAnsi"/>
          <w:sz w:val="24"/>
          <w:szCs w:val="24"/>
        </w:rPr>
      </w:pPr>
    </w:p>
    <w:sectPr w:rsidR="0083781D" w:rsidSect="00AF62DE">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90A5F"/>
    <w:multiLevelType w:val="multilevel"/>
    <w:tmpl w:val="1FA41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5F425E"/>
    <w:multiLevelType w:val="multilevel"/>
    <w:tmpl w:val="A4A24F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B385CFD"/>
    <w:multiLevelType w:val="multilevel"/>
    <w:tmpl w:val="1FD45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6E93E13"/>
    <w:multiLevelType w:val="multilevel"/>
    <w:tmpl w:val="6374E2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8897889"/>
    <w:multiLevelType w:val="multilevel"/>
    <w:tmpl w:val="BF7C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C6C1F77"/>
    <w:multiLevelType w:val="multilevel"/>
    <w:tmpl w:val="99E21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BE74056"/>
    <w:multiLevelType w:val="multilevel"/>
    <w:tmpl w:val="A800A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37D586B"/>
    <w:multiLevelType w:val="multilevel"/>
    <w:tmpl w:val="A0CAF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FB0617C"/>
    <w:multiLevelType w:val="multilevel"/>
    <w:tmpl w:val="157C8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2"/>
  </w:num>
  <w:num w:numId="2" w16cid:durableId="42485251">
    <w:abstractNumId w:val="9"/>
  </w:num>
  <w:num w:numId="3" w16cid:durableId="962153638">
    <w:abstractNumId w:val="7"/>
  </w:num>
  <w:num w:numId="4" w16cid:durableId="532040543">
    <w:abstractNumId w:val="10"/>
  </w:num>
  <w:num w:numId="5" w16cid:durableId="1091656622">
    <w:abstractNumId w:val="6"/>
  </w:num>
  <w:num w:numId="6" w16cid:durableId="2075159133">
    <w:abstractNumId w:val="11"/>
  </w:num>
  <w:num w:numId="7" w16cid:durableId="833378028">
    <w:abstractNumId w:val="0"/>
  </w:num>
  <w:num w:numId="8" w16cid:durableId="1987317083">
    <w:abstractNumId w:val="3"/>
  </w:num>
  <w:num w:numId="9" w16cid:durableId="2067950136">
    <w:abstractNumId w:val="8"/>
  </w:num>
  <w:num w:numId="10" w16cid:durableId="922907799">
    <w:abstractNumId w:val="5"/>
  </w:num>
  <w:num w:numId="11" w16cid:durableId="443353997">
    <w:abstractNumId w:val="4"/>
  </w:num>
  <w:num w:numId="12" w16cid:durableId="11059233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cumentProtection w:edit="readOnly" w:formatting="1" w:enforcement="1" w:cryptProviderType="rsaAES" w:cryptAlgorithmClass="hash" w:cryptAlgorithmType="typeAny" w:cryptAlgorithmSid="14" w:cryptSpinCount="100000" w:hash="2W+iNgLaz0lE99vgYALxOhHrzOGQ6zSbjaeCDsSuSZsxXLiiVJQwCMDEdSKpjk1MJcDZMaMawBygqmPShM8qXQ==" w:salt="TYUW/wuctpOm8MKs7/SN5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265"/>
    <w:rsid w:val="0000729D"/>
    <w:rsid w:val="000078BE"/>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1B33"/>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0F8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02B7"/>
    <w:rsid w:val="000E12D5"/>
    <w:rsid w:val="000E69EF"/>
    <w:rsid w:val="000E7C46"/>
    <w:rsid w:val="000F0449"/>
    <w:rsid w:val="000F08DA"/>
    <w:rsid w:val="000F14F0"/>
    <w:rsid w:val="000F1D5E"/>
    <w:rsid w:val="000F33D0"/>
    <w:rsid w:val="00101A98"/>
    <w:rsid w:val="00104CE6"/>
    <w:rsid w:val="00107EA8"/>
    <w:rsid w:val="001102B4"/>
    <w:rsid w:val="00114114"/>
    <w:rsid w:val="00117F89"/>
    <w:rsid w:val="00120313"/>
    <w:rsid w:val="001233A5"/>
    <w:rsid w:val="00123BC0"/>
    <w:rsid w:val="00123E80"/>
    <w:rsid w:val="00131A15"/>
    <w:rsid w:val="00131C28"/>
    <w:rsid w:val="00134CF7"/>
    <w:rsid w:val="001407B2"/>
    <w:rsid w:val="0014182B"/>
    <w:rsid w:val="0014490B"/>
    <w:rsid w:val="00146A5C"/>
    <w:rsid w:val="00146E50"/>
    <w:rsid w:val="00150DB6"/>
    <w:rsid w:val="0015295B"/>
    <w:rsid w:val="00154AF2"/>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A4198"/>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0707"/>
    <w:rsid w:val="00224240"/>
    <w:rsid w:val="00225ECD"/>
    <w:rsid w:val="00226FA2"/>
    <w:rsid w:val="0024134B"/>
    <w:rsid w:val="0024239F"/>
    <w:rsid w:val="00251132"/>
    <w:rsid w:val="002534F0"/>
    <w:rsid w:val="002535DF"/>
    <w:rsid w:val="00253DB5"/>
    <w:rsid w:val="002558EB"/>
    <w:rsid w:val="00255B43"/>
    <w:rsid w:val="00255BDC"/>
    <w:rsid w:val="00255BEA"/>
    <w:rsid w:val="00261403"/>
    <w:rsid w:val="00261F59"/>
    <w:rsid w:val="00272AF4"/>
    <w:rsid w:val="00276C06"/>
    <w:rsid w:val="00280198"/>
    <w:rsid w:val="00282094"/>
    <w:rsid w:val="002843BC"/>
    <w:rsid w:val="00284A84"/>
    <w:rsid w:val="00284FCE"/>
    <w:rsid w:val="0029129F"/>
    <w:rsid w:val="00296B90"/>
    <w:rsid w:val="00297296"/>
    <w:rsid w:val="002A0668"/>
    <w:rsid w:val="002A3472"/>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E78C5"/>
    <w:rsid w:val="00300EE4"/>
    <w:rsid w:val="0030197F"/>
    <w:rsid w:val="0030223E"/>
    <w:rsid w:val="00303A1E"/>
    <w:rsid w:val="00303BBD"/>
    <w:rsid w:val="00313440"/>
    <w:rsid w:val="00314FCD"/>
    <w:rsid w:val="00323EC8"/>
    <w:rsid w:val="00324290"/>
    <w:rsid w:val="00331737"/>
    <w:rsid w:val="0033243D"/>
    <w:rsid w:val="0033652E"/>
    <w:rsid w:val="00340617"/>
    <w:rsid w:val="00340B13"/>
    <w:rsid w:val="00340CDB"/>
    <w:rsid w:val="003427C6"/>
    <w:rsid w:val="00343472"/>
    <w:rsid w:val="00344715"/>
    <w:rsid w:val="003455AA"/>
    <w:rsid w:val="00347634"/>
    <w:rsid w:val="00351E90"/>
    <w:rsid w:val="00360206"/>
    <w:rsid w:val="003624EE"/>
    <w:rsid w:val="003632E1"/>
    <w:rsid w:val="00363CD3"/>
    <w:rsid w:val="003656A8"/>
    <w:rsid w:val="003656A9"/>
    <w:rsid w:val="00366852"/>
    <w:rsid w:val="003706EF"/>
    <w:rsid w:val="00370BE4"/>
    <w:rsid w:val="00371D56"/>
    <w:rsid w:val="0037755D"/>
    <w:rsid w:val="00381F0E"/>
    <w:rsid w:val="0038549B"/>
    <w:rsid w:val="0038628A"/>
    <w:rsid w:val="0038634F"/>
    <w:rsid w:val="00391C48"/>
    <w:rsid w:val="00394307"/>
    <w:rsid w:val="00394337"/>
    <w:rsid w:val="003A437A"/>
    <w:rsid w:val="003A503E"/>
    <w:rsid w:val="003A6039"/>
    <w:rsid w:val="003B47FA"/>
    <w:rsid w:val="003B6208"/>
    <w:rsid w:val="003B7F8F"/>
    <w:rsid w:val="003C4172"/>
    <w:rsid w:val="003C437D"/>
    <w:rsid w:val="003C4456"/>
    <w:rsid w:val="003D1441"/>
    <w:rsid w:val="003D3301"/>
    <w:rsid w:val="003D4641"/>
    <w:rsid w:val="003E05B7"/>
    <w:rsid w:val="003E0C0A"/>
    <w:rsid w:val="003E29E0"/>
    <w:rsid w:val="003E6CFF"/>
    <w:rsid w:val="004010E3"/>
    <w:rsid w:val="004055B8"/>
    <w:rsid w:val="0040709D"/>
    <w:rsid w:val="0040778E"/>
    <w:rsid w:val="004122F9"/>
    <w:rsid w:val="004124D3"/>
    <w:rsid w:val="004139BA"/>
    <w:rsid w:val="00414591"/>
    <w:rsid w:val="00421CBC"/>
    <w:rsid w:val="0043008C"/>
    <w:rsid w:val="00430B91"/>
    <w:rsid w:val="004374EF"/>
    <w:rsid w:val="00440693"/>
    <w:rsid w:val="00440F61"/>
    <w:rsid w:val="004441CB"/>
    <w:rsid w:val="00450DB8"/>
    <w:rsid w:val="004515AD"/>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0DF"/>
    <w:rsid w:val="00497E47"/>
    <w:rsid w:val="004A0368"/>
    <w:rsid w:val="004A2715"/>
    <w:rsid w:val="004A2894"/>
    <w:rsid w:val="004A2B41"/>
    <w:rsid w:val="004A2EA5"/>
    <w:rsid w:val="004A3B3E"/>
    <w:rsid w:val="004B2226"/>
    <w:rsid w:val="004B6541"/>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1C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5B86"/>
    <w:rsid w:val="005C663B"/>
    <w:rsid w:val="005D066F"/>
    <w:rsid w:val="005D1C38"/>
    <w:rsid w:val="005D1ED6"/>
    <w:rsid w:val="005D767A"/>
    <w:rsid w:val="005E2628"/>
    <w:rsid w:val="005E3FF6"/>
    <w:rsid w:val="005E5140"/>
    <w:rsid w:val="005E5F66"/>
    <w:rsid w:val="005F46EC"/>
    <w:rsid w:val="005F49C9"/>
    <w:rsid w:val="005F71CE"/>
    <w:rsid w:val="005F7A68"/>
    <w:rsid w:val="00601980"/>
    <w:rsid w:val="0060332C"/>
    <w:rsid w:val="00604C5A"/>
    <w:rsid w:val="00607F1D"/>
    <w:rsid w:val="00612DE8"/>
    <w:rsid w:val="006133CD"/>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1F1"/>
    <w:rsid w:val="006647E7"/>
    <w:rsid w:val="00666FD4"/>
    <w:rsid w:val="00667217"/>
    <w:rsid w:val="006702C6"/>
    <w:rsid w:val="00674009"/>
    <w:rsid w:val="006769E6"/>
    <w:rsid w:val="00676C63"/>
    <w:rsid w:val="00682333"/>
    <w:rsid w:val="006844CA"/>
    <w:rsid w:val="006871E0"/>
    <w:rsid w:val="00693B53"/>
    <w:rsid w:val="00694EBF"/>
    <w:rsid w:val="00697377"/>
    <w:rsid w:val="006A1F61"/>
    <w:rsid w:val="006A533C"/>
    <w:rsid w:val="006A5E52"/>
    <w:rsid w:val="006A712D"/>
    <w:rsid w:val="006A7B71"/>
    <w:rsid w:val="006B20FD"/>
    <w:rsid w:val="006B3B2B"/>
    <w:rsid w:val="006C024E"/>
    <w:rsid w:val="006C7ED1"/>
    <w:rsid w:val="006D2367"/>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9E7"/>
    <w:rsid w:val="007246B0"/>
    <w:rsid w:val="007258CB"/>
    <w:rsid w:val="00730E29"/>
    <w:rsid w:val="00732FF6"/>
    <w:rsid w:val="00735393"/>
    <w:rsid w:val="00745E32"/>
    <w:rsid w:val="007466F7"/>
    <w:rsid w:val="00756C38"/>
    <w:rsid w:val="00757D89"/>
    <w:rsid w:val="0076194B"/>
    <w:rsid w:val="00761AF8"/>
    <w:rsid w:val="00763676"/>
    <w:rsid w:val="00772776"/>
    <w:rsid w:val="00776E56"/>
    <w:rsid w:val="00781619"/>
    <w:rsid w:val="0079146B"/>
    <w:rsid w:val="00791DD5"/>
    <w:rsid w:val="0079457D"/>
    <w:rsid w:val="00796875"/>
    <w:rsid w:val="0079756E"/>
    <w:rsid w:val="007A1233"/>
    <w:rsid w:val="007A258F"/>
    <w:rsid w:val="007A3232"/>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3781D"/>
    <w:rsid w:val="008406F5"/>
    <w:rsid w:val="00841F1E"/>
    <w:rsid w:val="00842203"/>
    <w:rsid w:val="00850E3E"/>
    <w:rsid w:val="00864432"/>
    <w:rsid w:val="008649A3"/>
    <w:rsid w:val="0086670A"/>
    <w:rsid w:val="00870BA1"/>
    <w:rsid w:val="008736FA"/>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A7B06"/>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1CD7"/>
    <w:rsid w:val="00925107"/>
    <w:rsid w:val="00925421"/>
    <w:rsid w:val="009267EE"/>
    <w:rsid w:val="00926994"/>
    <w:rsid w:val="00927998"/>
    <w:rsid w:val="00932185"/>
    <w:rsid w:val="009346E4"/>
    <w:rsid w:val="009347C4"/>
    <w:rsid w:val="00935F23"/>
    <w:rsid w:val="009372D8"/>
    <w:rsid w:val="00937D12"/>
    <w:rsid w:val="00940ED2"/>
    <w:rsid w:val="00946997"/>
    <w:rsid w:val="0094737A"/>
    <w:rsid w:val="00950094"/>
    <w:rsid w:val="0095139E"/>
    <w:rsid w:val="00951536"/>
    <w:rsid w:val="009526DC"/>
    <w:rsid w:val="00952B32"/>
    <w:rsid w:val="00952C61"/>
    <w:rsid w:val="00954B3E"/>
    <w:rsid w:val="009554A6"/>
    <w:rsid w:val="00956C21"/>
    <w:rsid w:val="00956FEB"/>
    <w:rsid w:val="009650D5"/>
    <w:rsid w:val="0096535F"/>
    <w:rsid w:val="00965F35"/>
    <w:rsid w:val="00966500"/>
    <w:rsid w:val="009729A3"/>
    <w:rsid w:val="009732A9"/>
    <w:rsid w:val="009761C9"/>
    <w:rsid w:val="00977C0E"/>
    <w:rsid w:val="00977F1D"/>
    <w:rsid w:val="00982217"/>
    <w:rsid w:val="00984B39"/>
    <w:rsid w:val="00986A83"/>
    <w:rsid w:val="00990645"/>
    <w:rsid w:val="009A130B"/>
    <w:rsid w:val="009A2639"/>
    <w:rsid w:val="009A29E5"/>
    <w:rsid w:val="009A397F"/>
    <w:rsid w:val="009B4F83"/>
    <w:rsid w:val="009B6983"/>
    <w:rsid w:val="009C00A0"/>
    <w:rsid w:val="009C5450"/>
    <w:rsid w:val="009C5716"/>
    <w:rsid w:val="009C728A"/>
    <w:rsid w:val="009D316A"/>
    <w:rsid w:val="009D3527"/>
    <w:rsid w:val="009D5368"/>
    <w:rsid w:val="009D54DF"/>
    <w:rsid w:val="009D7F90"/>
    <w:rsid w:val="009E56AC"/>
    <w:rsid w:val="009E56AF"/>
    <w:rsid w:val="009E678D"/>
    <w:rsid w:val="009F28E2"/>
    <w:rsid w:val="009F4BDF"/>
    <w:rsid w:val="009F60BA"/>
    <w:rsid w:val="009F7F44"/>
    <w:rsid w:val="00A01B8D"/>
    <w:rsid w:val="00A034AE"/>
    <w:rsid w:val="00A035F5"/>
    <w:rsid w:val="00A07F07"/>
    <w:rsid w:val="00A11F34"/>
    <w:rsid w:val="00A1350A"/>
    <w:rsid w:val="00A20052"/>
    <w:rsid w:val="00A231A4"/>
    <w:rsid w:val="00A310DA"/>
    <w:rsid w:val="00A32FCB"/>
    <w:rsid w:val="00A3561C"/>
    <w:rsid w:val="00A400BC"/>
    <w:rsid w:val="00A40701"/>
    <w:rsid w:val="00A42169"/>
    <w:rsid w:val="00A424F1"/>
    <w:rsid w:val="00A426B2"/>
    <w:rsid w:val="00A45EE8"/>
    <w:rsid w:val="00A463AF"/>
    <w:rsid w:val="00A465FC"/>
    <w:rsid w:val="00A47484"/>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32C"/>
    <w:rsid w:val="00AA493D"/>
    <w:rsid w:val="00AB4807"/>
    <w:rsid w:val="00AB4813"/>
    <w:rsid w:val="00AC0052"/>
    <w:rsid w:val="00AC04D6"/>
    <w:rsid w:val="00AC428F"/>
    <w:rsid w:val="00AD0685"/>
    <w:rsid w:val="00AD1A1F"/>
    <w:rsid w:val="00AD38C1"/>
    <w:rsid w:val="00AD5A78"/>
    <w:rsid w:val="00AE1517"/>
    <w:rsid w:val="00AE4078"/>
    <w:rsid w:val="00AE4230"/>
    <w:rsid w:val="00AE69D7"/>
    <w:rsid w:val="00AE71AA"/>
    <w:rsid w:val="00AF1374"/>
    <w:rsid w:val="00AF1E8A"/>
    <w:rsid w:val="00AF2DE8"/>
    <w:rsid w:val="00AF5947"/>
    <w:rsid w:val="00AF62DE"/>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37D51"/>
    <w:rsid w:val="00B43446"/>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6E37"/>
    <w:rsid w:val="00B910CB"/>
    <w:rsid w:val="00B91743"/>
    <w:rsid w:val="00B91D38"/>
    <w:rsid w:val="00B927D2"/>
    <w:rsid w:val="00B935A4"/>
    <w:rsid w:val="00B945E5"/>
    <w:rsid w:val="00B9636B"/>
    <w:rsid w:val="00B974AD"/>
    <w:rsid w:val="00BA22C6"/>
    <w:rsid w:val="00BA316D"/>
    <w:rsid w:val="00BA5FEF"/>
    <w:rsid w:val="00BA7628"/>
    <w:rsid w:val="00BA7BB9"/>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58A7"/>
    <w:rsid w:val="00BF6ECD"/>
    <w:rsid w:val="00BF790B"/>
    <w:rsid w:val="00C01E67"/>
    <w:rsid w:val="00C04D2D"/>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3CEB"/>
    <w:rsid w:val="00C85BDD"/>
    <w:rsid w:val="00C86B81"/>
    <w:rsid w:val="00C91557"/>
    <w:rsid w:val="00C92F74"/>
    <w:rsid w:val="00CA1C19"/>
    <w:rsid w:val="00CA204D"/>
    <w:rsid w:val="00CA2E14"/>
    <w:rsid w:val="00CA60CD"/>
    <w:rsid w:val="00CB06D2"/>
    <w:rsid w:val="00CB10E9"/>
    <w:rsid w:val="00CB11D6"/>
    <w:rsid w:val="00CB5475"/>
    <w:rsid w:val="00CB665E"/>
    <w:rsid w:val="00CB6E09"/>
    <w:rsid w:val="00CC09A7"/>
    <w:rsid w:val="00CC0FD9"/>
    <w:rsid w:val="00CC1F8F"/>
    <w:rsid w:val="00CD139B"/>
    <w:rsid w:val="00CD5E59"/>
    <w:rsid w:val="00CD7831"/>
    <w:rsid w:val="00CE05D4"/>
    <w:rsid w:val="00CE4712"/>
    <w:rsid w:val="00CE7AC2"/>
    <w:rsid w:val="00CF53EE"/>
    <w:rsid w:val="00D01E5B"/>
    <w:rsid w:val="00D02378"/>
    <w:rsid w:val="00D02952"/>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4B37"/>
    <w:rsid w:val="00D45330"/>
    <w:rsid w:val="00D45705"/>
    <w:rsid w:val="00D45A48"/>
    <w:rsid w:val="00D45DB8"/>
    <w:rsid w:val="00D45FAE"/>
    <w:rsid w:val="00D505CD"/>
    <w:rsid w:val="00D50821"/>
    <w:rsid w:val="00D52361"/>
    <w:rsid w:val="00D52D25"/>
    <w:rsid w:val="00D657EC"/>
    <w:rsid w:val="00D65A57"/>
    <w:rsid w:val="00D66306"/>
    <w:rsid w:val="00D66B18"/>
    <w:rsid w:val="00D726DB"/>
    <w:rsid w:val="00D73164"/>
    <w:rsid w:val="00D7469C"/>
    <w:rsid w:val="00D77E53"/>
    <w:rsid w:val="00D8135F"/>
    <w:rsid w:val="00D81DD5"/>
    <w:rsid w:val="00D85787"/>
    <w:rsid w:val="00D87BB8"/>
    <w:rsid w:val="00D90BD9"/>
    <w:rsid w:val="00D932C5"/>
    <w:rsid w:val="00D939A7"/>
    <w:rsid w:val="00D9581C"/>
    <w:rsid w:val="00D95DCB"/>
    <w:rsid w:val="00D96228"/>
    <w:rsid w:val="00DA5459"/>
    <w:rsid w:val="00DA619A"/>
    <w:rsid w:val="00DA684F"/>
    <w:rsid w:val="00DB357A"/>
    <w:rsid w:val="00DB4233"/>
    <w:rsid w:val="00DB5097"/>
    <w:rsid w:val="00DC4F7C"/>
    <w:rsid w:val="00DC7134"/>
    <w:rsid w:val="00DC7C2C"/>
    <w:rsid w:val="00DD1502"/>
    <w:rsid w:val="00DD2256"/>
    <w:rsid w:val="00DD4B55"/>
    <w:rsid w:val="00DD5871"/>
    <w:rsid w:val="00DE2F66"/>
    <w:rsid w:val="00DE4173"/>
    <w:rsid w:val="00DE4592"/>
    <w:rsid w:val="00DE6744"/>
    <w:rsid w:val="00DF6125"/>
    <w:rsid w:val="00E11BA4"/>
    <w:rsid w:val="00E12335"/>
    <w:rsid w:val="00E13E05"/>
    <w:rsid w:val="00E15784"/>
    <w:rsid w:val="00E16734"/>
    <w:rsid w:val="00E179BE"/>
    <w:rsid w:val="00E20401"/>
    <w:rsid w:val="00E264D8"/>
    <w:rsid w:val="00E319F9"/>
    <w:rsid w:val="00E331C7"/>
    <w:rsid w:val="00E3498D"/>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7DA0"/>
    <w:rsid w:val="00E81F85"/>
    <w:rsid w:val="00E839CA"/>
    <w:rsid w:val="00E8413D"/>
    <w:rsid w:val="00E84C2A"/>
    <w:rsid w:val="00E90CA1"/>
    <w:rsid w:val="00E91D25"/>
    <w:rsid w:val="00E94035"/>
    <w:rsid w:val="00E95F4D"/>
    <w:rsid w:val="00E97067"/>
    <w:rsid w:val="00EA3852"/>
    <w:rsid w:val="00EA6E8E"/>
    <w:rsid w:val="00EA7978"/>
    <w:rsid w:val="00EA7D19"/>
    <w:rsid w:val="00EB7F70"/>
    <w:rsid w:val="00EC4C2A"/>
    <w:rsid w:val="00EC6764"/>
    <w:rsid w:val="00EC726F"/>
    <w:rsid w:val="00EC7743"/>
    <w:rsid w:val="00EC7B8C"/>
    <w:rsid w:val="00ED2540"/>
    <w:rsid w:val="00ED48A6"/>
    <w:rsid w:val="00ED521A"/>
    <w:rsid w:val="00EE1F48"/>
    <w:rsid w:val="00EE262B"/>
    <w:rsid w:val="00EE3C5A"/>
    <w:rsid w:val="00EE4E0F"/>
    <w:rsid w:val="00EE504D"/>
    <w:rsid w:val="00EE75E3"/>
    <w:rsid w:val="00EE7777"/>
    <w:rsid w:val="00EF0C86"/>
    <w:rsid w:val="00EF2D7A"/>
    <w:rsid w:val="00EF586D"/>
    <w:rsid w:val="00F00B9A"/>
    <w:rsid w:val="00F0246E"/>
    <w:rsid w:val="00F026DB"/>
    <w:rsid w:val="00F04133"/>
    <w:rsid w:val="00F04BB0"/>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387E"/>
    <w:rsid w:val="00F559A5"/>
    <w:rsid w:val="00F55F9D"/>
    <w:rsid w:val="00F56E1A"/>
    <w:rsid w:val="00F60EEE"/>
    <w:rsid w:val="00F6204B"/>
    <w:rsid w:val="00F62CDA"/>
    <w:rsid w:val="00F6448C"/>
    <w:rsid w:val="00F65D8A"/>
    <w:rsid w:val="00F668FB"/>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E761B"/>
    <w:rsid w:val="00FF1F94"/>
    <w:rsid w:val="00FF2B49"/>
    <w:rsid w:val="00FF3001"/>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2952"/>
  </w:style>
  <w:style w:type="paragraph" w:styleId="Heading1">
    <w:name w:val="heading 1"/>
    <w:basedOn w:val="Normal"/>
    <w:next w:val="Normal"/>
    <w:link w:val="Heading1Char"/>
    <w:uiPriority w:val="9"/>
    <w:qFormat/>
    <w:rsid w:val="00D02952"/>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02952"/>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02952"/>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02952"/>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02952"/>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02952"/>
    <w:pPr>
      <w:keepNext/>
      <w:keepLines/>
      <w:spacing w:before="40" w:after="0"/>
      <w:outlineLvl w:val="5"/>
    </w:pPr>
  </w:style>
  <w:style w:type="paragraph" w:styleId="Heading7">
    <w:name w:val="heading 7"/>
    <w:basedOn w:val="Normal"/>
    <w:next w:val="Normal"/>
    <w:link w:val="Heading7Char"/>
    <w:uiPriority w:val="9"/>
    <w:semiHidden/>
    <w:unhideWhenUsed/>
    <w:qFormat/>
    <w:rsid w:val="00D02952"/>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02952"/>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0295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2952"/>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02952"/>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02952"/>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02952"/>
    <w:rPr>
      <w:i/>
      <w:iCs/>
    </w:rPr>
  </w:style>
  <w:style w:type="character" w:customStyle="1" w:styleId="Heading5Char">
    <w:name w:val="Heading 5 Char"/>
    <w:basedOn w:val="DefaultParagraphFont"/>
    <w:link w:val="Heading5"/>
    <w:uiPriority w:val="9"/>
    <w:semiHidden/>
    <w:rsid w:val="00D02952"/>
    <w:rPr>
      <w:color w:val="404040" w:themeColor="text1" w:themeTint="BF"/>
    </w:rPr>
  </w:style>
  <w:style w:type="character" w:customStyle="1" w:styleId="Heading6Char">
    <w:name w:val="Heading 6 Char"/>
    <w:basedOn w:val="DefaultParagraphFont"/>
    <w:link w:val="Heading6"/>
    <w:uiPriority w:val="9"/>
    <w:semiHidden/>
    <w:rsid w:val="00D02952"/>
  </w:style>
  <w:style w:type="character" w:customStyle="1" w:styleId="Heading7Char">
    <w:name w:val="Heading 7 Char"/>
    <w:basedOn w:val="DefaultParagraphFont"/>
    <w:link w:val="Heading7"/>
    <w:uiPriority w:val="9"/>
    <w:semiHidden/>
    <w:rsid w:val="00D02952"/>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02952"/>
    <w:rPr>
      <w:color w:val="262626" w:themeColor="text1" w:themeTint="D9"/>
      <w:sz w:val="21"/>
      <w:szCs w:val="21"/>
    </w:rPr>
  </w:style>
  <w:style w:type="character" w:customStyle="1" w:styleId="Heading9Char">
    <w:name w:val="Heading 9 Char"/>
    <w:basedOn w:val="DefaultParagraphFont"/>
    <w:link w:val="Heading9"/>
    <w:uiPriority w:val="9"/>
    <w:semiHidden/>
    <w:rsid w:val="00D02952"/>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02952"/>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02952"/>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02952"/>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02952"/>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02952"/>
    <w:rPr>
      <w:color w:val="5A5A5A" w:themeColor="text1" w:themeTint="A5"/>
      <w:spacing w:val="15"/>
    </w:rPr>
  </w:style>
  <w:style w:type="character" w:styleId="Strong">
    <w:name w:val="Strong"/>
    <w:basedOn w:val="DefaultParagraphFont"/>
    <w:uiPriority w:val="22"/>
    <w:qFormat/>
    <w:rsid w:val="00D02952"/>
    <w:rPr>
      <w:b/>
      <w:bCs/>
      <w:color w:val="auto"/>
    </w:rPr>
  </w:style>
  <w:style w:type="character" w:styleId="Emphasis">
    <w:name w:val="Emphasis"/>
    <w:basedOn w:val="DefaultParagraphFont"/>
    <w:uiPriority w:val="20"/>
    <w:qFormat/>
    <w:rsid w:val="00D02952"/>
    <w:rPr>
      <w:i/>
      <w:iCs/>
      <w:color w:val="auto"/>
    </w:rPr>
  </w:style>
  <w:style w:type="paragraph" w:styleId="NoSpacing">
    <w:name w:val="No Spacing"/>
    <w:uiPriority w:val="1"/>
    <w:qFormat/>
    <w:rsid w:val="00D02952"/>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02952"/>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02952"/>
    <w:rPr>
      <w:i/>
      <w:iCs/>
      <w:color w:val="404040" w:themeColor="text1" w:themeTint="BF"/>
    </w:rPr>
  </w:style>
  <w:style w:type="paragraph" w:styleId="IntenseQuote">
    <w:name w:val="Intense Quote"/>
    <w:basedOn w:val="Normal"/>
    <w:next w:val="Normal"/>
    <w:link w:val="IntenseQuoteChar"/>
    <w:uiPriority w:val="30"/>
    <w:qFormat/>
    <w:rsid w:val="00D02952"/>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02952"/>
    <w:rPr>
      <w:i/>
      <w:iCs/>
      <w:color w:val="404040" w:themeColor="text1" w:themeTint="BF"/>
    </w:rPr>
  </w:style>
  <w:style w:type="character" w:styleId="SubtleEmphasis">
    <w:name w:val="Subtle Emphasis"/>
    <w:basedOn w:val="DefaultParagraphFont"/>
    <w:uiPriority w:val="19"/>
    <w:qFormat/>
    <w:rsid w:val="00D02952"/>
    <w:rPr>
      <w:i/>
      <w:iCs/>
      <w:color w:val="404040" w:themeColor="text1" w:themeTint="BF"/>
    </w:rPr>
  </w:style>
  <w:style w:type="character" w:styleId="IntenseEmphasis">
    <w:name w:val="Intense Emphasis"/>
    <w:basedOn w:val="DefaultParagraphFont"/>
    <w:uiPriority w:val="21"/>
    <w:qFormat/>
    <w:rsid w:val="00D02952"/>
    <w:rPr>
      <w:b/>
      <w:bCs/>
      <w:i/>
      <w:iCs/>
      <w:color w:val="auto"/>
    </w:rPr>
  </w:style>
  <w:style w:type="character" w:styleId="SubtleReference">
    <w:name w:val="Subtle Reference"/>
    <w:basedOn w:val="DefaultParagraphFont"/>
    <w:uiPriority w:val="31"/>
    <w:qFormat/>
    <w:rsid w:val="00D02952"/>
    <w:rPr>
      <w:smallCaps/>
      <w:color w:val="404040" w:themeColor="text1" w:themeTint="BF"/>
    </w:rPr>
  </w:style>
  <w:style w:type="character" w:styleId="IntenseReference">
    <w:name w:val="Intense Reference"/>
    <w:basedOn w:val="DefaultParagraphFont"/>
    <w:uiPriority w:val="32"/>
    <w:qFormat/>
    <w:rsid w:val="00D02952"/>
    <w:rPr>
      <w:b/>
      <w:bCs/>
      <w:smallCaps/>
      <w:color w:val="404040" w:themeColor="text1" w:themeTint="BF"/>
      <w:spacing w:val="5"/>
    </w:rPr>
  </w:style>
  <w:style w:type="character" w:styleId="BookTitle">
    <w:name w:val="Book Title"/>
    <w:basedOn w:val="DefaultParagraphFont"/>
    <w:uiPriority w:val="33"/>
    <w:qFormat/>
    <w:rsid w:val="00D02952"/>
    <w:rPr>
      <w:b/>
      <w:bCs/>
      <w:i/>
      <w:iCs/>
      <w:spacing w:val="5"/>
    </w:rPr>
  </w:style>
  <w:style w:type="paragraph" w:styleId="TOCHeading">
    <w:name w:val="TOC Heading"/>
    <w:basedOn w:val="Heading1"/>
    <w:next w:val="Normal"/>
    <w:uiPriority w:val="39"/>
    <w:semiHidden/>
    <w:unhideWhenUsed/>
    <w:qFormat/>
    <w:rsid w:val="00D02952"/>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 w:type="character" w:customStyle="1" w:styleId="accordion-tabbedtab-mobile">
    <w:name w:val="accordion-tabbed__tab-mobile"/>
    <w:basedOn w:val="DefaultParagraphFont"/>
    <w:rsid w:val="003E29E0"/>
  </w:style>
  <w:style w:type="character" w:customStyle="1" w:styleId="comma-separator">
    <w:name w:val="comma-separator"/>
    <w:basedOn w:val="DefaultParagraphFont"/>
    <w:rsid w:val="003E29E0"/>
  </w:style>
  <w:style w:type="character" w:customStyle="1" w:styleId="ellipsis">
    <w:name w:val="ellipsis"/>
    <w:basedOn w:val="DefaultParagraphFont"/>
    <w:rsid w:val="003E29E0"/>
  </w:style>
  <w:style w:type="character" w:customStyle="1" w:styleId="epub-state">
    <w:name w:val="epub-state"/>
    <w:basedOn w:val="DefaultParagraphFont"/>
    <w:rsid w:val="003E29E0"/>
  </w:style>
  <w:style w:type="character" w:customStyle="1" w:styleId="epub-date">
    <w:name w:val="epub-date"/>
    <w:basedOn w:val="DefaultParagraphFont"/>
    <w:rsid w:val="003E29E0"/>
  </w:style>
  <w:style w:type="character" w:customStyle="1" w:styleId="openurl">
    <w:name w:val="openurl"/>
    <w:basedOn w:val="DefaultParagraphFont"/>
    <w:rsid w:val="003E29E0"/>
  </w:style>
  <w:style w:type="character" w:customStyle="1" w:styleId="sectiontitle">
    <w:name w:val="section__title"/>
    <w:basedOn w:val="DefaultParagraphFont"/>
    <w:rsid w:val="003E29E0"/>
  </w:style>
  <w:style w:type="character" w:customStyle="1" w:styleId="bullet">
    <w:name w:val="bullet"/>
    <w:basedOn w:val="DefaultParagraphFont"/>
    <w:rsid w:val="006133CD"/>
  </w:style>
  <w:style w:type="character" w:customStyle="1" w:styleId="author">
    <w:name w:val="author"/>
    <w:basedOn w:val="DefaultParagraphFont"/>
    <w:rsid w:val="006133CD"/>
  </w:style>
  <w:style w:type="character" w:customStyle="1" w:styleId="articletitle">
    <w:name w:val="articletitle"/>
    <w:basedOn w:val="DefaultParagraphFont"/>
    <w:rsid w:val="006133CD"/>
  </w:style>
  <w:style w:type="character" w:customStyle="1" w:styleId="pubyear">
    <w:name w:val="pubyear"/>
    <w:basedOn w:val="DefaultParagraphFont"/>
    <w:rsid w:val="006133CD"/>
  </w:style>
  <w:style w:type="character" w:customStyle="1" w:styleId="vol">
    <w:name w:val="vol"/>
    <w:basedOn w:val="DefaultParagraphFont"/>
    <w:rsid w:val="006133CD"/>
  </w:style>
  <w:style w:type="character" w:customStyle="1" w:styleId="citedissue">
    <w:name w:val="citedissue"/>
    <w:basedOn w:val="DefaultParagraphFont"/>
    <w:rsid w:val="006133CD"/>
  </w:style>
  <w:style w:type="character" w:customStyle="1" w:styleId="pagefirst">
    <w:name w:val="pagefirst"/>
    <w:basedOn w:val="DefaultParagraphFont"/>
    <w:rsid w:val="006133CD"/>
  </w:style>
  <w:style w:type="character" w:customStyle="1" w:styleId="pagelast">
    <w:name w:val="pagelast"/>
    <w:basedOn w:val="DefaultParagraphFont"/>
    <w:rsid w:val="006133CD"/>
  </w:style>
  <w:style w:type="paragraph" w:customStyle="1" w:styleId="getftritem">
    <w:name w:val="getftr__item"/>
    <w:basedOn w:val="Normal"/>
    <w:rsid w:val="006133C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oktitle0">
    <w:name w:val="booktitle"/>
    <w:basedOn w:val="DefaultParagraphFont"/>
    <w:rsid w:val="006133CD"/>
  </w:style>
  <w:style w:type="character" w:customStyle="1" w:styleId="publisherlocation">
    <w:name w:val="publisherlocation"/>
    <w:basedOn w:val="DefaultParagraphFont"/>
    <w:rsid w:val="006133CD"/>
  </w:style>
  <w:style w:type="character" w:customStyle="1" w:styleId="editor">
    <w:name w:val="editor"/>
    <w:basedOn w:val="DefaultParagraphFont"/>
    <w:rsid w:val="006133CD"/>
  </w:style>
  <w:style w:type="character" w:customStyle="1" w:styleId="othertitle">
    <w:name w:val="othertitle"/>
    <w:basedOn w:val="DefaultParagraphFont"/>
    <w:rsid w:val="006133CD"/>
  </w:style>
  <w:style w:type="character" w:customStyle="1" w:styleId="chaptertitle">
    <w:name w:val="chaptertitle"/>
    <w:basedOn w:val="DefaultParagraphFont"/>
    <w:rsid w:val="006133CD"/>
  </w:style>
  <w:style w:type="character" w:customStyle="1" w:styleId="groupname">
    <w:name w:val="groupname"/>
    <w:basedOn w:val="DefaultParagraphFont"/>
    <w:rsid w:val="006133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6595069">
      <w:bodyDiv w:val="1"/>
      <w:marLeft w:val="0"/>
      <w:marRight w:val="0"/>
      <w:marTop w:val="0"/>
      <w:marBottom w:val="0"/>
      <w:divBdr>
        <w:top w:val="none" w:sz="0" w:space="0" w:color="auto"/>
        <w:left w:val="none" w:sz="0" w:space="0" w:color="auto"/>
        <w:bottom w:val="none" w:sz="0" w:space="0" w:color="auto"/>
        <w:right w:val="none" w:sz="0" w:space="0" w:color="auto"/>
      </w:divBdr>
      <w:divsChild>
        <w:div w:id="139539867">
          <w:marLeft w:val="0"/>
          <w:marRight w:val="0"/>
          <w:marTop w:val="0"/>
          <w:marBottom w:val="0"/>
          <w:divBdr>
            <w:top w:val="none" w:sz="0" w:space="0" w:color="auto"/>
            <w:left w:val="none" w:sz="0" w:space="0" w:color="auto"/>
            <w:bottom w:val="none" w:sz="0" w:space="0" w:color="auto"/>
            <w:right w:val="none" w:sz="0" w:space="0" w:color="auto"/>
          </w:divBdr>
          <w:divsChild>
            <w:div w:id="695231955">
              <w:marLeft w:val="0"/>
              <w:marRight w:val="0"/>
              <w:marTop w:val="0"/>
              <w:marBottom w:val="0"/>
              <w:divBdr>
                <w:top w:val="none" w:sz="0" w:space="0" w:color="auto"/>
                <w:left w:val="none" w:sz="0" w:space="0" w:color="auto"/>
                <w:bottom w:val="none" w:sz="0" w:space="0" w:color="auto"/>
                <w:right w:val="none" w:sz="0" w:space="0" w:color="auto"/>
              </w:divBdr>
              <w:divsChild>
                <w:div w:id="1615137810">
                  <w:marLeft w:val="0"/>
                  <w:marRight w:val="0"/>
                  <w:marTop w:val="0"/>
                  <w:marBottom w:val="0"/>
                  <w:divBdr>
                    <w:top w:val="none" w:sz="0" w:space="0" w:color="auto"/>
                    <w:left w:val="none" w:sz="0" w:space="0" w:color="auto"/>
                    <w:bottom w:val="none" w:sz="0" w:space="0" w:color="auto"/>
                    <w:right w:val="none" w:sz="0" w:space="0" w:color="auto"/>
                  </w:divBdr>
                  <w:divsChild>
                    <w:div w:id="741954104">
                      <w:marLeft w:val="0"/>
                      <w:marRight w:val="0"/>
                      <w:marTop w:val="0"/>
                      <w:marBottom w:val="0"/>
                      <w:divBdr>
                        <w:top w:val="none" w:sz="0" w:space="0" w:color="auto"/>
                        <w:left w:val="none" w:sz="0" w:space="0" w:color="auto"/>
                        <w:bottom w:val="none" w:sz="0" w:space="0" w:color="auto"/>
                        <w:right w:val="none" w:sz="0" w:space="0" w:color="auto"/>
                      </w:divBdr>
                      <w:divsChild>
                        <w:div w:id="973944183">
                          <w:marLeft w:val="0"/>
                          <w:marRight w:val="0"/>
                          <w:marTop w:val="0"/>
                          <w:marBottom w:val="0"/>
                          <w:divBdr>
                            <w:top w:val="none" w:sz="0" w:space="0" w:color="auto"/>
                            <w:left w:val="none" w:sz="0" w:space="0" w:color="auto"/>
                            <w:bottom w:val="none" w:sz="0" w:space="0" w:color="auto"/>
                            <w:right w:val="none" w:sz="0" w:space="0" w:color="auto"/>
                          </w:divBdr>
                          <w:divsChild>
                            <w:div w:id="901141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599083">
                  <w:marLeft w:val="0"/>
                  <w:marRight w:val="0"/>
                  <w:marTop w:val="0"/>
                  <w:marBottom w:val="0"/>
                  <w:divBdr>
                    <w:top w:val="none" w:sz="0" w:space="0" w:color="auto"/>
                    <w:left w:val="none" w:sz="0" w:space="0" w:color="auto"/>
                    <w:bottom w:val="none" w:sz="0" w:space="0" w:color="auto"/>
                    <w:right w:val="none" w:sz="0" w:space="0" w:color="auto"/>
                  </w:divBdr>
                  <w:divsChild>
                    <w:div w:id="264651989">
                      <w:marLeft w:val="0"/>
                      <w:marRight w:val="0"/>
                      <w:marTop w:val="0"/>
                      <w:marBottom w:val="0"/>
                      <w:divBdr>
                        <w:top w:val="none" w:sz="0" w:space="0" w:color="auto"/>
                        <w:left w:val="none" w:sz="0" w:space="0" w:color="auto"/>
                        <w:bottom w:val="none" w:sz="0" w:space="0" w:color="auto"/>
                        <w:right w:val="none" w:sz="0" w:space="0" w:color="auto"/>
                      </w:divBdr>
                    </w:div>
                    <w:div w:id="805044395">
                      <w:marLeft w:val="0"/>
                      <w:marRight w:val="0"/>
                      <w:marTop w:val="0"/>
                      <w:marBottom w:val="0"/>
                      <w:divBdr>
                        <w:top w:val="none" w:sz="0" w:space="0" w:color="auto"/>
                        <w:left w:val="none" w:sz="0" w:space="0" w:color="auto"/>
                        <w:bottom w:val="none" w:sz="0" w:space="0" w:color="auto"/>
                        <w:right w:val="none" w:sz="0" w:space="0" w:color="auto"/>
                      </w:divBdr>
                    </w:div>
                  </w:divsChild>
                </w:div>
                <w:div w:id="946741178">
                  <w:marLeft w:val="0"/>
                  <w:marRight w:val="0"/>
                  <w:marTop w:val="0"/>
                  <w:marBottom w:val="0"/>
                  <w:divBdr>
                    <w:top w:val="none" w:sz="0" w:space="0" w:color="auto"/>
                    <w:left w:val="none" w:sz="0" w:space="0" w:color="auto"/>
                    <w:bottom w:val="none" w:sz="0" w:space="0" w:color="auto"/>
                    <w:right w:val="none" w:sz="0" w:space="0" w:color="auto"/>
                  </w:divBdr>
                  <w:divsChild>
                    <w:div w:id="1094474923">
                      <w:marLeft w:val="0"/>
                      <w:marRight w:val="0"/>
                      <w:marTop w:val="0"/>
                      <w:marBottom w:val="0"/>
                      <w:divBdr>
                        <w:top w:val="none" w:sz="0" w:space="0" w:color="auto"/>
                        <w:left w:val="none" w:sz="0" w:space="0" w:color="auto"/>
                        <w:bottom w:val="none" w:sz="0" w:space="0" w:color="auto"/>
                        <w:right w:val="none" w:sz="0" w:space="0" w:color="auto"/>
                      </w:divBdr>
                      <w:divsChild>
                        <w:div w:id="32775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946057">
          <w:marLeft w:val="0"/>
          <w:marRight w:val="0"/>
          <w:marTop w:val="0"/>
          <w:marBottom w:val="0"/>
          <w:divBdr>
            <w:top w:val="none" w:sz="0" w:space="0" w:color="auto"/>
            <w:left w:val="none" w:sz="0" w:space="0" w:color="auto"/>
            <w:bottom w:val="none" w:sz="0" w:space="0" w:color="auto"/>
            <w:right w:val="none" w:sz="0" w:space="0" w:color="auto"/>
          </w:divBdr>
          <w:divsChild>
            <w:div w:id="1242789543">
              <w:marLeft w:val="0"/>
              <w:marRight w:val="0"/>
              <w:marTop w:val="0"/>
              <w:marBottom w:val="0"/>
              <w:divBdr>
                <w:top w:val="none" w:sz="0" w:space="0" w:color="auto"/>
                <w:left w:val="none" w:sz="0" w:space="0" w:color="auto"/>
                <w:bottom w:val="single" w:sz="12" w:space="0" w:color="D8D9DA"/>
                <w:right w:val="none" w:sz="0" w:space="0" w:color="auto"/>
              </w:divBdr>
              <w:divsChild>
                <w:div w:id="1824927166">
                  <w:marLeft w:val="0"/>
                  <w:marRight w:val="0"/>
                  <w:marTop w:val="0"/>
                  <w:marBottom w:val="0"/>
                  <w:divBdr>
                    <w:top w:val="none" w:sz="0" w:space="0" w:color="auto"/>
                    <w:left w:val="none" w:sz="0" w:space="0" w:color="auto"/>
                    <w:bottom w:val="none" w:sz="0" w:space="0" w:color="auto"/>
                    <w:right w:val="none" w:sz="0" w:space="0" w:color="auto"/>
                  </w:divBdr>
                  <w:divsChild>
                    <w:div w:id="479158842">
                      <w:marLeft w:val="0"/>
                      <w:marRight w:val="0"/>
                      <w:marTop w:val="0"/>
                      <w:marBottom w:val="0"/>
                      <w:divBdr>
                        <w:top w:val="none" w:sz="0" w:space="0" w:color="auto"/>
                        <w:left w:val="none" w:sz="0" w:space="0" w:color="auto"/>
                        <w:bottom w:val="none" w:sz="0" w:space="0" w:color="auto"/>
                        <w:right w:val="none" w:sz="0" w:space="0" w:color="auto"/>
                      </w:divBdr>
                    </w:div>
                  </w:divsChild>
                </w:div>
                <w:div w:id="533999534">
                  <w:marLeft w:val="0"/>
                  <w:marRight w:val="0"/>
                  <w:marTop w:val="0"/>
                  <w:marBottom w:val="0"/>
                  <w:divBdr>
                    <w:top w:val="none" w:sz="0" w:space="0" w:color="auto"/>
                    <w:left w:val="none" w:sz="0" w:space="0" w:color="auto"/>
                    <w:bottom w:val="none" w:sz="0" w:space="0" w:color="auto"/>
                    <w:right w:val="none" w:sz="0" w:space="0" w:color="auto"/>
                  </w:divBdr>
                  <w:divsChild>
                    <w:div w:id="1713385804">
                      <w:marLeft w:val="0"/>
                      <w:marRight w:val="0"/>
                      <w:marTop w:val="0"/>
                      <w:marBottom w:val="0"/>
                      <w:divBdr>
                        <w:top w:val="none" w:sz="0" w:space="0" w:color="auto"/>
                        <w:left w:val="none" w:sz="0" w:space="0" w:color="auto"/>
                        <w:bottom w:val="none" w:sz="0" w:space="0" w:color="auto"/>
                        <w:right w:val="none" w:sz="0" w:space="0" w:color="auto"/>
                      </w:divBdr>
                    </w:div>
                    <w:div w:id="903292741">
                      <w:marLeft w:val="0"/>
                      <w:marRight w:val="0"/>
                      <w:marTop w:val="0"/>
                      <w:marBottom w:val="0"/>
                      <w:divBdr>
                        <w:top w:val="none" w:sz="0" w:space="0" w:color="auto"/>
                        <w:left w:val="none" w:sz="0" w:space="0" w:color="auto"/>
                        <w:bottom w:val="none" w:sz="0" w:space="0" w:color="auto"/>
                        <w:right w:val="none" w:sz="0" w:space="0" w:color="auto"/>
                      </w:divBdr>
                    </w:div>
                    <w:div w:id="43236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9399530">
          <w:marLeft w:val="0"/>
          <w:marRight w:val="0"/>
          <w:marTop w:val="0"/>
          <w:marBottom w:val="0"/>
          <w:divBdr>
            <w:top w:val="none" w:sz="0" w:space="0" w:color="auto"/>
            <w:left w:val="none" w:sz="0" w:space="0" w:color="auto"/>
            <w:bottom w:val="none" w:sz="0" w:space="0" w:color="auto"/>
            <w:right w:val="none" w:sz="0" w:space="0" w:color="auto"/>
          </w:divBdr>
          <w:divsChild>
            <w:div w:id="893542927">
              <w:marLeft w:val="0"/>
              <w:marRight w:val="0"/>
              <w:marTop w:val="0"/>
              <w:marBottom w:val="0"/>
              <w:divBdr>
                <w:top w:val="none" w:sz="0" w:space="0" w:color="auto"/>
                <w:left w:val="none" w:sz="0" w:space="0" w:color="auto"/>
                <w:bottom w:val="none" w:sz="0" w:space="0" w:color="auto"/>
                <w:right w:val="none" w:sz="0" w:space="0" w:color="auto"/>
              </w:divBdr>
              <w:divsChild>
                <w:div w:id="1648509464">
                  <w:marLeft w:val="0"/>
                  <w:marRight w:val="0"/>
                  <w:marTop w:val="0"/>
                  <w:marBottom w:val="0"/>
                  <w:divBdr>
                    <w:top w:val="none" w:sz="0" w:space="0" w:color="auto"/>
                    <w:left w:val="none" w:sz="0" w:space="0" w:color="auto"/>
                    <w:bottom w:val="none" w:sz="0" w:space="0" w:color="auto"/>
                    <w:right w:val="none" w:sz="0" w:space="0" w:color="auto"/>
                  </w:divBdr>
                </w:div>
              </w:divsChild>
            </w:div>
            <w:div w:id="2126267493">
              <w:marLeft w:val="0"/>
              <w:marRight w:val="0"/>
              <w:marTop w:val="0"/>
              <w:marBottom w:val="0"/>
              <w:divBdr>
                <w:top w:val="none" w:sz="0" w:space="0" w:color="auto"/>
                <w:left w:val="none" w:sz="0" w:space="0" w:color="auto"/>
                <w:bottom w:val="none" w:sz="0" w:space="0" w:color="auto"/>
                <w:right w:val="none" w:sz="0" w:space="0" w:color="auto"/>
              </w:divBdr>
              <w:divsChild>
                <w:div w:id="1551529161">
                  <w:marLeft w:val="0"/>
                  <w:marRight w:val="0"/>
                  <w:marTop w:val="360"/>
                  <w:marBottom w:val="360"/>
                  <w:divBdr>
                    <w:top w:val="none" w:sz="0" w:space="0" w:color="auto"/>
                    <w:left w:val="none" w:sz="0" w:space="0" w:color="auto"/>
                    <w:bottom w:val="none" w:sz="0" w:space="0" w:color="auto"/>
                    <w:right w:val="none" w:sz="0" w:space="0" w:color="auto"/>
                  </w:divBdr>
                  <w:divsChild>
                    <w:div w:id="1195074839">
                      <w:marLeft w:val="0"/>
                      <w:marRight w:val="0"/>
                      <w:marTop w:val="0"/>
                      <w:marBottom w:val="0"/>
                      <w:divBdr>
                        <w:top w:val="none" w:sz="0" w:space="0" w:color="auto"/>
                        <w:left w:val="none" w:sz="0" w:space="0" w:color="auto"/>
                        <w:bottom w:val="none" w:sz="0" w:space="0" w:color="auto"/>
                        <w:right w:val="none" w:sz="0" w:space="0" w:color="auto"/>
                      </w:divBdr>
                    </w:div>
                    <w:div w:id="180437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7719652">
              <w:marLeft w:val="0"/>
              <w:marRight w:val="0"/>
              <w:marTop w:val="0"/>
              <w:marBottom w:val="0"/>
              <w:divBdr>
                <w:top w:val="none" w:sz="0" w:space="0" w:color="auto"/>
                <w:left w:val="none" w:sz="0" w:space="0" w:color="auto"/>
                <w:bottom w:val="none" w:sz="0" w:space="0" w:color="auto"/>
                <w:right w:val="none" w:sz="0" w:space="0" w:color="auto"/>
              </w:divBdr>
              <w:divsChild>
                <w:div w:id="1798445365">
                  <w:marLeft w:val="0"/>
                  <w:marRight w:val="0"/>
                  <w:marTop w:val="0"/>
                  <w:marBottom w:val="0"/>
                  <w:divBdr>
                    <w:top w:val="none" w:sz="0" w:space="0" w:color="auto"/>
                    <w:left w:val="none" w:sz="0" w:space="0" w:color="auto"/>
                    <w:bottom w:val="none" w:sz="0" w:space="0" w:color="auto"/>
                    <w:right w:val="none" w:sz="0" w:space="0" w:color="auto"/>
                  </w:divBdr>
                </w:div>
                <w:div w:id="251595566">
                  <w:marLeft w:val="0"/>
                  <w:marRight w:val="0"/>
                  <w:marTop w:val="0"/>
                  <w:marBottom w:val="0"/>
                  <w:divBdr>
                    <w:top w:val="none" w:sz="0" w:space="0" w:color="auto"/>
                    <w:left w:val="none" w:sz="0" w:space="0" w:color="auto"/>
                    <w:bottom w:val="none" w:sz="0" w:space="0" w:color="auto"/>
                    <w:right w:val="none" w:sz="0" w:space="0" w:color="auto"/>
                  </w:divBdr>
                </w:div>
              </w:divsChild>
            </w:div>
            <w:div w:id="318270431">
              <w:marLeft w:val="0"/>
              <w:marRight w:val="0"/>
              <w:marTop w:val="0"/>
              <w:marBottom w:val="0"/>
              <w:divBdr>
                <w:top w:val="none" w:sz="0" w:space="0" w:color="auto"/>
                <w:left w:val="none" w:sz="0" w:space="0" w:color="auto"/>
                <w:bottom w:val="none" w:sz="0" w:space="0" w:color="auto"/>
                <w:right w:val="none" w:sz="0" w:space="0" w:color="auto"/>
              </w:divBdr>
              <w:divsChild>
                <w:div w:id="2114014571">
                  <w:marLeft w:val="0"/>
                  <w:marRight w:val="0"/>
                  <w:marTop w:val="0"/>
                  <w:marBottom w:val="0"/>
                  <w:divBdr>
                    <w:top w:val="none" w:sz="0" w:space="0" w:color="auto"/>
                    <w:left w:val="none" w:sz="0" w:space="0" w:color="auto"/>
                    <w:bottom w:val="none" w:sz="0" w:space="0" w:color="auto"/>
                    <w:right w:val="none" w:sz="0" w:space="0" w:color="auto"/>
                  </w:divBdr>
                </w:div>
              </w:divsChild>
            </w:div>
            <w:div w:id="71970482">
              <w:marLeft w:val="0"/>
              <w:marRight w:val="0"/>
              <w:marTop w:val="0"/>
              <w:marBottom w:val="0"/>
              <w:divBdr>
                <w:top w:val="none" w:sz="0" w:space="0" w:color="auto"/>
                <w:left w:val="none" w:sz="0" w:space="0" w:color="auto"/>
                <w:bottom w:val="none" w:sz="0" w:space="0" w:color="auto"/>
                <w:right w:val="none" w:sz="0" w:space="0" w:color="auto"/>
              </w:divBdr>
              <w:divsChild>
                <w:div w:id="139543766">
                  <w:marLeft w:val="0"/>
                  <w:marRight w:val="0"/>
                  <w:marTop w:val="0"/>
                  <w:marBottom w:val="0"/>
                  <w:divBdr>
                    <w:top w:val="none" w:sz="0" w:space="0" w:color="auto"/>
                    <w:left w:val="none" w:sz="0" w:space="0" w:color="auto"/>
                    <w:bottom w:val="none" w:sz="0" w:space="0" w:color="auto"/>
                    <w:right w:val="none" w:sz="0" w:space="0" w:color="auto"/>
                  </w:divBdr>
                </w:div>
                <w:div w:id="1196232091">
                  <w:marLeft w:val="0"/>
                  <w:marRight w:val="0"/>
                  <w:marTop w:val="0"/>
                  <w:marBottom w:val="0"/>
                  <w:divBdr>
                    <w:top w:val="none" w:sz="0" w:space="0" w:color="auto"/>
                    <w:left w:val="none" w:sz="0" w:space="0" w:color="auto"/>
                    <w:bottom w:val="none" w:sz="0" w:space="0" w:color="auto"/>
                    <w:right w:val="none" w:sz="0" w:space="0" w:color="auto"/>
                  </w:divBdr>
                </w:div>
              </w:divsChild>
            </w:div>
            <w:div w:id="2053922900">
              <w:marLeft w:val="0"/>
              <w:marRight w:val="0"/>
              <w:marTop w:val="0"/>
              <w:marBottom w:val="0"/>
              <w:divBdr>
                <w:top w:val="none" w:sz="0" w:space="0" w:color="auto"/>
                <w:left w:val="none" w:sz="0" w:space="0" w:color="auto"/>
                <w:bottom w:val="none" w:sz="0" w:space="0" w:color="auto"/>
                <w:right w:val="none" w:sz="0" w:space="0" w:color="auto"/>
              </w:divBdr>
              <w:divsChild>
                <w:div w:id="698968413">
                  <w:marLeft w:val="0"/>
                  <w:marRight w:val="0"/>
                  <w:marTop w:val="0"/>
                  <w:marBottom w:val="0"/>
                  <w:divBdr>
                    <w:top w:val="none" w:sz="0" w:space="0" w:color="auto"/>
                    <w:left w:val="none" w:sz="0" w:space="0" w:color="auto"/>
                    <w:bottom w:val="none" w:sz="0" w:space="0" w:color="auto"/>
                    <w:right w:val="none" w:sz="0" w:space="0" w:color="auto"/>
                  </w:divBdr>
                </w:div>
                <w:div w:id="2129661032">
                  <w:marLeft w:val="0"/>
                  <w:marRight w:val="0"/>
                  <w:marTop w:val="0"/>
                  <w:marBottom w:val="0"/>
                  <w:divBdr>
                    <w:top w:val="none" w:sz="0" w:space="0" w:color="auto"/>
                    <w:left w:val="none" w:sz="0" w:space="0" w:color="auto"/>
                    <w:bottom w:val="none" w:sz="0" w:space="0" w:color="auto"/>
                    <w:right w:val="none" w:sz="0" w:space="0" w:color="auto"/>
                  </w:divBdr>
                </w:div>
              </w:divsChild>
            </w:div>
            <w:div w:id="1405951554">
              <w:marLeft w:val="0"/>
              <w:marRight w:val="0"/>
              <w:marTop w:val="0"/>
              <w:marBottom w:val="0"/>
              <w:divBdr>
                <w:top w:val="none" w:sz="0" w:space="0" w:color="auto"/>
                <w:left w:val="none" w:sz="0" w:space="0" w:color="auto"/>
                <w:bottom w:val="none" w:sz="0" w:space="0" w:color="auto"/>
                <w:right w:val="none" w:sz="0" w:space="0" w:color="auto"/>
              </w:divBdr>
              <w:divsChild>
                <w:div w:id="724254173">
                  <w:marLeft w:val="0"/>
                  <w:marRight w:val="0"/>
                  <w:marTop w:val="0"/>
                  <w:marBottom w:val="0"/>
                  <w:divBdr>
                    <w:top w:val="none" w:sz="0" w:space="0" w:color="auto"/>
                    <w:left w:val="none" w:sz="0" w:space="0" w:color="auto"/>
                    <w:bottom w:val="none" w:sz="0" w:space="0" w:color="auto"/>
                    <w:right w:val="none" w:sz="0" w:space="0" w:color="auto"/>
                  </w:divBdr>
                </w:div>
              </w:divsChild>
            </w:div>
            <w:div w:id="1813133861">
              <w:marLeft w:val="0"/>
              <w:marRight w:val="0"/>
              <w:marTop w:val="0"/>
              <w:marBottom w:val="0"/>
              <w:divBdr>
                <w:top w:val="none" w:sz="0" w:space="0" w:color="auto"/>
                <w:left w:val="none" w:sz="0" w:space="0" w:color="auto"/>
                <w:bottom w:val="none" w:sz="0" w:space="0" w:color="auto"/>
                <w:right w:val="none" w:sz="0" w:space="0" w:color="auto"/>
              </w:divBdr>
            </w:div>
            <w:div w:id="957370807">
              <w:marLeft w:val="0"/>
              <w:marRight w:val="0"/>
              <w:marTop w:val="0"/>
              <w:marBottom w:val="0"/>
              <w:divBdr>
                <w:top w:val="none" w:sz="0" w:space="0" w:color="auto"/>
                <w:left w:val="none" w:sz="0" w:space="0" w:color="auto"/>
                <w:bottom w:val="none" w:sz="0" w:space="0" w:color="auto"/>
                <w:right w:val="none" w:sz="0" w:space="0" w:color="auto"/>
              </w:divBdr>
            </w:div>
            <w:div w:id="1706246122">
              <w:marLeft w:val="0"/>
              <w:marRight w:val="0"/>
              <w:marTop w:val="0"/>
              <w:marBottom w:val="0"/>
              <w:divBdr>
                <w:top w:val="none" w:sz="0" w:space="0" w:color="auto"/>
                <w:left w:val="none" w:sz="0" w:space="0" w:color="auto"/>
                <w:bottom w:val="none" w:sz="0" w:space="0" w:color="auto"/>
                <w:right w:val="none" w:sz="0" w:space="0" w:color="auto"/>
              </w:divBdr>
              <w:divsChild>
                <w:div w:id="186607019">
                  <w:marLeft w:val="0"/>
                  <w:marRight w:val="0"/>
                  <w:marTop w:val="0"/>
                  <w:marBottom w:val="0"/>
                  <w:divBdr>
                    <w:top w:val="none" w:sz="0" w:space="0" w:color="auto"/>
                    <w:left w:val="none" w:sz="0" w:space="0" w:color="auto"/>
                    <w:bottom w:val="none" w:sz="0" w:space="0" w:color="auto"/>
                    <w:right w:val="none" w:sz="0" w:space="0" w:color="auto"/>
                  </w:divBdr>
                </w:div>
              </w:divsChild>
            </w:div>
            <w:div w:id="825827355">
              <w:marLeft w:val="0"/>
              <w:marRight w:val="0"/>
              <w:marTop w:val="0"/>
              <w:marBottom w:val="0"/>
              <w:divBdr>
                <w:top w:val="none" w:sz="0" w:space="0" w:color="auto"/>
                <w:left w:val="none" w:sz="0" w:space="0" w:color="auto"/>
                <w:bottom w:val="none" w:sz="0" w:space="0" w:color="auto"/>
                <w:right w:val="none" w:sz="0" w:space="0" w:color="auto"/>
              </w:divBdr>
              <w:divsChild>
                <w:div w:id="403723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1972904497">
      <w:bodyDiv w:val="1"/>
      <w:marLeft w:val="0"/>
      <w:marRight w:val="0"/>
      <w:marTop w:val="0"/>
      <w:marBottom w:val="0"/>
      <w:divBdr>
        <w:top w:val="none" w:sz="0" w:space="0" w:color="auto"/>
        <w:left w:val="none" w:sz="0" w:space="0" w:color="auto"/>
        <w:bottom w:val="none" w:sz="0" w:space="0" w:color="auto"/>
        <w:right w:val="none" w:sz="0" w:space="0" w:color="auto"/>
      </w:divBdr>
      <w:divsChild>
        <w:div w:id="1550219950">
          <w:marLeft w:val="0"/>
          <w:marRight w:val="0"/>
          <w:marTop w:val="0"/>
          <w:marBottom w:val="0"/>
          <w:divBdr>
            <w:top w:val="none" w:sz="0" w:space="0" w:color="auto"/>
            <w:left w:val="none" w:sz="0" w:space="0" w:color="auto"/>
            <w:bottom w:val="none" w:sz="0" w:space="0" w:color="auto"/>
            <w:right w:val="none" w:sz="0" w:space="0" w:color="auto"/>
          </w:divBdr>
        </w:div>
        <w:div w:id="151026620">
          <w:marLeft w:val="0"/>
          <w:marRight w:val="0"/>
          <w:marTop w:val="0"/>
          <w:marBottom w:val="0"/>
          <w:divBdr>
            <w:top w:val="none" w:sz="0" w:space="0" w:color="auto"/>
            <w:left w:val="none" w:sz="0" w:space="0" w:color="auto"/>
            <w:bottom w:val="none" w:sz="0" w:space="0" w:color="auto"/>
            <w:right w:val="none" w:sz="0" w:space="0" w:color="auto"/>
          </w:divBdr>
        </w:div>
        <w:div w:id="202401465">
          <w:marLeft w:val="0"/>
          <w:marRight w:val="0"/>
          <w:marTop w:val="0"/>
          <w:marBottom w:val="0"/>
          <w:divBdr>
            <w:top w:val="none" w:sz="0" w:space="0" w:color="auto"/>
            <w:left w:val="none" w:sz="0" w:space="0" w:color="auto"/>
            <w:bottom w:val="none" w:sz="0" w:space="0" w:color="auto"/>
            <w:right w:val="none" w:sz="0" w:space="0" w:color="auto"/>
          </w:divBdr>
        </w:div>
        <w:div w:id="2122260492">
          <w:marLeft w:val="0"/>
          <w:marRight w:val="0"/>
          <w:marTop w:val="0"/>
          <w:marBottom w:val="0"/>
          <w:divBdr>
            <w:top w:val="none" w:sz="0" w:space="0" w:color="auto"/>
            <w:left w:val="none" w:sz="0" w:space="0" w:color="auto"/>
            <w:bottom w:val="none" w:sz="0" w:space="0" w:color="auto"/>
            <w:right w:val="none" w:sz="0" w:space="0" w:color="auto"/>
          </w:divBdr>
        </w:div>
        <w:div w:id="156195137">
          <w:marLeft w:val="0"/>
          <w:marRight w:val="0"/>
          <w:marTop w:val="0"/>
          <w:marBottom w:val="0"/>
          <w:divBdr>
            <w:top w:val="none" w:sz="0" w:space="0" w:color="auto"/>
            <w:left w:val="none" w:sz="0" w:space="0" w:color="auto"/>
            <w:bottom w:val="none" w:sz="0" w:space="0" w:color="auto"/>
            <w:right w:val="none" w:sz="0" w:space="0" w:color="auto"/>
          </w:divBdr>
        </w:div>
        <w:div w:id="751128300">
          <w:marLeft w:val="0"/>
          <w:marRight w:val="0"/>
          <w:marTop w:val="0"/>
          <w:marBottom w:val="0"/>
          <w:divBdr>
            <w:top w:val="none" w:sz="0" w:space="0" w:color="auto"/>
            <w:left w:val="none" w:sz="0" w:space="0" w:color="auto"/>
            <w:bottom w:val="none" w:sz="0" w:space="0" w:color="auto"/>
            <w:right w:val="none" w:sz="0" w:space="0" w:color="auto"/>
          </w:divBdr>
        </w:div>
        <w:div w:id="1387757390">
          <w:marLeft w:val="0"/>
          <w:marRight w:val="0"/>
          <w:marTop w:val="0"/>
          <w:marBottom w:val="0"/>
          <w:divBdr>
            <w:top w:val="none" w:sz="0" w:space="0" w:color="auto"/>
            <w:left w:val="none" w:sz="0" w:space="0" w:color="auto"/>
            <w:bottom w:val="none" w:sz="0" w:space="0" w:color="auto"/>
            <w:right w:val="none" w:sz="0" w:space="0" w:color="auto"/>
          </w:divBdr>
        </w:div>
        <w:div w:id="2142918387">
          <w:marLeft w:val="0"/>
          <w:marRight w:val="0"/>
          <w:marTop w:val="0"/>
          <w:marBottom w:val="0"/>
          <w:divBdr>
            <w:top w:val="none" w:sz="0" w:space="0" w:color="auto"/>
            <w:left w:val="none" w:sz="0" w:space="0" w:color="auto"/>
            <w:bottom w:val="none" w:sz="0" w:space="0" w:color="auto"/>
            <w:right w:val="none" w:sz="0" w:space="0" w:color="auto"/>
          </w:divBdr>
        </w:div>
        <w:div w:id="1348824350">
          <w:marLeft w:val="0"/>
          <w:marRight w:val="0"/>
          <w:marTop w:val="0"/>
          <w:marBottom w:val="0"/>
          <w:divBdr>
            <w:top w:val="none" w:sz="0" w:space="0" w:color="auto"/>
            <w:left w:val="none" w:sz="0" w:space="0" w:color="auto"/>
            <w:bottom w:val="none" w:sz="0" w:space="0" w:color="auto"/>
            <w:right w:val="none" w:sz="0" w:space="0" w:color="auto"/>
          </w:divBdr>
        </w:div>
        <w:div w:id="1335449747">
          <w:marLeft w:val="0"/>
          <w:marRight w:val="0"/>
          <w:marTop w:val="0"/>
          <w:marBottom w:val="0"/>
          <w:divBdr>
            <w:top w:val="none" w:sz="0" w:space="0" w:color="auto"/>
            <w:left w:val="none" w:sz="0" w:space="0" w:color="auto"/>
            <w:bottom w:val="none" w:sz="0" w:space="0" w:color="auto"/>
            <w:right w:val="none" w:sz="0" w:space="0" w:color="auto"/>
          </w:divBdr>
        </w:div>
        <w:div w:id="837232850">
          <w:marLeft w:val="0"/>
          <w:marRight w:val="0"/>
          <w:marTop w:val="0"/>
          <w:marBottom w:val="0"/>
          <w:divBdr>
            <w:top w:val="none" w:sz="0" w:space="0" w:color="auto"/>
            <w:left w:val="none" w:sz="0" w:space="0" w:color="auto"/>
            <w:bottom w:val="none" w:sz="0" w:space="0" w:color="auto"/>
            <w:right w:val="none" w:sz="0" w:space="0" w:color="auto"/>
          </w:divBdr>
        </w:div>
        <w:div w:id="310642452">
          <w:marLeft w:val="0"/>
          <w:marRight w:val="0"/>
          <w:marTop w:val="0"/>
          <w:marBottom w:val="0"/>
          <w:divBdr>
            <w:top w:val="none" w:sz="0" w:space="0" w:color="auto"/>
            <w:left w:val="none" w:sz="0" w:space="0" w:color="auto"/>
            <w:bottom w:val="none" w:sz="0" w:space="0" w:color="auto"/>
            <w:right w:val="none" w:sz="0" w:space="0" w:color="auto"/>
          </w:divBdr>
        </w:div>
        <w:div w:id="39256540">
          <w:marLeft w:val="0"/>
          <w:marRight w:val="0"/>
          <w:marTop w:val="0"/>
          <w:marBottom w:val="0"/>
          <w:divBdr>
            <w:top w:val="none" w:sz="0" w:space="0" w:color="auto"/>
            <w:left w:val="none" w:sz="0" w:space="0" w:color="auto"/>
            <w:bottom w:val="none" w:sz="0" w:space="0" w:color="auto"/>
            <w:right w:val="none" w:sz="0" w:space="0" w:color="auto"/>
          </w:divBdr>
        </w:div>
        <w:div w:id="1856727750">
          <w:marLeft w:val="0"/>
          <w:marRight w:val="0"/>
          <w:marTop w:val="0"/>
          <w:marBottom w:val="0"/>
          <w:divBdr>
            <w:top w:val="none" w:sz="0" w:space="0" w:color="auto"/>
            <w:left w:val="none" w:sz="0" w:space="0" w:color="auto"/>
            <w:bottom w:val="none" w:sz="0" w:space="0" w:color="auto"/>
            <w:right w:val="none" w:sz="0" w:space="0" w:color="auto"/>
          </w:divBdr>
        </w:div>
        <w:div w:id="1686788179">
          <w:marLeft w:val="0"/>
          <w:marRight w:val="0"/>
          <w:marTop w:val="0"/>
          <w:marBottom w:val="0"/>
          <w:divBdr>
            <w:top w:val="none" w:sz="0" w:space="0" w:color="auto"/>
            <w:left w:val="none" w:sz="0" w:space="0" w:color="auto"/>
            <w:bottom w:val="none" w:sz="0" w:space="0" w:color="auto"/>
            <w:right w:val="none" w:sz="0" w:space="0" w:color="auto"/>
          </w:divBdr>
        </w:div>
        <w:div w:id="411128204">
          <w:marLeft w:val="0"/>
          <w:marRight w:val="0"/>
          <w:marTop w:val="0"/>
          <w:marBottom w:val="0"/>
          <w:divBdr>
            <w:top w:val="none" w:sz="0" w:space="0" w:color="auto"/>
            <w:left w:val="none" w:sz="0" w:space="0" w:color="auto"/>
            <w:bottom w:val="none" w:sz="0" w:space="0" w:color="auto"/>
            <w:right w:val="none" w:sz="0" w:space="0" w:color="auto"/>
          </w:divBdr>
        </w:div>
        <w:div w:id="378480252">
          <w:marLeft w:val="0"/>
          <w:marRight w:val="0"/>
          <w:marTop w:val="0"/>
          <w:marBottom w:val="0"/>
          <w:divBdr>
            <w:top w:val="none" w:sz="0" w:space="0" w:color="auto"/>
            <w:left w:val="none" w:sz="0" w:space="0" w:color="auto"/>
            <w:bottom w:val="none" w:sz="0" w:space="0" w:color="auto"/>
            <w:right w:val="none" w:sz="0" w:space="0" w:color="auto"/>
          </w:divBdr>
        </w:div>
        <w:div w:id="1996378777">
          <w:marLeft w:val="0"/>
          <w:marRight w:val="0"/>
          <w:marTop w:val="0"/>
          <w:marBottom w:val="0"/>
          <w:divBdr>
            <w:top w:val="none" w:sz="0" w:space="0" w:color="auto"/>
            <w:left w:val="none" w:sz="0" w:space="0" w:color="auto"/>
            <w:bottom w:val="none" w:sz="0" w:space="0" w:color="auto"/>
            <w:right w:val="none" w:sz="0" w:space="0" w:color="auto"/>
          </w:divBdr>
        </w:div>
        <w:div w:id="1403454972">
          <w:marLeft w:val="0"/>
          <w:marRight w:val="0"/>
          <w:marTop w:val="0"/>
          <w:marBottom w:val="0"/>
          <w:divBdr>
            <w:top w:val="none" w:sz="0" w:space="0" w:color="auto"/>
            <w:left w:val="none" w:sz="0" w:space="0" w:color="auto"/>
            <w:bottom w:val="none" w:sz="0" w:space="0" w:color="auto"/>
            <w:right w:val="none" w:sz="0" w:space="0" w:color="auto"/>
          </w:divBdr>
        </w:div>
        <w:div w:id="233324141">
          <w:marLeft w:val="0"/>
          <w:marRight w:val="0"/>
          <w:marTop w:val="0"/>
          <w:marBottom w:val="0"/>
          <w:divBdr>
            <w:top w:val="none" w:sz="0" w:space="0" w:color="auto"/>
            <w:left w:val="none" w:sz="0" w:space="0" w:color="auto"/>
            <w:bottom w:val="none" w:sz="0" w:space="0" w:color="auto"/>
            <w:right w:val="none" w:sz="0" w:space="0" w:color="auto"/>
          </w:divBdr>
        </w:div>
        <w:div w:id="2060398931">
          <w:marLeft w:val="0"/>
          <w:marRight w:val="0"/>
          <w:marTop w:val="0"/>
          <w:marBottom w:val="0"/>
          <w:divBdr>
            <w:top w:val="none" w:sz="0" w:space="0" w:color="auto"/>
            <w:left w:val="none" w:sz="0" w:space="0" w:color="auto"/>
            <w:bottom w:val="none" w:sz="0" w:space="0" w:color="auto"/>
            <w:right w:val="none" w:sz="0" w:space="0" w:color="auto"/>
          </w:divBdr>
        </w:div>
        <w:div w:id="1376853017">
          <w:marLeft w:val="0"/>
          <w:marRight w:val="0"/>
          <w:marTop w:val="0"/>
          <w:marBottom w:val="0"/>
          <w:divBdr>
            <w:top w:val="none" w:sz="0" w:space="0" w:color="auto"/>
            <w:left w:val="none" w:sz="0" w:space="0" w:color="auto"/>
            <w:bottom w:val="none" w:sz="0" w:space="0" w:color="auto"/>
            <w:right w:val="none" w:sz="0" w:space="0" w:color="auto"/>
          </w:divBdr>
        </w:div>
        <w:div w:id="1750082669">
          <w:marLeft w:val="0"/>
          <w:marRight w:val="0"/>
          <w:marTop w:val="0"/>
          <w:marBottom w:val="0"/>
          <w:divBdr>
            <w:top w:val="none" w:sz="0" w:space="0" w:color="auto"/>
            <w:left w:val="none" w:sz="0" w:space="0" w:color="auto"/>
            <w:bottom w:val="none" w:sz="0" w:space="0" w:color="auto"/>
            <w:right w:val="none" w:sz="0" w:space="0" w:color="auto"/>
          </w:divBdr>
        </w:div>
        <w:div w:id="1927883851">
          <w:marLeft w:val="0"/>
          <w:marRight w:val="0"/>
          <w:marTop w:val="0"/>
          <w:marBottom w:val="0"/>
          <w:divBdr>
            <w:top w:val="none" w:sz="0" w:space="0" w:color="auto"/>
            <w:left w:val="none" w:sz="0" w:space="0" w:color="auto"/>
            <w:bottom w:val="none" w:sz="0" w:space="0" w:color="auto"/>
            <w:right w:val="none" w:sz="0" w:space="0" w:color="auto"/>
          </w:divBdr>
        </w:div>
        <w:div w:id="1498690190">
          <w:marLeft w:val="0"/>
          <w:marRight w:val="0"/>
          <w:marTop w:val="0"/>
          <w:marBottom w:val="0"/>
          <w:divBdr>
            <w:top w:val="none" w:sz="0" w:space="0" w:color="auto"/>
            <w:left w:val="none" w:sz="0" w:space="0" w:color="auto"/>
            <w:bottom w:val="none" w:sz="0" w:space="0" w:color="auto"/>
            <w:right w:val="none" w:sz="0" w:space="0" w:color="auto"/>
          </w:divBdr>
        </w:div>
        <w:div w:id="2071033251">
          <w:marLeft w:val="0"/>
          <w:marRight w:val="0"/>
          <w:marTop w:val="0"/>
          <w:marBottom w:val="0"/>
          <w:divBdr>
            <w:top w:val="none" w:sz="0" w:space="0" w:color="auto"/>
            <w:left w:val="none" w:sz="0" w:space="0" w:color="auto"/>
            <w:bottom w:val="none" w:sz="0" w:space="0" w:color="auto"/>
            <w:right w:val="none" w:sz="0" w:space="0" w:color="auto"/>
          </w:divBdr>
        </w:div>
        <w:div w:id="458376240">
          <w:marLeft w:val="0"/>
          <w:marRight w:val="0"/>
          <w:marTop w:val="0"/>
          <w:marBottom w:val="0"/>
          <w:divBdr>
            <w:top w:val="none" w:sz="0" w:space="0" w:color="auto"/>
            <w:left w:val="none" w:sz="0" w:space="0" w:color="auto"/>
            <w:bottom w:val="none" w:sz="0" w:space="0" w:color="auto"/>
            <w:right w:val="none" w:sz="0" w:space="0" w:color="auto"/>
          </w:divBdr>
        </w:div>
        <w:div w:id="2044479011">
          <w:marLeft w:val="0"/>
          <w:marRight w:val="0"/>
          <w:marTop w:val="0"/>
          <w:marBottom w:val="0"/>
          <w:divBdr>
            <w:top w:val="none" w:sz="0" w:space="0" w:color="auto"/>
            <w:left w:val="none" w:sz="0" w:space="0" w:color="auto"/>
            <w:bottom w:val="none" w:sz="0" w:space="0" w:color="auto"/>
            <w:right w:val="none" w:sz="0" w:space="0" w:color="auto"/>
          </w:divBdr>
        </w:div>
        <w:div w:id="1496874533">
          <w:marLeft w:val="0"/>
          <w:marRight w:val="0"/>
          <w:marTop w:val="0"/>
          <w:marBottom w:val="0"/>
          <w:divBdr>
            <w:top w:val="none" w:sz="0" w:space="0" w:color="auto"/>
            <w:left w:val="none" w:sz="0" w:space="0" w:color="auto"/>
            <w:bottom w:val="none" w:sz="0" w:space="0" w:color="auto"/>
            <w:right w:val="none" w:sz="0" w:space="0" w:color="auto"/>
          </w:divBdr>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nlinelibrary.wiley.com/cms/asset/a53f17a0-7262-4a87-a76f-628925d042ba/hesr13695-fig-0001-m.jpg" TargetMode="External"/><Relationship Id="rId5" Type="http://schemas.openxmlformats.org/officeDocument/2006/relationships/numbering" Target="numbering.xml"/><Relationship Id="rId10" Type="http://schemas.openxmlformats.org/officeDocument/2006/relationships/hyperlink" Target="http://epublications.marquette.edu/" TargetMode="External"/><Relationship Id="rId4" Type="http://schemas.openxmlformats.org/officeDocument/2006/relationships/customXml" Target="../customXml/item4.xml"/><Relationship Id="rId9" Type="http://schemas.openxmlformats.org/officeDocument/2006/relationships/hyperlink" Target="https://doi.org/10.1111/1475-6773.13695"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customXml/itemProps3.xml><?xml version="1.0" encoding="utf-8"?>
<ds:datastoreItem xmlns:ds="http://schemas.openxmlformats.org/officeDocument/2006/customXml" ds:itemID="{649E290E-86BA-495B-9778-72E74D258D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20</Pages>
  <Words>7970</Words>
  <Characters>45430</Characters>
  <Application>Microsoft Office Word</Application>
  <DocSecurity>8</DocSecurity>
  <Lines>378</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Sharon Olson</cp:lastModifiedBy>
  <cp:revision>20</cp:revision>
  <dcterms:created xsi:type="dcterms:W3CDTF">2023-04-03T17:48:00Z</dcterms:created>
  <dcterms:modified xsi:type="dcterms:W3CDTF">2023-04-03T18:24:00Z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