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4839C8" w:rsidRDefault="000A7622" w:rsidP="00337843">
      <w:pPr>
        <w:pStyle w:val="NoSpacing"/>
      </w:pPr>
      <w:bookmarkStart w:id="0" w:name="_GoBack"/>
      <w:bookmarkEnd w:id="0"/>
    </w:p>
    <w:p w14:paraId="2538F7F5" w14:textId="77777777" w:rsidR="000A7622" w:rsidRPr="004839C8" w:rsidRDefault="000A7622" w:rsidP="00337843">
      <w:pPr>
        <w:pStyle w:val="NoSpacing"/>
        <w:rPr>
          <w:b/>
          <w:bCs/>
          <w:sz w:val="28"/>
          <w:szCs w:val="26"/>
        </w:rPr>
      </w:pPr>
      <w:bookmarkStart w:id="1" w:name="_Hlk505159787"/>
      <w:bookmarkStart w:id="2" w:name="_Hlk510431162"/>
      <w:r w:rsidRPr="004839C8">
        <w:rPr>
          <w:b/>
          <w:bCs/>
          <w:sz w:val="28"/>
          <w:szCs w:val="26"/>
        </w:rPr>
        <w:t>Marquette University</w:t>
      </w:r>
    </w:p>
    <w:p w14:paraId="158D4B9F" w14:textId="77777777" w:rsidR="000A7622" w:rsidRPr="004839C8" w:rsidRDefault="000A7622" w:rsidP="00337843">
      <w:pPr>
        <w:pStyle w:val="NoSpacing"/>
        <w:rPr>
          <w:b/>
          <w:bCs/>
          <w:sz w:val="40"/>
          <w:szCs w:val="36"/>
        </w:rPr>
      </w:pPr>
      <w:proofErr w:type="spellStart"/>
      <w:r w:rsidRPr="004839C8">
        <w:rPr>
          <w:b/>
          <w:bCs/>
          <w:sz w:val="40"/>
          <w:szCs w:val="36"/>
        </w:rPr>
        <w:t>e-Publications@Marquette</w:t>
      </w:r>
      <w:proofErr w:type="spellEnd"/>
    </w:p>
    <w:p w14:paraId="689ACF87" w14:textId="77777777" w:rsidR="000A7622" w:rsidRPr="004839C8" w:rsidRDefault="000A7622" w:rsidP="00337843">
      <w:pPr>
        <w:pStyle w:val="NoSpacing"/>
        <w:rPr>
          <w:b/>
          <w:bCs/>
          <w:i/>
          <w:iCs/>
        </w:rPr>
      </w:pPr>
    </w:p>
    <w:p w14:paraId="161853CC" w14:textId="1730A1F5" w:rsidR="000A7622" w:rsidRPr="004839C8" w:rsidRDefault="00A35ACD" w:rsidP="00337843">
      <w:pPr>
        <w:pStyle w:val="NoSpacing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Chemistry </w:t>
      </w:r>
      <w:r w:rsidR="000A7622" w:rsidRPr="004839C8">
        <w:rPr>
          <w:b/>
          <w:bCs/>
          <w:i/>
          <w:iCs/>
          <w:sz w:val="32"/>
          <w:szCs w:val="32"/>
        </w:rPr>
        <w:t>Faculty Research and Publications/</w:t>
      </w:r>
      <w:r w:rsidR="00735C37" w:rsidRPr="004839C8">
        <w:rPr>
          <w:b/>
          <w:bCs/>
          <w:i/>
          <w:iCs/>
          <w:sz w:val="32"/>
          <w:szCs w:val="32"/>
        </w:rPr>
        <w:t xml:space="preserve">College of </w:t>
      </w:r>
      <w:r>
        <w:rPr>
          <w:b/>
          <w:bCs/>
          <w:i/>
          <w:iCs/>
          <w:sz w:val="32"/>
          <w:szCs w:val="32"/>
        </w:rPr>
        <w:t>Arts and Sciences</w:t>
      </w:r>
    </w:p>
    <w:bookmarkEnd w:id="1"/>
    <w:p w14:paraId="3E538636" w14:textId="77777777" w:rsidR="000A7622" w:rsidRPr="004839C8" w:rsidRDefault="000A7622" w:rsidP="00337843">
      <w:pPr>
        <w:pStyle w:val="NoSpacing"/>
        <w:rPr>
          <w:b/>
          <w:bCs/>
          <w:i/>
          <w:iCs/>
        </w:rPr>
      </w:pPr>
    </w:p>
    <w:p w14:paraId="25509BF0" w14:textId="3FC0B04E" w:rsidR="000A7622" w:rsidRPr="004839C8" w:rsidRDefault="000A7622" w:rsidP="00337843">
      <w:pPr>
        <w:pStyle w:val="NoSpacing"/>
        <w:rPr>
          <w:sz w:val="24"/>
          <w:szCs w:val="24"/>
        </w:rPr>
      </w:pPr>
      <w:r w:rsidRPr="004839C8">
        <w:rPr>
          <w:b/>
          <w:bCs/>
          <w:i/>
          <w:iCs/>
          <w:sz w:val="24"/>
          <w:szCs w:val="24"/>
        </w:rPr>
        <w:t xml:space="preserve">This paper is NOT THE PUBLISHED VERSION; </w:t>
      </w:r>
      <w:r w:rsidRPr="004839C8">
        <w:rPr>
          <w:b/>
          <w:bCs/>
          <w:sz w:val="24"/>
          <w:szCs w:val="24"/>
        </w:rPr>
        <w:t xml:space="preserve">but the author’s final, peer-reviewed manuscript. </w:t>
      </w:r>
      <w:r w:rsidRPr="004839C8">
        <w:rPr>
          <w:sz w:val="24"/>
          <w:szCs w:val="24"/>
        </w:rPr>
        <w:t xml:space="preserve">The published version may be accessed by following the link in </w:t>
      </w:r>
      <w:proofErr w:type="spellStart"/>
      <w:r w:rsidRPr="004839C8">
        <w:rPr>
          <w:sz w:val="24"/>
          <w:szCs w:val="24"/>
        </w:rPr>
        <w:t>th</w:t>
      </w:r>
      <w:proofErr w:type="spellEnd"/>
      <w:r w:rsidRPr="004839C8">
        <w:rPr>
          <w:sz w:val="24"/>
          <w:szCs w:val="24"/>
        </w:rPr>
        <w:t xml:space="preserve"> citation below.</w:t>
      </w:r>
    </w:p>
    <w:p w14:paraId="25E8C1E3" w14:textId="77777777" w:rsidR="00BE5803" w:rsidRDefault="00BE5803" w:rsidP="00337843">
      <w:pPr>
        <w:pStyle w:val="NoSpacing"/>
        <w:rPr>
          <w:i/>
          <w:sz w:val="24"/>
          <w:szCs w:val="24"/>
          <w:lang w:val="fr-FR"/>
        </w:rPr>
      </w:pPr>
    </w:p>
    <w:p w14:paraId="2A38AFE1" w14:textId="0B2838ED" w:rsidR="000A7622" w:rsidRPr="004839C8" w:rsidRDefault="00BE5803" w:rsidP="00337843">
      <w:pPr>
        <w:pStyle w:val="NoSpacing"/>
        <w:rPr>
          <w:sz w:val="24"/>
          <w:szCs w:val="24"/>
        </w:rPr>
      </w:pPr>
      <w:proofErr w:type="spellStart"/>
      <w:r>
        <w:rPr>
          <w:i/>
          <w:sz w:val="24"/>
          <w:szCs w:val="24"/>
          <w:lang w:val="fr-FR"/>
        </w:rPr>
        <w:t>Inorganic</w:t>
      </w:r>
      <w:proofErr w:type="spellEnd"/>
      <w:r>
        <w:rPr>
          <w:i/>
          <w:sz w:val="24"/>
          <w:szCs w:val="24"/>
          <w:lang w:val="fr-FR"/>
        </w:rPr>
        <w:t xml:space="preserve"> and </w:t>
      </w:r>
      <w:proofErr w:type="spellStart"/>
      <w:r>
        <w:rPr>
          <w:i/>
          <w:sz w:val="24"/>
          <w:szCs w:val="24"/>
          <w:lang w:val="fr-FR"/>
        </w:rPr>
        <w:t>Nuclear</w:t>
      </w:r>
      <w:proofErr w:type="spellEnd"/>
      <w:r>
        <w:rPr>
          <w:i/>
          <w:sz w:val="24"/>
          <w:szCs w:val="24"/>
          <w:lang w:val="fr-FR"/>
        </w:rPr>
        <w:t xml:space="preserve"> Chemistry </w:t>
      </w:r>
      <w:proofErr w:type="spellStart"/>
      <w:r>
        <w:rPr>
          <w:i/>
          <w:sz w:val="24"/>
          <w:szCs w:val="24"/>
          <w:lang w:val="fr-FR"/>
        </w:rPr>
        <w:t>Letters</w:t>
      </w:r>
      <w:proofErr w:type="spellEnd"/>
      <w:r w:rsidR="00A35ACD">
        <w:rPr>
          <w:i/>
          <w:sz w:val="24"/>
          <w:szCs w:val="24"/>
          <w:lang w:val="fr-FR"/>
        </w:rPr>
        <w:t xml:space="preserve">. </w:t>
      </w:r>
      <w:r w:rsidR="000A7622" w:rsidRPr="00C52034">
        <w:rPr>
          <w:sz w:val="24"/>
          <w:szCs w:val="24"/>
          <w:lang w:val="fr-FR"/>
        </w:rPr>
        <w:t>Vol.</w:t>
      </w:r>
      <w:r w:rsidR="008B6308">
        <w:rPr>
          <w:sz w:val="24"/>
          <w:szCs w:val="24"/>
          <w:lang w:val="fr-FR"/>
        </w:rPr>
        <w:t xml:space="preserve"> </w:t>
      </w:r>
      <w:r w:rsidR="00A35ACD">
        <w:rPr>
          <w:sz w:val="24"/>
          <w:szCs w:val="24"/>
          <w:lang w:val="fr-FR"/>
        </w:rPr>
        <w:t>13</w:t>
      </w:r>
      <w:r w:rsidR="000A7622" w:rsidRPr="00C52034">
        <w:rPr>
          <w:sz w:val="24"/>
          <w:szCs w:val="24"/>
          <w:lang w:val="fr-FR"/>
        </w:rPr>
        <w:t>, No.</w:t>
      </w:r>
      <w:r w:rsidR="008B6308">
        <w:rPr>
          <w:sz w:val="24"/>
          <w:szCs w:val="24"/>
          <w:lang w:val="fr-FR"/>
        </w:rPr>
        <w:t xml:space="preserve"> </w:t>
      </w:r>
      <w:r w:rsidR="00A35ACD">
        <w:rPr>
          <w:sz w:val="24"/>
          <w:szCs w:val="24"/>
          <w:lang w:val="fr-FR"/>
        </w:rPr>
        <w:t>10</w:t>
      </w:r>
      <w:r w:rsidR="008B6308">
        <w:rPr>
          <w:sz w:val="24"/>
          <w:szCs w:val="24"/>
          <w:lang w:val="fr-FR"/>
        </w:rPr>
        <w:t xml:space="preserve"> </w:t>
      </w:r>
      <w:r w:rsidR="000A7622" w:rsidRPr="00C52034">
        <w:rPr>
          <w:sz w:val="24"/>
          <w:szCs w:val="24"/>
          <w:lang w:val="fr-FR"/>
        </w:rPr>
        <w:t>(</w:t>
      </w:r>
      <w:r w:rsidR="00A35ACD">
        <w:rPr>
          <w:sz w:val="24"/>
          <w:szCs w:val="24"/>
          <w:lang w:val="fr-FR"/>
        </w:rPr>
        <w:t>1977</w:t>
      </w:r>
      <w:proofErr w:type="gramStart"/>
      <w:r w:rsidR="000A7622" w:rsidRPr="00C52034">
        <w:rPr>
          <w:sz w:val="24"/>
          <w:szCs w:val="24"/>
          <w:lang w:val="fr-FR"/>
        </w:rPr>
        <w:t>):</w:t>
      </w:r>
      <w:proofErr w:type="gramEnd"/>
      <w:r w:rsidR="000A7622" w:rsidRPr="00C52034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485-487</w:t>
      </w:r>
      <w:r w:rsidR="000A7622" w:rsidRPr="00C52034">
        <w:rPr>
          <w:sz w:val="24"/>
          <w:szCs w:val="24"/>
          <w:lang w:val="fr-FR"/>
        </w:rPr>
        <w:t xml:space="preserve">. </w:t>
      </w:r>
      <w:hyperlink r:id="rId9" w:history="1">
        <w:r w:rsidR="000A7622" w:rsidRPr="00C52034">
          <w:rPr>
            <w:sz w:val="24"/>
            <w:szCs w:val="24"/>
            <w:u w:val="single"/>
            <w:lang w:val="fr-FR"/>
          </w:rPr>
          <w:t>DOI</w:t>
        </w:r>
      </w:hyperlink>
      <w:r w:rsidR="000A7622" w:rsidRPr="00C52034">
        <w:rPr>
          <w:sz w:val="24"/>
          <w:szCs w:val="24"/>
          <w:lang w:val="fr-FR"/>
        </w:rPr>
        <w:t xml:space="preserve">. </w:t>
      </w:r>
      <w:r w:rsidR="000A7622" w:rsidRPr="00C52034">
        <w:rPr>
          <w:sz w:val="24"/>
          <w:szCs w:val="24"/>
        </w:rPr>
        <w:t xml:space="preserve">This article is © </w:t>
      </w:r>
      <w:r w:rsidR="00A35ACD">
        <w:rPr>
          <w:i/>
          <w:sz w:val="24"/>
          <w:szCs w:val="24"/>
          <w:lang w:val="fr-FR"/>
        </w:rPr>
        <w:t>Elsevier</w:t>
      </w:r>
      <w:r w:rsidR="000A7622" w:rsidRPr="00C52034">
        <w:rPr>
          <w:sz w:val="24"/>
          <w:szCs w:val="24"/>
        </w:rPr>
        <w:t xml:space="preserve"> and permission has been granted for this version to appear in </w:t>
      </w:r>
      <w:hyperlink r:id="rId10" w:history="1">
        <w:proofErr w:type="spellStart"/>
        <w:r w:rsidR="000A7622" w:rsidRPr="00C52034">
          <w:rPr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C52034">
        <w:rPr>
          <w:sz w:val="24"/>
          <w:szCs w:val="24"/>
        </w:rPr>
        <w:t xml:space="preserve">. </w:t>
      </w:r>
      <w:r w:rsidR="00A35ACD">
        <w:rPr>
          <w:i/>
          <w:sz w:val="24"/>
          <w:szCs w:val="24"/>
          <w:lang w:val="fr-FR"/>
        </w:rPr>
        <w:t>Elsevier</w:t>
      </w:r>
      <w:r w:rsidR="00A35ACD" w:rsidRPr="00C52034">
        <w:rPr>
          <w:sz w:val="24"/>
          <w:szCs w:val="24"/>
        </w:rPr>
        <w:t xml:space="preserve"> </w:t>
      </w:r>
      <w:r w:rsidR="000A7622" w:rsidRPr="00C52034">
        <w:rPr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2"/>
      <w:r w:rsidR="00A35ACD">
        <w:rPr>
          <w:i/>
          <w:sz w:val="24"/>
          <w:szCs w:val="24"/>
          <w:lang w:val="fr-FR"/>
        </w:rPr>
        <w:t>Elsevier.</w:t>
      </w:r>
    </w:p>
    <w:p w14:paraId="4BB5ED7B" w14:textId="73229311" w:rsidR="00B50073" w:rsidRDefault="00B50073" w:rsidP="00337843">
      <w:pPr>
        <w:pStyle w:val="NoSpacing"/>
      </w:pPr>
    </w:p>
    <w:p w14:paraId="1070D7E2" w14:textId="011C5E42" w:rsidR="00B50073" w:rsidRDefault="00B50073" w:rsidP="00B50073">
      <w:pPr>
        <w:pStyle w:val="Title"/>
        <w:rPr>
          <w:vertAlign w:val="subscript"/>
        </w:rPr>
      </w:pPr>
      <w:r>
        <w:t xml:space="preserve">A </w:t>
      </w:r>
      <w:r>
        <w:rPr>
          <w:vertAlign w:val="superscript"/>
        </w:rPr>
        <w:t>13</w:t>
      </w:r>
      <w:r w:rsidR="009677F6">
        <w:t>C-NMR STUDY OF CIS-TI(ACAC)</w:t>
      </w:r>
      <w:r w:rsidR="009677F6">
        <w:rPr>
          <w:vertAlign w:val="subscript"/>
        </w:rPr>
        <w:t>2</w:t>
      </w:r>
      <w:r w:rsidR="009677F6">
        <w:t>CL</w:t>
      </w:r>
      <w:r w:rsidR="009677F6">
        <w:rPr>
          <w:vertAlign w:val="subscript"/>
        </w:rPr>
        <w:t>2</w:t>
      </w:r>
    </w:p>
    <w:p w14:paraId="3858B37D" w14:textId="77777777" w:rsidR="009677F6" w:rsidRPr="009677F6" w:rsidRDefault="009677F6" w:rsidP="009677F6">
      <w:pPr>
        <w:pStyle w:val="NoSpacing"/>
      </w:pPr>
    </w:p>
    <w:p w14:paraId="7BF300E0" w14:textId="3DEA8E04" w:rsidR="00D018A8" w:rsidRPr="009677F6" w:rsidRDefault="00BE5803" w:rsidP="00337843">
      <w:pPr>
        <w:pStyle w:val="NoSpacing"/>
        <w:rPr>
          <w:sz w:val="28"/>
          <w:szCs w:val="28"/>
        </w:rPr>
      </w:pPr>
      <w:r w:rsidRPr="009677F6">
        <w:rPr>
          <w:sz w:val="28"/>
          <w:szCs w:val="28"/>
        </w:rPr>
        <w:t>Daniel T. Haworth</w:t>
      </w:r>
    </w:p>
    <w:p w14:paraId="1E4781F7" w14:textId="3746D96A" w:rsidR="00D018A8" w:rsidRDefault="00D018A8" w:rsidP="00337843">
      <w:pPr>
        <w:pStyle w:val="NoSpacing"/>
      </w:pPr>
      <w:r w:rsidRPr="00BE5803">
        <w:t>Chemistry Department, Marquette University, Milwaukee, Wisconsin 53233</w:t>
      </w:r>
    </w:p>
    <w:p w14:paraId="4F47F760" w14:textId="39DBC9D0" w:rsidR="00CA3165" w:rsidRPr="009677F6" w:rsidRDefault="00BE5803" w:rsidP="00337843">
      <w:pPr>
        <w:pStyle w:val="NoSpacing"/>
        <w:rPr>
          <w:sz w:val="28"/>
          <w:szCs w:val="28"/>
        </w:rPr>
      </w:pPr>
      <w:r w:rsidRPr="009677F6">
        <w:rPr>
          <w:sz w:val="28"/>
          <w:szCs w:val="28"/>
        </w:rPr>
        <w:t xml:space="preserve">Charles A. </w:t>
      </w:r>
      <w:proofErr w:type="spellStart"/>
      <w:r w:rsidRPr="009677F6">
        <w:rPr>
          <w:sz w:val="28"/>
          <w:szCs w:val="28"/>
        </w:rPr>
        <w:t>Wilkie</w:t>
      </w:r>
      <w:proofErr w:type="spellEnd"/>
    </w:p>
    <w:p w14:paraId="279D66FE" w14:textId="1D2AA60A" w:rsidR="00CA3165" w:rsidRDefault="00D018A8" w:rsidP="00337843">
      <w:pPr>
        <w:pStyle w:val="NoSpacing"/>
      </w:pPr>
      <w:r w:rsidRPr="00BE5803">
        <w:t>Chemistry Department, Marquette University, Milwaukee, Wisconsin 53233</w:t>
      </w:r>
    </w:p>
    <w:p w14:paraId="08309472" w14:textId="4ABB7F7A" w:rsidR="00D018A8" w:rsidRDefault="00D018A8" w:rsidP="00337843">
      <w:pPr>
        <w:pStyle w:val="NoSpacing"/>
      </w:pPr>
    </w:p>
    <w:p w14:paraId="563C4DF1" w14:textId="7B56BCDE" w:rsidR="00277883" w:rsidRDefault="00BE5803" w:rsidP="00337843">
      <w:pPr>
        <w:pStyle w:val="NoSpacing"/>
      </w:pPr>
      <w:r w:rsidRPr="00BE5803">
        <w:t xml:space="preserve">In this paper we report the </w:t>
      </w:r>
      <w:r w:rsidR="000546F7">
        <w:rPr>
          <w:vertAlign w:val="superscript"/>
        </w:rPr>
        <w:t>13</w:t>
      </w:r>
      <w:r w:rsidR="000546F7">
        <w:t>C-NMR</w:t>
      </w:r>
      <w:r w:rsidRPr="00BE5803">
        <w:t xml:space="preserve"> spectra of </w:t>
      </w:r>
      <w:r w:rsidRPr="00E90C65">
        <w:rPr>
          <w:u w:val="single"/>
        </w:rPr>
        <w:t>cis</w:t>
      </w:r>
      <w:r w:rsidRPr="00E90C65">
        <w:t>-</w:t>
      </w:r>
      <w:proofErr w:type="spellStart"/>
      <w:r w:rsidRPr="00E90C65">
        <w:t>Ti</w:t>
      </w:r>
      <w:proofErr w:type="spellEnd"/>
      <w:r w:rsidRPr="00E90C65">
        <w:t>(</w:t>
      </w:r>
      <w:proofErr w:type="spellStart"/>
      <w:r w:rsidRPr="00E90C65">
        <w:t>acac</w:t>
      </w:r>
      <w:proofErr w:type="spellEnd"/>
      <w:r w:rsidRPr="00E90C65">
        <w:t>)</w:t>
      </w:r>
      <w:r w:rsidRPr="00E90C65">
        <w:rPr>
          <w:vertAlign w:val="subscript"/>
        </w:rPr>
        <w:t>2</w:t>
      </w:r>
      <w:r w:rsidRPr="00E90C65">
        <w:t>C</w:t>
      </w:r>
      <w:r w:rsidR="00B55B42" w:rsidRPr="00E90C65">
        <w:t>l</w:t>
      </w:r>
      <w:r w:rsidRPr="00E90C65">
        <w:rPr>
          <w:vertAlign w:val="subscript"/>
        </w:rPr>
        <w:t>2</w:t>
      </w:r>
      <w:r w:rsidRPr="00BE5803">
        <w:t xml:space="preserve"> at variable temperatures. Previous work has shown that </w:t>
      </w:r>
      <w:r w:rsidRPr="00F86B99">
        <w:rPr>
          <w:u w:val="single"/>
        </w:rPr>
        <w:t>cis</w:t>
      </w:r>
      <w:r w:rsidRPr="00F86B99">
        <w:t>-disubstituted</w:t>
      </w:r>
      <w:r w:rsidR="00D018A8">
        <w:t xml:space="preserve"> </w:t>
      </w:r>
      <w:r w:rsidRPr="00F86B99">
        <w:t>(</w:t>
      </w:r>
      <w:proofErr w:type="spellStart"/>
      <w:r w:rsidRPr="00F86B99">
        <w:t>acac</w:t>
      </w:r>
      <w:proofErr w:type="spellEnd"/>
      <w:r w:rsidRPr="00F86B99">
        <w:t>)</w:t>
      </w:r>
      <w:r w:rsidRPr="00F86B99">
        <w:rPr>
          <w:vertAlign w:val="subscript"/>
        </w:rPr>
        <w:t>2</w:t>
      </w:r>
      <w:proofErr w:type="gramStart"/>
      <w:r w:rsidRPr="00F86B99">
        <w:t>titanium(</w:t>
      </w:r>
      <w:proofErr w:type="gramEnd"/>
      <w:r w:rsidRPr="00F86B99">
        <w:t>IV</w:t>
      </w:r>
      <w:r w:rsidRPr="00BE5803">
        <w:t xml:space="preserve">) complexes: exist in solution as nonrigid molecules (1). These compounds include both the </w:t>
      </w:r>
      <w:proofErr w:type="spellStart"/>
      <w:r w:rsidRPr="00BE5803">
        <w:t>dialkoxybis</w:t>
      </w:r>
      <w:proofErr w:type="spellEnd"/>
      <w:r w:rsidRPr="00BE5803">
        <w:t>(</w:t>
      </w:r>
      <w:proofErr w:type="spellStart"/>
      <w:r w:rsidRPr="00BE5803">
        <w:t>acac</w:t>
      </w:r>
      <w:proofErr w:type="spellEnd"/>
      <w:r w:rsidRPr="00BE5803">
        <w:t xml:space="preserve">)titanium and the </w:t>
      </w:r>
      <w:proofErr w:type="spellStart"/>
      <w:r w:rsidRPr="00BE5803">
        <w:t>dihalobis</w:t>
      </w:r>
      <w:proofErr w:type="spellEnd"/>
      <w:r w:rsidRPr="00BE5803">
        <w:t xml:space="preserve"> (</w:t>
      </w:r>
      <w:proofErr w:type="spellStart"/>
      <w:r w:rsidRPr="00BE5803">
        <w:t>acac</w:t>
      </w:r>
      <w:proofErr w:type="spellEnd"/>
      <w:r w:rsidRPr="00BE5803">
        <w:t xml:space="preserve">)titanium species. Work by Fay, Lowry and </w:t>
      </w:r>
      <w:proofErr w:type="spellStart"/>
      <w:r w:rsidRPr="00BE5803">
        <w:t>Serpone</w:t>
      </w:r>
      <w:proofErr w:type="spellEnd"/>
      <w:r w:rsidRPr="00BE5803">
        <w:t xml:space="preserve"> (2-4) have shown that </w:t>
      </w:r>
      <w:proofErr w:type="spellStart"/>
      <w:r w:rsidRPr="000B1A84">
        <w:t>dihalobis</w:t>
      </w:r>
      <w:proofErr w:type="spellEnd"/>
      <w:r w:rsidRPr="000B1A84">
        <w:t xml:space="preserve"> (</w:t>
      </w:r>
      <w:proofErr w:type="spellStart"/>
      <w:r w:rsidRPr="000B1A84">
        <w:t>a</w:t>
      </w:r>
      <w:r w:rsidR="000B1A84" w:rsidRPr="000B1A84">
        <w:t>c</w:t>
      </w:r>
      <w:r w:rsidRPr="000B1A84">
        <w:t>a</w:t>
      </w:r>
      <w:r w:rsidR="000B1A84" w:rsidRPr="000B1A84">
        <w:t>c</w:t>
      </w:r>
      <w:proofErr w:type="spellEnd"/>
      <w:r w:rsidRPr="000B1A84">
        <w:t>)titanium (</w:t>
      </w:r>
      <w:r w:rsidR="00981DA2" w:rsidRPr="000B1A84">
        <w:t>I</w:t>
      </w:r>
      <w:r w:rsidRPr="000B1A84">
        <w:t>V)</w:t>
      </w:r>
      <w:r w:rsidRPr="00BE5803">
        <w:t xml:space="preserve"> compounds rearrange via an intramolecular mechanism. In addition the </w:t>
      </w:r>
      <w:proofErr w:type="spellStart"/>
      <w:r w:rsidRPr="00BE5803">
        <w:t>dihalo</w:t>
      </w:r>
      <w:proofErr w:type="spellEnd"/>
      <w:r w:rsidRPr="00BE5803">
        <w:t xml:space="preserve">- and the </w:t>
      </w:r>
      <w:proofErr w:type="spellStart"/>
      <w:r w:rsidRPr="00BE5803">
        <w:t>dialkoxybis</w:t>
      </w:r>
      <w:proofErr w:type="spellEnd"/>
      <w:r w:rsidRPr="00BE5803">
        <w:t>(</w:t>
      </w:r>
      <w:proofErr w:type="spellStart"/>
      <w:r w:rsidRPr="00BE5803">
        <w:t>acac</w:t>
      </w:r>
      <w:proofErr w:type="spellEnd"/>
      <w:r w:rsidRPr="00BE5803">
        <w:t>)</w:t>
      </w:r>
      <w:proofErr w:type="gramStart"/>
      <w:r w:rsidRPr="00BE5803">
        <w:t>titanium(</w:t>
      </w:r>
      <w:proofErr w:type="gramEnd"/>
      <w:r w:rsidRPr="00BE5803">
        <w:t xml:space="preserve">IV) complexes undergo rapid ligand-exchange reactions which scramble both monodentate and bidentate ligands (5). Except for the </w:t>
      </w:r>
      <w:proofErr w:type="spellStart"/>
      <w:r w:rsidRPr="00BE5803">
        <w:t>diiodobis</w:t>
      </w:r>
      <w:proofErr w:type="spellEnd"/>
      <w:r w:rsidRPr="00BE5803">
        <w:t>(</w:t>
      </w:r>
      <w:proofErr w:type="spellStart"/>
      <w:r w:rsidRPr="00BE5803">
        <w:t>acac</w:t>
      </w:r>
      <w:proofErr w:type="spellEnd"/>
      <w:r w:rsidRPr="00BE5803">
        <w:t xml:space="preserve">)titanium (6), which exists in a dichloromethane solution in both the </w:t>
      </w:r>
      <w:r w:rsidRPr="006318CD">
        <w:rPr>
          <w:u w:val="single"/>
        </w:rPr>
        <w:t>cis</w:t>
      </w:r>
      <w:r w:rsidRPr="00BE5803">
        <w:t xml:space="preserve"> and </w:t>
      </w:r>
      <w:proofErr w:type="gramStart"/>
      <w:r w:rsidRPr="006318CD">
        <w:rPr>
          <w:u w:val="single"/>
        </w:rPr>
        <w:t>trans</w:t>
      </w:r>
      <w:r w:rsidRPr="00BE5803">
        <w:t xml:space="preserve"> forms</w:t>
      </w:r>
      <w:proofErr w:type="gramEnd"/>
      <w:r w:rsidRPr="00BE5803">
        <w:t xml:space="preserve">, the other compounds of this type all have a </w:t>
      </w:r>
      <w:r w:rsidRPr="006318CD">
        <w:rPr>
          <w:u w:val="single"/>
        </w:rPr>
        <w:t>cis</w:t>
      </w:r>
      <w:r w:rsidRPr="00BE5803">
        <w:t xml:space="preserve">-octahedral structure (7). </w:t>
      </w:r>
    </w:p>
    <w:p w14:paraId="7116B796" w14:textId="77777777" w:rsidR="00277883" w:rsidRDefault="00277883" w:rsidP="00337843">
      <w:pPr>
        <w:pStyle w:val="NoSpacing"/>
      </w:pPr>
    </w:p>
    <w:p w14:paraId="549319EC" w14:textId="564F3FE5" w:rsidR="00277883" w:rsidRDefault="00BE5803" w:rsidP="00337843">
      <w:pPr>
        <w:pStyle w:val="NoSpacing"/>
      </w:pPr>
      <w:r w:rsidRPr="00BE5803">
        <w:t>The nonrigidity of these molecules has been followed by 'H-</w:t>
      </w:r>
      <w:proofErr w:type="spellStart"/>
      <w:r w:rsidRPr="00BE5803">
        <w:t>nmr</w:t>
      </w:r>
      <w:proofErr w:type="spellEnd"/>
      <w:r w:rsidRPr="00BE5803">
        <w:t xml:space="preserve"> spectroscopy. Variable temperature </w:t>
      </w:r>
      <w:proofErr w:type="spellStart"/>
      <w:r w:rsidRPr="00BE5803">
        <w:t>nmr</w:t>
      </w:r>
      <w:proofErr w:type="spellEnd"/>
      <w:r w:rsidRPr="00BE5803">
        <w:t xml:space="preserve"> spectra show that the </w:t>
      </w:r>
      <w:proofErr w:type="spellStart"/>
      <w:r w:rsidRPr="00BE5803">
        <w:t>acetylaoetonate</w:t>
      </w:r>
      <w:proofErr w:type="spellEnd"/>
      <w:r w:rsidRPr="00BE5803">
        <w:t xml:space="preserve"> rings undergo rapid configurational changes which exchange, for example, the methyl groups of the </w:t>
      </w:r>
      <w:proofErr w:type="spellStart"/>
      <w:r w:rsidRPr="00BE5803">
        <w:t>a</w:t>
      </w:r>
      <w:r w:rsidR="00836C5D">
        <w:t>c</w:t>
      </w:r>
      <w:r w:rsidRPr="00BE5803">
        <w:t>ac</w:t>
      </w:r>
      <w:proofErr w:type="spellEnd"/>
      <w:r w:rsidRPr="00BE5803">
        <w:t xml:space="preserve"> rings, between the two nonequivalent sites of the </w:t>
      </w:r>
      <w:r w:rsidRPr="006318CD">
        <w:rPr>
          <w:u w:val="single"/>
        </w:rPr>
        <w:t>cis</w:t>
      </w:r>
      <w:r w:rsidRPr="00BE5803">
        <w:t xml:space="preserve"> isomer. Twisting mechanisms as well as one-bond rupture of the bidentate ligand have been suggested for these </w:t>
      </w:r>
      <w:proofErr w:type="spellStart"/>
      <w:r w:rsidRPr="00BE5803">
        <w:t>sterochemical</w:t>
      </w:r>
      <w:proofErr w:type="spellEnd"/>
      <w:r w:rsidRPr="00BE5803">
        <w:t xml:space="preserve"> rearrangements (3). </w:t>
      </w:r>
    </w:p>
    <w:p w14:paraId="4FFA6494" w14:textId="77777777" w:rsidR="00277883" w:rsidRDefault="00277883" w:rsidP="00337843">
      <w:pPr>
        <w:pStyle w:val="NoSpacing"/>
      </w:pPr>
    </w:p>
    <w:p w14:paraId="49BBBF86" w14:textId="0322CCF2" w:rsidR="00BE5803" w:rsidRPr="00337843" w:rsidRDefault="00BE5803" w:rsidP="00337843">
      <w:pPr>
        <w:pStyle w:val="NoSpacing"/>
      </w:pPr>
      <w:r w:rsidRPr="00BE5803">
        <w:t xml:space="preserve">Typical spectra for the methyl and carbonyl carbons are shown in the figure. The methine carbon's chemical 485 shift from </w:t>
      </w:r>
      <w:proofErr w:type="spellStart"/>
      <w:r w:rsidRPr="00BE5803">
        <w:t>tetramethylsilane</w:t>
      </w:r>
      <w:proofErr w:type="spellEnd"/>
      <w:r w:rsidRPr="00BE5803">
        <w:t xml:space="preserve"> (TMS) was temperature independent (109.2 ppm). Ex</w:t>
      </w:r>
      <w:r w:rsidR="00836C5D">
        <w:t>am</w:t>
      </w:r>
      <w:r w:rsidRPr="00BE5803">
        <w:t xml:space="preserve">ination of the spectra indicates that the methyl carbons and the carbonyl carbons of the acetylacetonate ring have different </w:t>
      </w:r>
      <w:r w:rsidR="00836C5D" w:rsidRPr="00BE5803">
        <w:t>coalesce</w:t>
      </w:r>
      <w:r w:rsidR="00836C5D">
        <w:t>n</w:t>
      </w:r>
      <w:r w:rsidR="00836C5D" w:rsidRPr="00BE5803">
        <w:t>ce</w:t>
      </w:r>
      <w:r w:rsidRPr="00BE5803">
        <w:t xml:space="preserve"> temperatures. The carbonyl carbon </w:t>
      </w:r>
      <w:r w:rsidR="00836C5D" w:rsidRPr="00BE5803">
        <w:t>coalescence</w:t>
      </w:r>
      <w:r w:rsidRPr="00BE5803">
        <w:t xml:space="preserve"> temperature is </w:t>
      </w:r>
      <w:r w:rsidRPr="001749C5">
        <w:t>-</w:t>
      </w:r>
      <w:r w:rsidR="007255C1" w:rsidRPr="001749C5">
        <w:t>5°</w:t>
      </w:r>
      <w:r w:rsidR="007255C1">
        <w:t>C</w:t>
      </w:r>
      <w:r w:rsidRPr="00BE5803">
        <w:t xml:space="preserve"> whereas, the methyl carbon </w:t>
      </w:r>
      <w:r w:rsidR="007067E7" w:rsidRPr="00BE5803">
        <w:t>coalescence</w:t>
      </w:r>
      <w:r w:rsidRPr="00BE5803">
        <w:t xml:space="preserve"> temperature is </w:t>
      </w:r>
      <w:r w:rsidRPr="001749C5">
        <w:t>-15</w:t>
      </w:r>
      <w:r w:rsidR="003E6A20" w:rsidRPr="001749C5">
        <w:t>°C</w:t>
      </w:r>
      <w:r w:rsidRPr="001749C5">
        <w:t>.</w:t>
      </w:r>
      <w:r w:rsidRPr="00BE5803">
        <w:t xml:space="preserve"> Chemical shifts from TMS in the </w:t>
      </w:r>
      <w:proofErr w:type="spellStart"/>
      <w:r w:rsidRPr="00BE5803">
        <w:t>nonexchanging</w:t>
      </w:r>
      <w:proofErr w:type="spellEnd"/>
      <w:r w:rsidRPr="00BE5803">
        <w:t xml:space="preserve"> region are methyl, 25.4 and 26.3 ppm; carbonyl, 190.1 and 193.6 ppm and in the exchanging region are methyl, 25.8 ppm and carbonyl, 191.9 ppm. </w:t>
      </w:r>
      <w:r w:rsidRPr="001749C5">
        <w:t xml:space="preserve">The </w:t>
      </w:r>
      <w:r w:rsidRPr="001749C5">
        <w:rPr>
          <w:vertAlign w:val="superscript"/>
        </w:rPr>
        <w:t>1</w:t>
      </w:r>
      <w:r w:rsidRPr="001749C5">
        <w:t xml:space="preserve">H-nmr </w:t>
      </w:r>
      <w:r w:rsidR="007067E7" w:rsidRPr="001749C5">
        <w:t>coalescence</w:t>
      </w:r>
      <w:r w:rsidRPr="00BE5803">
        <w:t xml:space="preserve"> temperature of the methyl protons is reported as </w:t>
      </w:r>
      <w:r w:rsidRPr="001749C5">
        <w:t>~26</w:t>
      </w:r>
      <w:r w:rsidR="001749C5" w:rsidRPr="001749C5">
        <w:t>°C</w:t>
      </w:r>
      <w:r w:rsidRPr="001749C5">
        <w:t xml:space="preserve"> (2</w:t>
      </w:r>
      <w:r w:rsidRPr="00BE5803">
        <w:t>). The peak width at half-</w:t>
      </w:r>
      <w:r w:rsidRPr="00F72708">
        <w:t>height (</w:t>
      </w:r>
      <w:r w:rsidR="001749C5" w:rsidRPr="00F72708">
        <w:t>±1</w:t>
      </w:r>
      <w:r w:rsidRPr="00F72708">
        <w:t xml:space="preserve"> Hz) for</w:t>
      </w:r>
      <w:r w:rsidRPr="00BE5803">
        <w:t xml:space="preserve"> the methyl, methine and carbonyl carbon resonances did not vary with concentration, indicating a unimolecular process. </w:t>
      </w:r>
    </w:p>
    <w:p w14:paraId="14593833" w14:textId="01B54234" w:rsidR="00836C5D" w:rsidRDefault="00337843" w:rsidP="00337843">
      <w:pPr>
        <w:pStyle w:val="NoSpacing"/>
      </w:pPr>
      <w:r w:rsidRPr="00337843">
        <w:rPr>
          <w:noProof/>
        </w:rPr>
        <w:lastRenderedPageBreak/>
        <w:drawing>
          <wp:inline distT="0" distB="0" distL="0" distR="0" wp14:anchorId="6C9386A1" wp14:editId="0B42E809">
            <wp:extent cx="3657600" cy="4636008"/>
            <wp:effectExtent l="0" t="0" r="0" b="0"/>
            <wp:docPr id="1" name="Picture 1" descr="Figure: Temperature dependence of the carbonyl and methyl region of the 13C-nmr spectra for Ti(acac)2Cl2 in deuterochlorofor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63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1B4E0" w14:textId="1DA5A9D4" w:rsidR="00836C5D" w:rsidRPr="00F72708" w:rsidRDefault="00337843" w:rsidP="00F72708">
      <w:pPr>
        <w:pStyle w:val="NoSpacing"/>
        <w:rPr>
          <w:sz w:val="20"/>
        </w:rPr>
      </w:pPr>
      <w:r w:rsidRPr="00F72708">
        <w:rPr>
          <w:b/>
          <w:sz w:val="20"/>
        </w:rPr>
        <w:t>Figure:</w:t>
      </w:r>
      <w:r w:rsidRPr="00F72708">
        <w:rPr>
          <w:sz w:val="20"/>
        </w:rPr>
        <w:t xml:space="preserve"> </w:t>
      </w:r>
      <w:r w:rsidR="00836C5D" w:rsidRPr="00F72708">
        <w:rPr>
          <w:sz w:val="20"/>
        </w:rPr>
        <w:t xml:space="preserve">Temperature dependence of the carbonyl and methyl region of the 13C-nmr spectra for </w:t>
      </w:r>
      <w:proofErr w:type="spellStart"/>
      <w:r w:rsidR="00836C5D" w:rsidRPr="00F72708">
        <w:rPr>
          <w:sz w:val="20"/>
        </w:rPr>
        <w:t>Ti</w:t>
      </w:r>
      <w:proofErr w:type="spellEnd"/>
      <w:r w:rsidR="00836C5D" w:rsidRPr="00F72708">
        <w:rPr>
          <w:sz w:val="20"/>
        </w:rPr>
        <w:t>(</w:t>
      </w:r>
      <w:proofErr w:type="spellStart"/>
      <w:r w:rsidR="00836C5D" w:rsidRPr="00F72708">
        <w:rPr>
          <w:sz w:val="20"/>
        </w:rPr>
        <w:t>acac</w:t>
      </w:r>
      <w:proofErr w:type="spellEnd"/>
      <w:r w:rsidR="00836C5D" w:rsidRPr="00F72708">
        <w:rPr>
          <w:sz w:val="20"/>
        </w:rPr>
        <w:t>)2C</w:t>
      </w:r>
      <w:r w:rsidR="001749C5" w:rsidRPr="00F72708">
        <w:rPr>
          <w:sz w:val="20"/>
        </w:rPr>
        <w:t>l</w:t>
      </w:r>
      <w:r w:rsidR="00836C5D" w:rsidRPr="00F72708">
        <w:rPr>
          <w:sz w:val="20"/>
        </w:rPr>
        <w:t>2 in deuterochloroform.</w:t>
      </w:r>
    </w:p>
    <w:p w14:paraId="01B53378" w14:textId="77777777" w:rsidR="00277883" w:rsidRPr="00B672EA" w:rsidRDefault="00277883" w:rsidP="00337843">
      <w:pPr>
        <w:pStyle w:val="NoSpacing"/>
      </w:pPr>
    </w:p>
    <w:p w14:paraId="3AC21A42" w14:textId="6E6E9EFA" w:rsidR="008724E9" w:rsidRDefault="00BE5803" w:rsidP="00337843">
      <w:pPr>
        <w:pStyle w:val="NoSpacing"/>
      </w:pPr>
      <w:r w:rsidRPr="00BE5803">
        <w:t xml:space="preserve">The chemical shift </w:t>
      </w:r>
      <w:r w:rsidRPr="00996B84">
        <w:t>difference (</w:t>
      </w:r>
      <w:proofErr w:type="spellStart"/>
      <w:r w:rsidR="00584AC0">
        <w:t>Δ</w:t>
      </w:r>
      <w:r w:rsidRPr="00996B84">
        <w:t>v</w:t>
      </w:r>
      <w:proofErr w:type="spellEnd"/>
      <w:r w:rsidRPr="00996B84">
        <w:t>) and</w:t>
      </w:r>
      <w:r w:rsidRPr="00BE5803">
        <w:t xml:space="preserve"> the </w:t>
      </w:r>
      <w:r w:rsidR="00B672EA" w:rsidRPr="00BE5803">
        <w:t>coalescence</w:t>
      </w:r>
      <w:r w:rsidRPr="00BE5803">
        <w:t xml:space="preserve"> </w:t>
      </w:r>
      <w:r w:rsidRPr="00996B84">
        <w:t>temperature (T</w:t>
      </w:r>
      <w:r w:rsidRPr="00996B84">
        <w:rPr>
          <w:vertAlign w:val="subscript"/>
        </w:rPr>
        <w:t>c</w:t>
      </w:r>
      <w:r w:rsidRPr="00996B84">
        <w:t>)</w:t>
      </w:r>
      <w:r w:rsidRPr="00BE5803">
        <w:t xml:space="preserve"> may be used to calculate an exchange rate, k</w:t>
      </w:r>
      <w:r w:rsidRPr="00996B84">
        <w:rPr>
          <w:vertAlign w:val="subscript"/>
        </w:rPr>
        <w:t>c</w:t>
      </w:r>
      <w:r w:rsidRPr="00BE5803">
        <w:t xml:space="preserve">, from which the activation free </w:t>
      </w:r>
      <w:r w:rsidR="00327642">
        <w:t xml:space="preserve">energy </w:t>
      </w:r>
      <w:r w:rsidR="00584AC0" w:rsidRPr="00584AC0">
        <w:t>(</w:t>
      </w:r>
      <w:proofErr w:type="spellStart"/>
      <w:r w:rsidR="00584AC0" w:rsidRPr="00584AC0">
        <w:t>ΔGǂ</w:t>
      </w:r>
      <w:proofErr w:type="spellEnd"/>
      <w:r w:rsidRPr="00584AC0">
        <w:t>)</w:t>
      </w:r>
      <w:r w:rsidRPr="00BE5803">
        <w:t xml:space="preserve"> for the exchange process may be </w:t>
      </w:r>
      <w:r w:rsidR="00327642">
        <w:t>d</w:t>
      </w:r>
      <w:r w:rsidRPr="00BE5803">
        <w:t xml:space="preserve">etermined (8). The sane number, 13.0 kcal., is obtained for the carbonyl and methyl carbons as well as the methyl hydrogens from proton data, indicating that </w:t>
      </w:r>
      <w:proofErr w:type="gramStart"/>
      <w:r w:rsidRPr="00BE5803">
        <w:t>all of</w:t>
      </w:r>
      <w:proofErr w:type="gramEnd"/>
      <w:r w:rsidRPr="00BE5803">
        <w:t xml:space="preserve"> these moieties are exchanging at the same r</w:t>
      </w:r>
      <w:r w:rsidR="00F72708">
        <w:t>a</w:t>
      </w:r>
      <w:r w:rsidRPr="00BE5803">
        <w:t xml:space="preserve">te. Further work on this exchange process is underway </w:t>
      </w:r>
      <w:r w:rsidRPr="00F72708">
        <w:t xml:space="preserve">for the </w:t>
      </w:r>
      <w:proofErr w:type="spellStart"/>
      <w:r w:rsidRPr="00F72708">
        <w:t>Ti</w:t>
      </w:r>
      <w:proofErr w:type="spellEnd"/>
      <w:r w:rsidRPr="00F72708">
        <w:t>(</w:t>
      </w:r>
      <w:proofErr w:type="spellStart"/>
      <w:r w:rsidRPr="00F72708">
        <w:t>acac</w:t>
      </w:r>
      <w:proofErr w:type="spellEnd"/>
      <w:r w:rsidRPr="00F72708">
        <w:t>)</w:t>
      </w:r>
      <w:r w:rsidRPr="00F72708">
        <w:rPr>
          <w:vertAlign w:val="subscript"/>
        </w:rPr>
        <w:t>2</w:t>
      </w:r>
      <w:r w:rsidRPr="00F72708">
        <w:t>X</w:t>
      </w:r>
      <w:r w:rsidRPr="00F72708">
        <w:rPr>
          <w:vertAlign w:val="subscript"/>
        </w:rPr>
        <w:t>2</w:t>
      </w:r>
      <w:r w:rsidRPr="00F72708">
        <w:t xml:space="preserve"> and </w:t>
      </w:r>
      <w:proofErr w:type="spellStart"/>
      <w:r w:rsidRPr="00F72708">
        <w:t>Ti</w:t>
      </w:r>
      <w:proofErr w:type="spellEnd"/>
      <w:r w:rsidRPr="00F72708">
        <w:t>(</w:t>
      </w:r>
      <w:proofErr w:type="spellStart"/>
      <w:r w:rsidRPr="00F72708">
        <w:t>acac</w:t>
      </w:r>
      <w:proofErr w:type="spellEnd"/>
      <w:r w:rsidRPr="00F72708">
        <w:t>)</w:t>
      </w:r>
      <w:r w:rsidRPr="00F72708">
        <w:rPr>
          <w:vertAlign w:val="subscript"/>
        </w:rPr>
        <w:t>2</w:t>
      </w:r>
      <w:r w:rsidRPr="00F72708">
        <w:t>(OR)</w:t>
      </w:r>
      <w:r w:rsidRPr="00F72708">
        <w:rPr>
          <w:vertAlign w:val="subscript"/>
        </w:rPr>
        <w:t>2</w:t>
      </w:r>
      <w:r w:rsidRPr="00F72708">
        <w:t xml:space="preserve"> systems</w:t>
      </w:r>
      <w:r w:rsidRPr="00BE5803">
        <w:t xml:space="preserve">. </w:t>
      </w:r>
    </w:p>
    <w:p w14:paraId="28741255" w14:textId="77777777" w:rsidR="008724E9" w:rsidRDefault="008724E9" w:rsidP="00337843">
      <w:pPr>
        <w:pStyle w:val="NoSpacing"/>
      </w:pPr>
    </w:p>
    <w:p w14:paraId="1EF0C960" w14:textId="77777777" w:rsidR="008724E9" w:rsidRDefault="00BE5803" w:rsidP="00337843">
      <w:pPr>
        <w:pStyle w:val="NoSpacing"/>
      </w:pPr>
      <w:r w:rsidRPr="00BE5803">
        <w:t xml:space="preserve">We thank the Marquette University Committee on Research for support of this project. </w:t>
      </w:r>
    </w:p>
    <w:p w14:paraId="69E8E303" w14:textId="77777777" w:rsidR="008724E9" w:rsidRDefault="00BE5803" w:rsidP="00F72708">
      <w:pPr>
        <w:pStyle w:val="Heading1"/>
      </w:pPr>
      <w:r w:rsidRPr="00BE5803">
        <w:t xml:space="preserve">References </w:t>
      </w:r>
    </w:p>
    <w:p w14:paraId="1AC1278C" w14:textId="6CE6E7CB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>D. C. Bradley and C. E. Hollow</w:t>
      </w:r>
      <w:r w:rsidR="00580544">
        <w:t>ay,</w:t>
      </w:r>
      <w:r w:rsidRPr="00327642">
        <w:t xml:space="preserve"> J. C. S. Chem. Comm., 284 (1965), J. C. S. Dalton, 282 (1969). </w:t>
      </w:r>
    </w:p>
    <w:p w14:paraId="0F6F9DDC" w14:textId="16DF4829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R. C. Fay and R. N. Lowry, </w:t>
      </w:r>
      <w:proofErr w:type="spellStart"/>
      <w:r w:rsidRPr="00327642">
        <w:t>Inorg</w:t>
      </w:r>
      <w:proofErr w:type="spellEnd"/>
      <w:r w:rsidRPr="00327642">
        <w:t>. Chem.,</w:t>
      </w:r>
      <w:r w:rsidRPr="00D616BC">
        <w:rPr>
          <w:u w:val="single"/>
        </w:rPr>
        <w:t xml:space="preserve"> 6</w:t>
      </w:r>
      <w:r w:rsidRPr="00327642">
        <w:t>, 1512 (1967).</w:t>
      </w:r>
    </w:p>
    <w:p w14:paraId="28439AE6" w14:textId="2DDB3FAB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N. </w:t>
      </w:r>
      <w:proofErr w:type="spellStart"/>
      <w:r w:rsidRPr="00327642">
        <w:t>Serpone</w:t>
      </w:r>
      <w:proofErr w:type="spellEnd"/>
      <w:r w:rsidRPr="00327642">
        <w:t xml:space="preserve"> and R. C. Fay, </w:t>
      </w:r>
      <w:proofErr w:type="spellStart"/>
      <w:r w:rsidRPr="00327642">
        <w:t>Inorg</w:t>
      </w:r>
      <w:proofErr w:type="spellEnd"/>
      <w:r w:rsidRPr="00327642">
        <w:t xml:space="preserve">. Chem., </w:t>
      </w:r>
      <w:r w:rsidRPr="00D616BC">
        <w:rPr>
          <w:u w:val="single"/>
        </w:rPr>
        <w:t>6</w:t>
      </w:r>
      <w:r w:rsidRPr="00327642">
        <w:t>, 1835 (1967).</w:t>
      </w:r>
    </w:p>
    <w:p w14:paraId="293980A6" w14:textId="433E8564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R. C. Fay and N. </w:t>
      </w:r>
      <w:proofErr w:type="spellStart"/>
      <w:r w:rsidRPr="00327642">
        <w:t>Serpone</w:t>
      </w:r>
      <w:proofErr w:type="spellEnd"/>
      <w:r w:rsidRPr="00327642">
        <w:t xml:space="preserve">, </w:t>
      </w:r>
      <w:proofErr w:type="spellStart"/>
      <w:r w:rsidRPr="00327642">
        <w:t>Inorg</w:t>
      </w:r>
      <w:proofErr w:type="spellEnd"/>
      <w:r w:rsidRPr="00327642">
        <w:t xml:space="preserve">. </w:t>
      </w:r>
      <w:proofErr w:type="spellStart"/>
      <w:r w:rsidRPr="00327642">
        <w:t>Nucl</w:t>
      </w:r>
      <w:proofErr w:type="spellEnd"/>
      <w:r w:rsidRPr="00327642">
        <w:t xml:space="preserve">. Chem. Letters, 3, ll7 (1967). </w:t>
      </w:r>
    </w:p>
    <w:p w14:paraId="5F7EF7D9" w14:textId="50901B07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R. C. Fay and R. N. Lowry, </w:t>
      </w:r>
      <w:proofErr w:type="spellStart"/>
      <w:r w:rsidRPr="00327642">
        <w:t>Inorg</w:t>
      </w:r>
      <w:proofErr w:type="spellEnd"/>
      <w:r w:rsidRPr="00327642">
        <w:t xml:space="preserve">. Chem., </w:t>
      </w:r>
      <w:r w:rsidRPr="00D0060C">
        <w:rPr>
          <w:u w:val="single"/>
        </w:rPr>
        <w:t>13</w:t>
      </w:r>
      <w:r w:rsidRPr="00327642">
        <w:t xml:space="preserve">, 1309 (1974). </w:t>
      </w:r>
    </w:p>
    <w:p w14:paraId="3B609674" w14:textId="5D1423D0" w:rsidR="008724E9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>R. C. F</w:t>
      </w:r>
      <w:r w:rsidR="009D1897">
        <w:t>ay</w:t>
      </w:r>
      <w:r w:rsidRPr="00327642">
        <w:t xml:space="preserve"> and R. N. Lowry, </w:t>
      </w:r>
      <w:proofErr w:type="spellStart"/>
      <w:r w:rsidRPr="00327642">
        <w:t>Inorg</w:t>
      </w:r>
      <w:proofErr w:type="spellEnd"/>
      <w:r w:rsidRPr="00327642">
        <w:t xml:space="preserve">. Chem., </w:t>
      </w:r>
      <w:r w:rsidRPr="00D0060C">
        <w:rPr>
          <w:u w:val="single"/>
        </w:rPr>
        <w:t>9</w:t>
      </w:r>
      <w:r w:rsidRPr="00327642">
        <w:t xml:space="preserve">, 2048 (1970). </w:t>
      </w:r>
    </w:p>
    <w:p w14:paraId="0C0816FE" w14:textId="4B740A59" w:rsidR="00A74CD8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N. </w:t>
      </w:r>
      <w:proofErr w:type="spellStart"/>
      <w:r w:rsidRPr="00327642">
        <w:t>Serpone</w:t>
      </w:r>
      <w:proofErr w:type="spellEnd"/>
      <w:r w:rsidRPr="00327642">
        <w:t xml:space="preserve"> and R. C. Fay, </w:t>
      </w:r>
      <w:proofErr w:type="spellStart"/>
      <w:r w:rsidRPr="00327642">
        <w:t>Inorg</w:t>
      </w:r>
      <w:proofErr w:type="spellEnd"/>
      <w:r w:rsidRPr="00327642">
        <w:t xml:space="preserve">. Chem., </w:t>
      </w:r>
      <w:r w:rsidRPr="00D0060C">
        <w:rPr>
          <w:u w:val="single"/>
        </w:rPr>
        <w:t>8</w:t>
      </w:r>
      <w:r w:rsidRPr="00327642">
        <w:t xml:space="preserve">, 2379 (1969). </w:t>
      </w:r>
    </w:p>
    <w:p w14:paraId="576E67FA" w14:textId="73D083D5" w:rsidR="00BE5803" w:rsidRPr="00327642" w:rsidRDefault="00BE5803" w:rsidP="00F72708">
      <w:pPr>
        <w:pStyle w:val="NoSpacing"/>
        <w:numPr>
          <w:ilvl w:val="0"/>
          <w:numId w:val="39"/>
        </w:numPr>
        <w:ind w:left="360"/>
      </w:pPr>
      <w:r w:rsidRPr="00327642">
        <w:t xml:space="preserve">H. Kessler, </w:t>
      </w:r>
      <w:proofErr w:type="spellStart"/>
      <w:r w:rsidRPr="00327642">
        <w:t>Angew</w:t>
      </w:r>
      <w:proofErr w:type="spellEnd"/>
      <w:r w:rsidRPr="00327642">
        <w:t xml:space="preserve">. Chem. </w:t>
      </w:r>
      <w:proofErr w:type="spellStart"/>
      <w:r w:rsidRPr="00327642">
        <w:t>internat.</w:t>
      </w:r>
      <w:proofErr w:type="spellEnd"/>
      <w:r w:rsidRPr="00327642">
        <w:t xml:space="preserve"> Edit., </w:t>
      </w:r>
      <w:r w:rsidRPr="00D0060C">
        <w:rPr>
          <w:u w:val="single"/>
        </w:rPr>
        <w:t>9</w:t>
      </w:r>
      <w:r w:rsidRPr="00327642">
        <w:t>, 219 (1970).</w:t>
      </w:r>
    </w:p>
    <w:sectPr w:rsidR="00BE5803" w:rsidRPr="00327642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31"/>
    <w:multiLevelType w:val="multilevel"/>
    <w:tmpl w:val="F75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02E55"/>
    <w:multiLevelType w:val="multilevel"/>
    <w:tmpl w:val="80D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D538A4"/>
    <w:multiLevelType w:val="hybridMultilevel"/>
    <w:tmpl w:val="34528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DD0917"/>
    <w:multiLevelType w:val="hybridMultilevel"/>
    <w:tmpl w:val="C7DCD4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6810FE"/>
    <w:multiLevelType w:val="hybridMultilevel"/>
    <w:tmpl w:val="2F54F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B314C2"/>
    <w:multiLevelType w:val="hybridMultilevel"/>
    <w:tmpl w:val="00609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5415D"/>
    <w:multiLevelType w:val="multilevel"/>
    <w:tmpl w:val="9DB8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936A24"/>
    <w:multiLevelType w:val="multilevel"/>
    <w:tmpl w:val="558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2F4919"/>
    <w:multiLevelType w:val="multilevel"/>
    <w:tmpl w:val="F4BA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AF7939"/>
    <w:multiLevelType w:val="hybridMultilevel"/>
    <w:tmpl w:val="BD806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6E75"/>
    <w:multiLevelType w:val="hybridMultilevel"/>
    <w:tmpl w:val="82464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1C7298"/>
    <w:multiLevelType w:val="multilevel"/>
    <w:tmpl w:val="0D5A8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9"/>
  </w:num>
  <w:num w:numId="3">
    <w:abstractNumId w:val="10"/>
  </w:num>
  <w:num w:numId="4">
    <w:abstractNumId w:val="11"/>
  </w:num>
  <w:num w:numId="5">
    <w:abstractNumId w:val="13"/>
  </w:num>
  <w:num w:numId="6">
    <w:abstractNumId w:val="6"/>
  </w:num>
  <w:num w:numId="7">
    <w:abstractNumId w:val="16"/>
  </w:num>
  <w:num w:numId="8">
    <w:abstractNumId w:val="25"/>
  </w:num>
  <w:num w:numId="9">
    <w:abstractNumId w:val="18"/>
  </w:num>
  <w:num w:numId="10">
    <w:abstractNumId w:val="20"/>
  </w:num>
  <w:num w:numId="11">
    <w:abstractNumId w:val="5"/>
  </w:num>
  <w:num w:numId="12">
    <w:abstractNumId w:val="24"/>
  </w:num>
  <w:num w:numId="13">
    <w:abstractNumId w:val="15"/>
  </w:num>
  <w:num w:numId="14">
    <w:abstractNumId w:val="21"/>
  </w:num>
  <w:num w:numId="15">
    <w:abstractNumId w:val="31"/>
  </w:num>
  <w:num w:numId="16">
    <w:abstractNumId w:val="12"/>
  </w:num>
  <w:num w:numId="17">
    <w:abstractNumId w:val="33"/>
  </w:num>
  <w:num w:numId="18">
    <w:abstractNumId w:val="17"/>
  </w:num>
  <w:num w:numId="19">
    <w:abstractNumId w:val="0"/>
  </w:num>
  <w:num w:numId="20">
    <w:abstractNumId w:val="27"/>
  </w:num>
  <w:num w:numId="21">
    <w:abstractNumId w:val="26"/>
  </w:num>
  <w:num w:numId="22">
    <w:abstractNumId w:val="2"/>
  </w:num>
  <w:num w:numId="23">
    <w:abstractNumId w:val="32"/>
  </w:num>
  <w:num w:numId="24">
    <w:abstractNumId w:val="8"/>
  </w:num>
  <w:num w:numId="25">
    <w:abstractNumId w:val="38"/>
  </w:num>
  <w:num w:numId="26">
    <w:abstractNumId w:val="1"/>
  </w:num>
  <w:num w:numId="27">
    <w:abstractNumId w:val="36"/>
  </w:num>
  <w:num w:numId="28">
    <w:abstractNumId w:val="3"/>
  </w:num>
  <w:num w:numId="29">
    <w:abstractNumId w:val="28"/>
  </w:num>
  <w:num w:numId="30">
    <w:abstractNumId w:val="4"/>
  </w:num>
  <w:num w:numId="31">
    <w:abstractNumId w:val="30"/>
  </w:num>
  <w:num w:numId="32">
    <w:abstractNumId w:val="23"/>
  </w:num>
  <w:num w:numId="33">
    <w:abstractNumId w:val="37"/>
  </w:num>
  <w:num w:numId="34">
    <w:abstractNumId w:val="19"/>
  </w:num>
  <w:num w:numId="35">
    <w:abstractNumId w:val="22"/>
  </w:num>
  <w:num w:numId="36">
    <w:abstractNumId w:val="34"/>
  </w:num>
  <w:num w:numId="37">
    <w:abstractNumId w:val="14"/>
  </w:num>
  <w:num w:numId="38">
    <w:abstractNumId w:val="3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9d0LW3XtCx/wUHdJUfwVfireT+EnjZJlXkIeKXnZDXjtrkTHYabOFlREkS83uW20v1GcaBPeYo562TG5B5MiA==" w:salt="onTN8EK+SplNv3f9KNuIK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F66"/>
    <w:rsid w:val="00014F38"/>
    <w:rsid w:val="000233C1"/>
    <w:rsid w:val="00024048"/>
    <w:rsid w:val="00026BC7"/>
    <w:rsid w:val="0003036D"/>
    <w:rsid w:val="00030E72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46F7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348"/>
    <w:rsid w:val="00092DFF"/>
    <w:rsid w:val="00093C1A"/>
    <w:rsid w:val="00097FBC"/>
    <w:rsid w:val="000A0975"/>
    <w:rsid w:val="000A266C"/>
    <w:rsid w:val="000A3059"/>
    <w:rsid w:val="000A7622"/>
    <w:rsid w:val="000A7F84"/>
    <w:rsid w:val="000B1A84"/>
    <w:rsid w:val="000B1D7F"/>
    <w:rsid w:val="000B1EEB"/>
    <w:rsid w:val="000B22D3"/>
    <w:rsid w:val="000B2768"/>
    <w:rsid w:val="000B3464"/>
    <w:rsid w:val="000B389E"/>
    <w:rsid w:val="000B501D"/>
    <w:rsid w:val="000B5170"/>
    <w:rsid w:val="000C0E5B"/>
    <w:rsid w:val="000C43B7"/>
    <w:rsid w:val="000C6BA7"/>
    <w:rsid w:val="000D0A30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23D9"/>
    <w:rsid w:val="000F33D0"/>
    <w:rsid w:val="00101A98"/>
    <w:rsid w:val="00104CE6"/>
    <w:rsid w:val="00107EA8"/>
    <w:rsid w:val="00114114"/>
    <w:rsid w:val="00115F37"/>
    <w:rsid w:val="00117F89"/>
    <w:rsid w:val="00120313"/>
    <w:rsid w:val="00120C04"/>
    <w:rsid w:val="001233A5"/>
    <w:rsid w:val="00123BC0"/>
    <w:rsid w:val="00123E80"/>
    <w:rsid w:val="00131A15"/>
    <w:rsid w:val="00131C28"/>
    <w:rsid w:val="00134CF7"/>
    <w:rsid w:val="001352A5"/>
    <w:rsid w:val="0014182B"/>
    <w:rsid w:val="0014490B"/>
    <w:rsid w:val="00146A5C"/>
    <w:rsid w:val="00146E50"/>
    <w:rsid w:val="00147CF5"/>
    <w:rsid w:val="00150DB6"/>
    <w:rsid w:val="00154D34"/>
    <w:rsid w:val="00160E1F"/>
    <w:rsid w:val="00161372"/>
    <w:rsid w:val="001622DB"/>
    <w:rsid w:val="00163F71"/>
    <w:rsid w:val="00173556"/>
    <w:rsid w:val="001749C5"/>
    <w:rsid w:val="00177615"/>
    <w:rsid w:val="0018114F"/>
    <w:rsid w:val="00181ADF"/>
    <w:rsid w:val="00183A38"/>
    <w:rsid w:val="001854EA"/>
    <w:rsid w:val="00185C26"/>
    <w:rsid w:val="00196C7C"/>
    <w:rsid w:val="001A16DB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2164"/>
    <w:rsid w:val="001F70BC"/>
    <w:rsid w:val="001F7FBE"/>
    <w:rsid w:val="002016B1"/>
    <w:rsid w:val="00201875"/>
    <w:rsid w:val="00201AFD"/>
    <w:rsid w:val="00201FDC"/>
    <w:rsid w:val="002022D8"/>
    <w:rsid w:val="00203559"/>
    <w:rsid w:val="00206486"/>
    <w:rsid w:val="00206CC8"/>
    <w:rsid w:val="00211422"/>
    <w:rsid w:val="00212109"/>
    <w:rsid w:val="00214117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3CF9"/>
    <w:rsid w:val="00276C06"/>
    <w:rsid w:val="00277883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411"/>
    <w:rsid w:val="00300EE4"/>
    <w:rsid w:val="0030197F"/>
    <w:rsid w:val="0030223E"/>
    <w:rsid w:val="00303A1E"/>
    <w:rsid w:val="00303BBD"/>
    <w:rsid w:val="00313440"/>
    <w:rsid w:val="00314FCD"/>
    <w:rsid w:val="00324290"/>
    <w:rsid w:val="00327642"/>
    <w:rsid w:val="00330817"/>
    <w:rsid w:val="00331737"/>
    <w:rsid w:val="0033243D"/>
    <w:rsid w:val="0033652E"/>
    <w:rsid w:val="00337843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27DD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232A"/>
    <w:rsid w:val="003B47FA"/>
    <w:rsid w:val="003B6208"/>
    <w:rsid w:val="003B7F8F"/>
    <w:rsid w:val="003C0DBD"/>
    <w:rsid w:val="003C4172"/>
    <w:rsid w:val="003C437D"/>
    <w:rsid w:val="003C4456"/>
    <w:rsid w:val="003D3301"/>
    <w:rsid w:val="003D39A8"/>
    <w:rsid w:val="003D4641"/>
    <w:rsid w:val="003E05B7"/>
    <w:rsid w:val="003E0C0A"/>
    <w:rsid w:val="003E6A20"/>
    <w:rsid w:val="003E6CFF"/>
    <w:rsid w:val="003F07F8"/>
    <w:rsid w:val="004010E3"/>
    <w:rsid w:val="004055B8"/>
    <w:rsid w:val="0040709D"/>
    <w:rsid w:val="004122F9"/>
    <w:rsid w:val="004124D3"/>
    <w:rsid w:val="004139BA"/>
    <w:rsid w:val="00414DDA"/>
    <w:rsid w:val="00421CBC"/>
    <w:rsid w:val="0043008C"/>
    <w:rsid w:val="00430B91"/>
    <w:rsid w:val="004328A4"/>
    <w:rsid w:val="004374EF"/>
    <w:rsid w:val="00440F61"/>
    <w:rsid w:val="004441CB"/>
    <w:rsid w:val="00450DB8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290"/>
    <w:rsid w:val="0046696C"/>
    <w:rsid w:val="00466DD7"/>
    <w:rsid w:val="00471F7D"/>
    <w:rsid w:val="00473B19"/>
    <w:rsid w:val="00474CB3"/>
    <w:rsid w:val="00474ECD"/>
    <w:rsid w:val="004757B5"/>
    <w:rsid w:val="004816ED"/>
    <w:rsid w:val="0048309F"/>
    <w:rsid w:val="004834F0"/>
    <w:rsid w:val="004839C8"/>
    <w:rsid w:val="00487185"/>
    <w:rsid w:val="004873AE"/>
    <w:rsid w:val="00487718"/>
    <w:rsid w:val="00490ABE"/>
    <w:rsid w:val="004932A8"/>
    <w:rsid w:val="00493B34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3D8F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2682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757DF"/>
    <w:rsid w:val="00580544"/>
    <w:rsid w:val="00580E33"/>
    <w:rsid w:val="00583225"/>
    <w:rsid w:val="00584AC0"/>
    <w:rsid w:val="0058724D"/>
    <w:rsid w:val="005960F4"/>
    <w:rsid w:val="00596593"/>
    <w:rsid w:val="00596A35"/>
    <w:rsid w:val="005979CD"/>
    <w:rsid w:val="005A12F0"/>
    <w:rsid w:val="005A5291"/>
    <w:rsid w:val="005A64BD"/>
    <w:rsid w:val="005A6FD1"/>
    <w:rsid w:val="005B08F1"/>
    <w:rsid w:val="005B47BC"/>
    <w:rsid w:val="005C00EC"/>
    <w:rsid w:val="005C15C9"/>
    <w:rsid w:val="005C30E9"/>
    <w:rsid w:val="005C663B"/>
    <w:rsid w:val="005D0CAD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06B9"/>
    <w:rsid w:val="006318CD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55A47"/>
    <w:rsid w:val="006621F0"/>
    <w:rsid w:val="006647E7"/>
    <w:rsid w:val="006659A6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4FCA"/>
    <w:rsid w:val="00697377"/>
    <w:rsid w:val="006A147C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7E70"/>
    <w:rsid w:val="00702465"/>
    <w:rsid w:val="007065D3"/>
    <w:rsid w:val="007067E7"/>
    <w:rsid w:val="007071B1"/>
    <w:rsid w:val="00707EC1"/>
    <w:rsid w:val="00710582"/>
    <w:rsid w:val="00714EE9"/>
    <w:rsid w:val="00715EA1"/>
    <w:rsid w:val="007246B0"/>
    <w:rsid w:val="007255C1"/>
    <w:rsid w:val="007258CB"/>
    <w:rsid w:val="00730E29"/>
    <w:rsid w:val="00732FF6"/>
    <w:rsid w:val="00735393"/>
    <w:rsid w:val="00735C37"/>
    <w:rsid w:val="00745E32"/>
    <w:rsid w:val="007466F7"/>
    <w:rsid w:val="00757D89"/>
    <w:rsid w:val="0076194B"/>
    <w:rsid w:val="00763676"/>
    <w:rsid w:val="00770D3B"/>
    <w:rsid w:val="00772776"/>
    <w:rsid w:val="00776E56"/>
    <w:rsid w:val="00781619"/>
    <w:rsid w:val="00785436"/>
    <w:rsid w:val="0079146B"/>
    <w:rsid w:val="00791DD5"/>
    <w:rsid w:val="00793469"/>
    <w:rsid w:val="00796875"/>
    <w:rsid w:val="0079756E"/>
    <w:rsid w:val="007A1233"/>
    <w:rsid w:val="007A258F"/>
    <w:rsid w:val="007A3B3A"/>
    <w:rsid w:val="007B0BBA"/>
    <w:rsid w:val="007B7E87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059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5475"/>
    <w:rsid w:val="00816489"/>
    <w:rsid w:val="00817C16"/>
    <w:rsid w:val="00820049"/>
    <w:rsid w:val="0082013E"/>
    <w:rsid w:val="00822617"/>
    <w:rsid w:val="00824B15"/>
    <w:rsid w:val="008322E3"/>
    <w:rsid w:val="00834DF7"/>
    <w:rsid w:val="00836C5D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24E9"/>
    <w:rsid w:val="00873CDE"/>
    <w:rsid w:val="00874421"/>
    <w:rsid w:val="00875997"/>
    <w:rsid w:val="0087796C"/>
    <w:rsid w:val="00880932"/>
    <w:rsid w:val="008825B5"/>
    <w:rsid w:val="00884A5A"/>
    <w:rsid w:val="00885619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308"/>
    <w:rsid w:val="008B6D93"/>
    <w:rsid w:val="008B7177"/>
    <w:rsid w:val="008B7AF1"/>
    <w:rsid w:val="008C25CD"/>
    <w:rsid w:val="008C3543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27CD5"/>
    <w:rsid w:val="00932185"/>
    <w:rsid w:val="009346E4"/>
    <w:rsid w:val="00935F23"/>
    <w:rsid w:val="009372D8"/>
    <w:rsid w:val="00937D12"/>
    <w:rsid w:val="00940ED2"/>
    <w:rsid w:val="009437B5"/>
    <w:rsid w:val="0094399A"/>
    <w:rsid w:val="00944376"/>
    <w:rsid w:val="00946997"/>
    <w:rsid w:val="0094737A"/>
    <w:rsid w:val="00947B8B"/>
    <w:rsid w:val="00950094"/>
    <w:rsid w:val="0095139E"/>
    <w:rsid w:val="00951536"/>
    <w:rsid w:val="00952B32"/>
    <w:rsid w:val="00952C61"/>
    <w:rsid w:val="00954B3E"/>
    <w:rsid w:val="009554A6"/>
    <w:rsid w:val="00956FEB"/>
    <w:rsid w:val="009572F3"/>
    <w:rsid w:val="009650D5"/>
    <w:rsid w:val="0096535F"/>
    <w:rsid w:val="00965F35"/>
    <w:rsid w:val="00966500"/>
    <w:rsid w:val="009677F6"/>
    <w:rsid w:val="00967810"/>
    <w:rsid w:val="009729A3"/>
    <w:rsid w:val="00977F16"/>
    <w:rsid w:val="00977F1D"/>
    <w:rsid w:val="00981DA2"/>
    <w:rsid w:val="00982217"/>
    <w:rsid w:val="00984B39"/>
    <w:rsid w:val="00986A83"/>
    <w:rsid w:val="00990645"/>
    <w:rsid w:val="00996B84"/>
    <w:rsid w:val="009A130B"/>
    <w:rsid w:val="009A2639"/>
    <w:rsid w:val="009A397F"/>
    <w:rsid w:val="009B4F83"/>
    <w:rsid w:val="009B6983"/>
    <w:rsid w:val="009C5450"/>
    <w:rsid w:val="009C5716"/>
    <w:rsid w:val="009D1897"/>
    <w:rsid w:val="009D316A"/>
    <w:rsid w:val="009D3527"/>
    <w:rsid w:val="009D3917"/>
    <w:rsid w:val="009D5368"/>
    <w:rsid w:val="009D54DF"/>
    <w:rsid w:val="009E56AC"/>
    <w:rsid w:val="009E56AF"/>
    <w:rsid w:val="009E5E22"/>
    <w:rsid w:val="009E678D"/>
    <w:rsid w:val="009F08B4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35ACD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4CD8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D78AD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0F79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4162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073"/>
    <w:rsid w:val="00B50108"/>
    <w:rsid w:val="00B525D3"/>
    <w:rsid w:val="00B55B42"/>
    <w:rsid w:val="00B55B5C"/>
    <w:rsid w:val="00B56290"/>
    <w:rsid w:val="00B611B3"/>
    <w:rsid w:val="00B61B54"/>
    <w:rsid w:val="00B6351D"/>
    <w:rsid w:val="00B64203"/>
    <w:rsid w:val="00B6519E"/>
    <w:rsid w:val="00B66AF1"/>
    <w:rsid w:val="00B672EA"/>
    <w:rsid w:val="00B70245"/>
    <w:rsid w:val="00B703C2"/>
    <w:rsid w:val="00B74E41"/>
    <w:rsid w:val="00B75BDF"/>
    <w:rsid w:val="00B7740D"/>
    <w:rsid w:val="00B82F58"/>
    <w:rsid w:val="00B839A9"/>
    <w:rsid w:val="00B83C5C"/>
    <w:rsid w:val="00B84C63"/>
    <w:rsid w:val="00B86814"/>
    <w:rsid w:val="00B87E1D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24D"/>
    <w:rsid w:val="00BB7C37"/>
    <w:rsid w:val="00BC168F"/>
    <w:rsid w:val="00BC1E95"/>
    <w:rsid w:val="00BC2262"/>
    <w:rsid w:val="00BC3D81"/>
    <w:rsid w:val="00BC420A"/>
    <w:rsid w:val="00BC540B"/>
    <w:rsid w:val="00BC63E9"/>
    <w:rsid w:val="00BC7302"/>
    <w:rsid w:val="00BD01F3"/>
    <w:rsid w:val="00BD0D8D"/>
    <w:rsid w:val="00BD439F"/>
    <w:rsid w:val="00BD4F14"/>
    <w:rsid w:val="00BE2644"/>
    <w:rsid w:val="00BE42F3"/>
    <w:rsid w:val="00BE551C"/>
    <w:rsid w:val="00BE5803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2034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3165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060C"/>
    <w:rsid w:val="00D018A8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16BC"/>
    <w:rsid w:val="00D65A57"/>
    <w:rsid w:val="00D661C4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4783"/>
    <w:rsid w:val="00DA5459"/>
    <w:rsid w:val="00DB1E1F"/>
    <w:rsid w:val="00DB357A"/>
    <w:rsid w:val="00DB4233"/>
    <w:rsid w:val="00DB5097"/>
    <w:rsid w:val="00DB6F1B"/>
    <w:rsid w:val="00DC4F7C"/>
    <w:rsid w:val="00DC7134"/>
    <w:rsid w:val="00DC74F2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17AC4"/>
    <w:rsid w:val="00E20401"/>
    <w:rsid w:val="00E229E0"/>
    <w:rsid w:val="00E264D8"/>
    <w:rsid w:val="00E308AA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1347"/>
    <w:rsid w:val="00E52F87"/>
    <w:rsid w:val="00E6120D"/>
    <w:rsid w:val="00E61D06"/>
    <w:rsid w:val="00E64908"/>
    <w:rsid w:val="00E7043E"/>
    <w:rsid w:val="00E747D9"/>
    <w:rsid w:val="00E75D5D"/>
    <w:rsid w:val="00E766CA"/>
    <w:rsid w:val="00E81F85"/>
    <w:rsid w:val="00E8413D"/>
    <w:rsid w:val="00E84C2A"/>
    <w:rsid w:val="00E870FE"/>
    <w:rsid w:val="00E90C65"/>
    <w:rsid w:val="00E90CA1"/>
    <w:rsid w:val="00E91D25"/>
    <w:rsid w:val="00E95F4D"/>
    <w:rsid w:val="00E97067"/>
    <w:rsid w:val="00EA6E8E"/>
    <w:rsid w:val="00EA7978"/>
    <w:rsid w:val="00EA7D19"/>
    <w:rsid w:val="00EB7F70"/>
    <w:rsid w:val="00EC311A"/>
    <w:rsid w:val="00EC4C2A"/>
    <w:rsid w:val="00EC6764"/>
    <w:rsid w:val="00EC726F"/>
    <w:rsid w:val="00EC7743"/>
    <w:rsid w:val="00EC7B8C"/>
    <w:rsid w:val="00ED055B"/>
    <w:rsid w:val="00ED2540"/>
    <w:rsid w:val="00ED48A6"/>
    <w:rsid w:val="00ED4B4B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2708"/>
    <w:rsid w:val="00F74422"/>
    <w:rsid w:val="00F76222"/>
    <w:rsid w:val="00F83712"/>
    <w:rsid w:val="00F85BFD"/>
    <w:rsid w:val="00F86B99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E03F8"/>
    <w:rsid w:val="00FE15B2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ibutor">
    <w:name w:val="contributor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6290"/>
  </w:style>
  <w:style w:type="paragraph" w:customStyle="1" w:styleId="last">
    <w:name w:val="last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c"/>
    <w:basedOn w:val="DefaultParagraphFont"/>
    <w:rsid w:val="001352A5"/>
  </w:style>
  <w:style w:type="character" w:customStyle="1" w:styleId="fig-label">
    <w:name w:val="fig-label"/>
    <w:basedOn w:val="DefaultParagraphFont"/>
    <w:rsid w:val="004328A4"/>
  </w:style>
  <w:style w:type="character" w:styleId="PlaceholderText">
    <w:name w:val="Placeholder Text"/>
    <w:basedOn w:val="DefaultParagraphFont"/>
    <w:uiPriority w:val="99"/>
    <w:semiHidden/>
    <w:rsid w:val="00B24162"/>
    <w:rPr>
      <w:color w:val="808080"/>
    </w:rPr>
  </w:style>
  <w:style w:type="character" w:customStyle="1" w:styleId="xref-fig">
    <w:name w:val="xref-fig"/>
    <w:basedOn w:val="DefaultParagraphFont"/>
    <w:rsid w:val="005960F4"/>
  </w:style>
  <w:style w:type="character" w:customStyle="1" w:styleId="xref-disp-formula">
    <w:name w:val="xref-disp-formula"/>
    <w:basedOn w:val="DefaultParagraphFont"/>
    <w:rsid w:val="005960F4"/>
  </w:style>
  <w:style w:type="character" w:customStyle="1" w:styleId="table-label">
    <w:name w:val="table-label"/>
    <w:basedOn w:val="DefaultParagraphFont"/>
    <w:rsid w:val="006659A6"/>
  </w:style>
  <w:style w:type="paragraph" w:customStyle="1" w:styleId="fn">
    <w:name w:val="fn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label">
    <w:name w:val="fn-label"/>
    <w:basedOn w:val="DefaultParagraphFont"/>
    <w:rsid w:val="005757DF"/>
  </w:style>
  <w:style w:type="paragraph" w:customStyle="1" w:styleId="received">
    <w:name w:val="receive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eived-label">
    <w:name w:val="received-label"/>
    <w:basedOn w:val="DefaultParagraphFont"/>
    <w:rsid w:val="005757DF"/>
  </w:style>
  <w:style w:type="paragraph" w:customStyle="1" w:styleId="rev-recd">
    <w:name w:val="rev-rec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-recd-label">
    <w:name w:val="rev-recd-label"/>
    <w:basedOn w:val="DefaultParagraphFont"/>
    <w:rsid w:val="005757DF"/>
  </w:style>
  <w:style w:type="character" w:styleId="HTMLCite">
    <w:name w:val="HTML Cite"/>
    <w:basedOn w:val="DefaultParagraphFont"/>
    <w:uiPriority w:val="99"/>
    <w:semiHidden/>
    <w:unhideWhenUsed/>
    <w:rsid w:val="009437B5"/>
    <w:rPr>
      <w:i/>
      <w:iCs/>
    </w:rPr>
  </w:style>
  <w:style w:type="character" w:customStyle="1" w:styleId="cit-pub-date">
    <w:name w:val="cit-pub-date"/>
    <w:basedOn w:val="DefaultParagraphFont"/>
    <w:rsid w:val="009437B5"/>
  </w:style>
  <w:style w:type="character" w:customStyle="1" w:styleId="cit-source">
    <w:name w:val="cit-source"/>
    <w:basedOn w:val="DefaultParagraphFont"/>
    <w:rsid w:val="009437B5"/>
  </w:style>
  <w:style w:type="character" w:customStyle="1" w:styleId="cit-vol">
    <w:name w:val="cit-vol"/>
    <w:basedOn w:val="DefaultParagraphFont"/>
    <w:rsid w:val="009437B5"/>
  </w:style>
  <w:style w:type="character" w:customStyle="1" w:styleId="cit-fpage">
    <w:name w:val="cit-fpage"/>
    <w:basedOn w:val="DefaultParagraphFont"/>
    <w:rsid w:val="009437B5"/>
  </w:style>
  <w:style w:type="character" w:customStyle="1" w:styleId="cit-reflinks-abstract">
    <w:name w:val="cit-reflinks-abstract"/>
    <w:basedOn w:val="DefaultParagraphFont"/>
    <w:rsid w:val="009437B5"/>
  </w:style>
  <w:style w:type="character" w:customStyle="1" w:styleId="cit-sep">
    <w:name w:val="cit-sep"/>
    <w:basedOn w:val="DefaultParagraphFont"/>
    <w:rsid w:val="009437B5"/>
  </w:style>
  <w:style w:type="character" w:customStyle="1" w:styleId="cit-reflinks-full-text">
    <w:name w:val="cit-reflinks-full-text"/>
    <w:basedOn w:val="DefaultParagraphFont"/>
    <w:rsid w:val="009437B5"/>
  </w:style>
  <w:style w:type="character" w:customStyle="1" w:styleId="free-full-text">
    <w:name w:val="free-full-text"/>
    <w:basedOn w:val="DefaultParagraphFont"/>
    <w:rsid w:val="00943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5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1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2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151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90146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93564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hyperlink" Target="http://epublications.marquette.ed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file:///C:\Users\8596scholbd\Desktop\10.1016\0020-1650(77)80016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3EDF2-FEA7-4F5C-B274-70B593C06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C2EDEC-59D1-4EB0-9E12-3EA0EB817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4EC61-937D-4458-BEB3-C29700772F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3A1F4B-FA84-4E8A-AFDA-0607842B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658</Words>
  <Characters>3737</Characters>
  <Application>Microsoft Office Word</Application>
  <DocSecurity>8</DocSecurity>
  <Lines>67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37</cp:revision>
  <dcterms:created xsi:type="dcterms:W3CDTF">2019-05-28T21:27:00Z</dcterms:created>
  <dcterms:modified xsi:type="dcterms:W3CDTF">2019-05-31T15:54:00Z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