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131C101" w:rsidR="000A7622" w:rsidRPr="00C04F25" w:rsidRDefault="006B2986"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B35BDB6" w:rsidR="000A7622" w:rsidRDefault="006B2986" w:rsidP="00D14423">
      <w:pPr>
        <w:rPr>
          <w:rFonts w:cstheme="minorHAnsi"/>
          <w:sz w:val="24"/>
          <w:szCs w:val="24"/>
        </w:rPr>
      </w:pPr>
      <w:r>
        <w:rPr>
          <w:rFonts w:cstheme="minorHAnsi"/>
          <w:i/>
          <w:sz w:val="24"/>
          <w:szCs w:val="24"/>
          <w:lang w:val="fr-FR"/>
        </w:rPr>
        <w:t>Tomography</w:t>
      </w:r>
      <w:r w:rsidR="000A7622" w:rsidRPr="00C04F25">
        <w:rPr>
          <w:rFonts w:cstheme="minorHAnsi"/>
          <w:sz w:val="24"/>
          <w:szCs w:val="24"/>
          <w:lang w:val="fr-FR"/>
        </w:rPr>
        <w:t xml:space="preserve">, Vol. </w:t>
      </w:r>
      <w:r>
        <w:rPr>
          <w:rFonts w:cstheme="minorHAnsi"/>
          <w:sz w:val="24"/>
          <w:szCs w:val="24"/>
          <w:lang w:val="fr-FR"/>
        </w:rPr>
        <w:t>8</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r w:rsidR="00216C38">
        <w:rPr>
          <w:rFonts w:cstheme="minorHAnsi"/>
          <w:sz w:val="24"/>
          <w:szCs w:val="24"/>
          <w:lang w:val="fr-FR"/>
        </w:rPr>
        <w:t xml:space="preserve">December </w:t>
      </w:r>
      <w:r>
        <w:rPr>
          <w:rFonts w:cstheme="minorHAnsi"/>
          <w:sz w:val="24"/>
          <w:szCs w:val="24"/>
          <w:lang w:val="fr-FR"/>
        </w:rPr>
        <w:t>2022</w:t>
      </w:r>
      <w:r w:rsidR="000A7622" w:rsidRPr="00C04F25">
        <w:rPr>
          <w:rFonts w:cstheme="minorHAnsi"/>
          <w:sz w:val="24"/>
          <w:szCs w:val="24"/>
          <w:lang w:val="fr-FR"/>
        </w:rPr>
        <w:t xml:space="preserve">): </w:t>
      </w:r>
      <w:r>
        <w:rPr>
          <w:rFonts w:cstheme="minorHAnsi"/>
          <w:sz w:val="24"/>
          <w:szCs w:val="24"/>
          <w:lang w:val="fr-FR"/>
        </w:rPr>
        <w:t>2919-2928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MDPI</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MDPI</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MDPI.</w:t>
      </w:r>
      <w:r w:rsidR="000A7622" w:rsidRPr="00C04F25">
        <w:rPr>
          <w:rFonts w:cstheme="minorHAnsi"/>
          <w:sz w:val="24"/>
          <w:szCs w:val="24"/>
        </w:rPr>
        <w:t xml:space="preserve"> </w:t>
      </w:r>
    </w:p>
    <w:p w14:paraId="52225F5D" w14:textId="76007411" w:rsidR="002949E3" w:rsidRDefault="002949E3" w:rsidP="00D14423">
      <w:pPr>
        <w:rPr>
          <w:rFonts w:cstheme="minorHAnsi"/>
          <w:sz w:val="24"/>
          <w:szCs w:val="24"/>
        </w:rPr>
      </w:pPr>
    </w:p>
    <w:bookmarkEnd w:id="1"/>
    <w:p w14:paraId="6F554E34" w14:textId="1C884A86" w:rsidR="006579E3" w:rsidRDefault="006579E3" w:rsidP="006579E3">
      <w:pPr>
        <w:pStyle w:val="Title"/>
      </w:pPr>
      <w:r w:rsidRPr="006579E3">
        <w:t>Comparative Evaluation of Artifacts Originated by Four Different Post Materials Using Different CBCT Settings</w:t>
      </w:r>
    </w:p>
    <w:p w14:paraId="31011CD1" w14:textId="77777777" w:rsidR="0051710C" w:rsidRPr="0051710C" w:rsidRDefault="0051710C" w:rsidP="0051710C"/>
    <w:p w14:paraId="1D7BF797" w14:textId="1D736CC9" w:rsidR="00156EE4" w:rsidRPr="0073536B" w:rsidRDefault="004675AA" w:rsidP="00156EE4">
      <w:pPr>
        <w:pStyle w:val="NoSpacing"/>
        <w:rPr>
          <w:sz w:val="32"/>
          <w:szCs w:val="32"/>
        </w:rPr>
      </w:pPr>
      <w:r w:rsidRPr="0073536B">
        <w:rPr>
          <w:sz w:val="32"/>
          <w:szCs w:val="32"/>
        </w:rPr>
        <w:t>Dilek Helvacioglu-Yigit</w:t>
      </w:r>
    </w:p>
    <w:p w14:paraId="0C3BDC0B" w14:textId="77777777" w:rsidR="00156EE4" w:rsidRDefault="00156EE4" w:rsidP="00156EE4">
      <w:pPr>
        <w:pStyle w:val="NoSpacing"/>
        <w:rPr>
          <w:sz w:val="24"/>
          <w:szCs w:val="24"/>
        </w:rPr>
      </w:pPr>
      <w:r w:rsidRPr="00156EE4">
        <w:rPr>
          <w:sz w:val="24"/>
          <w:szCs w:val="24"/>
        </w:rPr>
        <w:t>College of Dental Medicine, QU Health, Qatar University, Doha 2713, Qatar</w:t>
      </w:r>
    </w:p>
    <w:p w14:paraId="08E03363" w14:textId="78ED1146" w:rsidR="00156EE4" w:rsidRPr="0073536B" w:rsidRDefault="004675AA" w:rsidP="00156EE4">
      <w:pPr>
        <w:pStyle w:val="NoSpacing"/>
        <w:rPr>
          <w:sz w:val="32"/>
          <w:szCs w:val="32"/>
        </w:rPr>
      </w:pPr>
      <w:r w:rsidRPr="0073536B">
        <w:rPr>
          <w:sz w:val="32"/>
          <w:szCs w:val="32"/>
        </w:rPr>
        <w:t>Umut Seki</w:t>
      </w:r>
    </w:p>
    <w:p w14:paraId="78D5E05E" w14:textId="77777777" w:rsidR="00156EE4" w:rsidRDefault="00156EE4" w:rsidP="00156EE4">
      <w:pPr>
        <w:pStyle w:val="NoSpacing"/>
        <w:rPr>
          <w:sz w:val="24"/>
          <w:szCs w:val="24"/>
        </w:rPr>
      </w:pPr>
      <w:r w:rsidRPr="00156EE4">
        <w:rPr>
          <w:sz w:val="24"/>
          <w:szCs w:val="24"/>
        </w:rPr>
        <w:t>Department of Dentomaxillofacial Radiology, Faculty of Dentistry, Kocaeli University, Kocaeli 41190, Turkey</w:t>
      </w:r>
    </w:p>
    <w:p w14:paraId="78768A2E" w14:textId="17D7C3A9" w:rsidR="005F03C3" w:rsidRPr="0073536B" w:rsidRDefault="004675AA" w:rsidP="005F03C3">
      <w:pPr>
        <w:pStyle w:val="NoSpacing"/>
        <w:rPr>
          <w:sz w:val="32"/>
          <w:szCs w:val="32"/>
        </w:rPr>
      </w:pPr>
      <w:r w:rsidRPr="0073536B">
        <w:rPr>
          <w:sz w:val="32"/>
          <w:szCs w:val="32"/>
        </w:rPr>
        <w:t>Sebnem Kursun-Cakmak</w:t>
      </w:r>
    </w:p>
    <w:p w14:paraId="6A089FA6" w14:textId="77777777" w:rsidR="0073536B" w:rsidRDefault="005F03C3" w:rsidP="005F03C3">
      <w:pPr>
        <w:pStyle w:val="NoSpacing"/>
        <w:rPr>
          <w:sz w:val="24"/>
          <w:szCs w:val="24"/>
        </w:rPr>
      </w:pPr>
      <w:r w:rsidRPr="005F03C3">
        <w:rPr>
          <w:sz w:val="24"/>
          <w:szCs w:val="24"/>
        </w:rPr>
        <w:t>Department of Dentomaxillofacial Radiology, Faculty of Dentistry, Ankara Yıldırım Beyazıt University, Ankara 1487, Turkey</w:t>
      </w:r>
    </w:p>
    <w:p w14:paraId="7173FD98" w14:textId="4747ECAE" w:rsidR="005F03C3" w:rsidRPr="0073536B" w:rsidRDefault="00DC3597" w:rsidP="005F03C3">
      <w:pPr>
        <w:pStyle w:val="NoSpacing"/>
        <w:rPr>
          <w:sz w:val="32"/>
          <w:szCs w:val="32"/>
        </w:rPr>
      </w:pPr>
      <w:r w:rsidRPr="0073536B">
        <w:rPr>
          <w:sz w:val="32"/>
          <w:szCs w:val="32"/>
        </w:rPr>
        <w:t>Husniye Demirtuk Kocasarac</w:t>
      </w:r>
    </w:p>
    <w:p w14:paraId="09D4AABB" w14:textId="77777777" w:rsidR="005F03C3" w:rsidRPr="005F03C3" w:rsidRDefault="005F03C3" w:rsidP="005F03C3">
      <w:pPr>
        <w:pStyle w:val="NoSpacing"/>
        <w:rPr>
          <w:sz w:val="24"/>
          <w:szCs w:val="24"/>
        </w:rPr>
      </w:pPr>
      <w:r w:rsidRPr="005F03C3">
        <w:rPr>
          <w:sz w:val="24"/>
          <w:szCs w:val="24"/>
        </w:rPr>
        <w:t>BeamReaders Inc., Kennewick, WA 99336, USA</w:t>
      </w:r>
    </w:p>
    <w:p w14:paraId="1C726330" w14:textId="77777777" w:rsidR="005F03C3" w:rsidRDefault="005F03C3" w:rsidP="005F03C3">
      <w:pPr>
        <w:pStyle w:val="NoSpacing"/>
        <w:rPr>
          <w:sz w:val="24"/>
          <w:szCs w:val="24"/>
        </w:rPr>
      </w:pPr>
      <w:r w:rsidRPr="005F03C3">
        <w:rPr>
          <w:sz w:val="24"/>
          <w:szCs w:val="24"/>
        </w:rPr>
        <w:t>Department of Dentomaxillofacial Radiology, Kocaeli Health and Technology University, Kocaeli 41000, Turkey</w:t>
      </w:r>
    </w:p>
    <w:p w14:paraId="715E0CBC" w14:textId="68BF4F75" w:rsidR="0073536B" w:rsidRPr="0073536B" w:rsidRDefault="006579E3" w:rsidP="0073536B">
      <w:pPr>
        <w:pStyle w:val="NoSpacing"/>
        <w:rPr>
          <w:sz w:val="32"/>
          <w:szCs w:val="32"/>
        </w:rPr>
      </w:pPr>
      <w:r w:rsidRPr="0073536B">
        <w:rPr>
          <w:sz w:val="32"/>
          <w:szCs w:val="32"/>
        </w:rPr>
        <w:t xml:space="preserve">Maharaj Singh </w:t>
      </w:r>
    </w:p>
    <w:p w14:paraId="164BE155" w14:textId="401B7A30" w:rsidR="006579E3" w:rsidRDefault="0073536B" w:rsidP="0073536B">
      <w:r w:rsidRPr="0073536B">
        <w:rPr>
          <w:sz w:val="24"/>
          <w:szCs w:val="24"/>
        </w:rPr>
        <w:t>College of Nursing, Marquette University, Milwaukee, WI</w:t>
      </w:r>
    </w:p>
    <w:p w14:paraId="2C82BE4F" w14:textId="77777777" w:rsidR="006579E3" w:rsidRPr="006579E3" w:rsidRDefault="006579E3" w:rsidP="002617E6">
      <w:pPr>
        <w:pStyle w:val="Heading1"/>
      </w:pPr>
      <w:r w:rsidRPr="006579E3">
        <w:t>Abstract</w:t>
      </w:r>
    </w:p>
    <w:p w14:paraId="2ECB98CB" w14:textId="77777777" w:rsidR="006579E3" w:rsidRPr="006579E3" w:rsidRDefault="006579E3" w:rsidP="006579E3">
      <w:r w:rsidRPr="006579E3">
        <w:t>The aim of this study was to evaluate whether cone beam computed tomography (CBCT) images in the presence of four different post materials, obtained from different kVps with varying resolutions and varying metal artifact reduction (MAR) algorithms, differed in artifact estimation, and to compare tooth regions in terms of artifact value. Materials and Methods: Forty premolar teeth were used in this study. Root canals were treated, and teeth were randomly distributed into four subgroups (</w:t>
      </w:r>
      <w:r w:rsidRPr="006579E3">
        <w:rPr>
          <w:i/>
          <w:iCs/>
        </w:rPr>
        <w:t>n</w:t>
      </w:r>
      <w:r w:rsidRPr="006579E3">
        <w:t xml:space="preserve"> = 10) for the preparation of post materials: titanium, </w:t>
      </w:r>
      <w:r w:rsidRPr="006579E3">
        <w:lastRenderedPageBreak/>
        <w:t>gold (Nordin), quartz fiber (Bisco DT Light), and glass fiber (Rely X). The CBCT images were taken with two different kVps, three different metal artifact reduction (MAR) algorithm options, and two different resolutions. For each protocol, the effective dose was calculated according to the dose area production (DAP) value. The standard analysis of variance technique and the Tukey multiple comparison adjustment method were used to assess interactions among material types, kVp, MAR, and voxel settings. Results: More artifacts were found in the middle third than in the cervical third (</w:t>
      </w:r>
      <w:r w:rsidRPr="006579E3">
        <w:rPr>
          <w:i/>
          <w:iCs/>
        </w:rPr>
        <w:t>p</w:t>
      </w:r>
      <w:r w:rsidRPr="006579E3">
        <w:t> &lt; 0.05). The mean value of artifacts was highest for gold (Nordin), 90 kVp, no MAR, and 100 voxel size. Glass or quartz fiber posts at low resolution, with high MAR and 96 kVp, originated fewer artifacts. Moreover, the use of 90 and 96 kVp with 200 voxel size and high MAR provided the least amount of radiation. Conclusion: The best setting for radiographic follow-up of post materials on the Planmeca ProMax is 96 kVp with low resolution and high MAR; this setting produced one of the lowest effective doses. Clinical Significance: This study estimated the best scanning protocol by lowering the effective dose to a minimum level according to the “as low as reasonably achievable” principle, as well as assessing the tooth region and the post material generating the fewest artifacts, in order to prevent image interpretation challenges such as false-positive and false-negative results stemming from the deterioration of the visibility of the root canal due to perforation, fractures, and voids in the root canal region.</w:t>
      </w:r>
    </w:p>
    <w:p w14:paraId="53B17125" w14:textId="77777777" w:rsidR="006579E3" w:rsidRPr="006579E3" w:rsidRDefault="006579E3" w:rsidP="002617E6">
      <w:pPr>
        <w:pStyle w:val="Heading1"/>
      </w:pPr>
      <w:r w:rsidRPr="006579E3">
        <w:t>Keywords: </w:t>
      </w:r>
    </w:p>
    <w:p w14:paraId="594E8AA2" w14:textId="1319E55E" w:rsidR="006579E3" w:rsidRPr="0073536B" w:rsidRDefault="006579E3" w:rsidP="006579E3">
      <w:r w:rsidRPr="0073536B">
        <w:t>artifacts; beam hardening; cone-beam computed tomography; dental post</w:t>
      </w:r>
    </w:p>
    <w:p w14:paraId="35293BCC" w14:textId="77777777" w:rsidR="006579E3" w:rsidRPr="006579E3" w:rsidRDefault="006579E3" w:rsidP="002617E6">
      <w:pPr>
        <w:pStyle w:val="Heading1"/>
      </w:pPr>
      <w:r w:rsidRPr="006579E3">
        <w:t>1. Introduction</w:t>
      </w:r>
    </w:p>
    <w:p w14:paraId="09E7DDE0" w14:textId="0188A4DE" w:rsidR="006579E3" w:rsidRPr="006579E3" w:rsidRDefault="006579E3" w:rsidP="006579E3">
      <w:r w:rsidRPr="006579E3">
        <w:t>Artifacts are caused by inconsistency in the reconstructed data and the existing content of the material due to its properties [</w:t>
      </w:r>
      <w:r w:rsidRPr="00216C38">
        <w:rPr>
          <w:b/>
          <w:bCs/>
        </w:rPr>
        <w:t>1</w:t>
      </w:r>
      <w:r w:rsidRPr="006579E3">
        <w:t>]. The gray-level nonuniformities in CBCT (cone-beam computed tomography) promote image degradation and may cause inaccurate or false diagnoses by obscuring or simulating the pathology [</w:t>
      </w:r>
      <w:r w:rsidRPr="00216C38">
        <w:rPr>
          <w:b/>
          <w:bCs/>
        </w:rPr>
        <w:t>2</w:t>
      </w:r>
      <w:r w:rsidRPr="006579E3">
        <w:t>,</w:t>
      </w:r>
      <w:r w:rsidRPr="00216C38">
        <w:rPr>
          <w:b/>
          <w:bCs/>
        </w:rPr>
        <w:t>3</w:t>
      </w:r>
      <w:r w:rsidRPr="006579E3">
        <w:t>].</w:t>
      </w:r>
    </w:p>
    <w:p w14:paraId="1F3788E8" w14:textId="599D448A" w:rsidR="006579E3" w:rsidRPr="006579E3" w:rsidRDefault="006579E3" w:rsidP="006579E3">
      <w:r w:rsidRPr="006579E3">
        <w:t>CBCT is a proposed technique in endodontic evaluations due to its delicate and precise diagnostic characteristics. Despite a growing trend of CBCT in dentistry, it has some disadvantages such as artifacts. In cases with high-density post materials, various artifacts such as noise, scatter, motion missing values, and rings, as well as beam hardening and streaking, may occur, leading to image interpretation challenges [</w:t>
      </w:r>
      <w:r w:rsidRPr="00216C38">
        <w:rPr>
          <w:b/>
          <w:bCs/>
        </w:rPr>
        <w:t>4</w:t>
      </w:r>
      <w:r w:rsidRPr="006579E3">
        <w:t>].</w:t>
      </w:r>
    </w:p>
    <w:p w14:paraId="308BFE67" w14:textId="4C2C05C7" w:rsidR="006579E3" w:rsidRPr="006579E3" w:rsidRDefault="006579E3" w:rsidP="006579E3">
      <w:r w:rsidRPr="006579E3">
        <w:t>Beam hardening is one of the most encountered artifacts, which results in dark streaks in CBCT images. Beam hardening is more noticeable on CBCT images due to the heterochromatic nature and lower kVp energy of CBCT X-ray beams compared with medical CT [</w:t>
      </w:r>
      <w:r w:rsidRPr="00216C38">
        <w:rPr>
          <w:b/>
          <w:bCs/>
        </w:rPr>
        <w:t>3</w:t>
      </w:r>
      <w:r w:rsidRPr="006579E3">
        <w:t>].</w:t>
      </w:r>
    </w:p>
    <w:p w14:paraId="05AB9242" w14:textId="2A508894" w:rsidR="006579E3" w:rsidRPr="006579E3" w:rsidRDefault="006579E3" w:rsidP="006579E3">
      <w:r w:rsidRPr="006579E3">
        <w:t>Recent studies have indicated that CBCT image quality is changed by factors such as kilovoltage peak (kVp), milliamperage (mA), voxel, and field of view (FOV) sizes [</w:t>
      </w:r>
      <w:r w:rsidRPr="00216C38">
        <w:rPr>
          <w:b/>
          <w:bCs/>
        </w:rPr>
        <w:t>4</w:t>
      </w:r>
      <w:r w:rsidRPr="006579E3">
        <w:t>,</w:t>
      </w:r>
      <w:r w:rsidRPr="00216C38">
        <w:rPr>
          <w:b/>
          <w:bCs/>
        </w:rPr>
        <w:t>5</w:t>
      </w:r>
      <w:r w:rsidRPr="006579E3">
        <w:t>,</w:t>
      </w:r>
      <w:r w:rsidRPr="00216C38">
        <w:rPr>
          <w:b/>
          <w:bCs/>
        </w:rPr>
        <w:t>6</w:t>
      </w:r>
      <w:r w:rsidRPr="006579E3">
        <w:t>,</w:t>
      </w:r>
      <w:r w:rsidRPr="00216C38">
        <w:rPr>
          <w:b/>
          <w:bCs/>
        </w:rPr>
        <w:t>7</w:t>
      </w:r>
      <w:r w:rsidRPr="006579E3">
        <w:t>].</w:t>
      </w:r>
    </w:p>
    <w:p w14:paraId="2216A37A" w14:textId="120136D5" w:rsidR="006579E3" w:rsidRPr="006579E3" w:rsidRDefault="006579E3" w:rsidP="006579E3">
      <w:r w:rsidRPr="006579E3">
        <w:t>The usage of a higher kVp and mAs improves image homogeneity and uniformity compared to the lower kVp and mAs [</w:t>
      </w:r>
      <w:r w:rsidRPr="00216C38">
        <w:rPr>
          <w:b/>
          <w:bCs/>
        </w:rPr>
        <w:t>8</w:t>
      </w:r>
      <w:r w:rsidRPr="006579E3">
        <w:t>]. Voxel size is directly related to the spatial resolution of an image; as voxel size decreases, resolution and detail increase. Images with reduced FOV size exhibit less scatter and fewer artifacts, thus resulting in higher contrast and images with less noise, as well as qualitative improvements in image quality for specific diagnostic tasks [</w:t>
      </w:r>
      <w:r w:rsidRPr="00216C38">
        <w:rPr>
          <w:b/>
          <w:bCs/>
        </w:rPr>
        <w:t>9</w:t>
      </w:r>
      <w:r w:rsidRPr="006579E3">
        <w:t>].</w:t>
      </w:r>
    </w:p>
    <w:p w14:paraId="598A4D52" w14:textId="4B79A915" w:rsidR="006579E3" w:rsidRPr="006579E3" w:rsidRDefault="006579E3" w:rsidP="006579E3">
      <w:r w:rsidRPr="006579E3">
        <w:t>It has been stated that CBCT devices should be optimized by enabling exposure factors that are appropriate for artifact reduction and other image quality parameters, finding a balance with the radiation dose [</w:t>
      </w:r>
      <w:r w:rsidRPr="00216C38">
        <w:rPr>
          <w:b/>
          <w:bCs/>
        </w:rPr>
        <w:t>10</w:t>
      </w:r>
      <w:r w:rsidRPr="006579E3">
        <w:t>,</w:t>
      </w:r>
      <w:r w:rsidRPr="00216C38">
        <w:rPr>
          <w:b/>
          <w:bCs/>
        </w:rPr>
        <w:t>11</w:t>
      </w:r>
      <w:r w:rsidRPr="006579E3">
        <w:t>].</w:t>
      </w:r>
    </w:p>
    <w:p w14:paraId="29C52000" w14:textId="724D3B7E" w:rsidR="006579E3" w:rsidRPr="006579E3" w:rsidRDefault="006579E3" w:rsidP="006579E3">
      <w:r w:rsidRPr="006579E3">
        <w:t>A dental post is required to improve the retention of restoration of endodontically treated teeth with insufficient dental tissue [</w:t>
      </w:r>
      <w:r w:rsidRPr="00216C38">
        <w:rPr>
          <w:b/>
          <w:bCs/>
        </w:rPr>
        <w:t>12</w:t>
      </w:r>
      <w:r w:rsidRPr="006579E3">
        <w:t xml:space="preserve">]. Dental posts have a variety of types made of different materials. Stainless-steel, titanium, carbon, and cast posts have been used for many years. Recently, fiber posts have gained popularity because of their mechanical properties, easy application, and aesthetic benefits. The chemical composition of </w:t>
      </w:r>
      <w:r w:rsidRPr="006579E3">
        <w:lastRenderedPageBreak/>
        <w:t>dental posts also affects their radiopacity, which is an essential property to visually distinguish them from the hard tissues and to evaluate their adaptation to the canal space [</w:t>
      </w:r>
      <w:r w:rsidRPr="00216C38">
        <w:rPr>
          <w:b/>
          <w:bCs/>
        </w:rPr>
        <w:t>13</w:t>
      </w:r>
      <w:r w:rsidRPr="006579E3">
        <w:t>]. However, this property may limit the diagnostic quality of CBCT imaging during radiologic evaluation [</w:t>
      </w:r>
      <w:r w:rsidRPr="00216C38">
        <w:rPr>
          <w:b/>
          <w:bCs/>
        </w:rPr>
        <w:t>14</w:t>
      </w:r>
      <w:r w:rsidRPr="006579E3">
        <w:t>]. Chemical compositions with high-atomic-number alloys generate more image artifacts, which could hinder and/or mimic the voids, perforations, and fractures in the root canal [</w:t>
      </w:r>
      <w:r w:rsidRPr="00216C38">
        <w:rPr>
          <w:b/>
          <w:bCs/>
        </w:rPr>
        <w:t>15</w:t>
      </w:r>
      <w:r w:rsidRPr="006579E3">
        <w:t>,</w:t>
      </w:r>
      <w:r w:rsidRPr="00216C38">
        <w:rPr>
          <w:b/>
          <w:bCs/>
        </w:rPr>
        <w:t>16</w:t>
      </w:r>
      <w:r w:rsidRPr="006579E3">
        <w:t>].</w:t>
      </w:r>
    </w:p>
    <w:p w14:paraId="0A697858" w14:textId="5BC3375C" w:rsidR="006579E3" w:rsidRPr="006579E3" w:rsidRDefault="006579E3" w:rsidP="006579E3">
      <w:r w:rsidRPr="006579E3">
        <w:t>Eventually, regardless of the image quality with various combinations of these parameters, high-density objects are still degraded in the image quality because of their higher atomic number and higher capacity to absorb X-rays [</w:t>
      </w:r>
      <w:r w:rsidRPr="00216C38">
        <w:rPr>
          <w:b/>
          <w:bCs/>
        </w:rPr>
        <w:t>17</w:t>
      </w:r>
      <w:r w:rsidRPr="006579E3">
        <w:t>].</w:t>
      </w:r>
    </w:p>
    <w:p w14:paraId="0B3A815E" w14:textId="77777777" w:rsidR="006579E3" w:rsidRPr="006579E3" w:rsidRDefault="006579E3" w:rsidP="006579E3">
      <w:r w:rsidRPr="006579E3">
        <w:t>The goal of this study was to evaluate whether CBCT images, in the presence of four different post materials, obtained from different kVps with varying resolutions and varying metal artifact reduction (MAR) algorithms, differ in artifact estimation, and to compare tooth regions in terms of artifact value.</w:t>
      </w:r>
    </w:p>
    <w:p w14:paraId="5E81ABDE" w14:textId="77777777" w:rsidR="006579E3" w:rsidRPr="006579E3" w:rsidRDefault="006579E3" w:rsidP="002617E6">
      <w:pPr>
        <w:pStyle w:val="Heading1"/>
      </w:pPr>
      <w:r w:rsidRPr="006579E3">
        <w:t>2. Materials and Methods</w:t>
      </w:r>
    </w:p>
    <w:p w14:paraId="2FAB50BF" w14:textId="77777777" w:rsidR="006579E3" w:rsidRPr="006579E3" w:rsidRDefault="006579E3" w:rsidP="002617E6">
      <w:pPr>
        <w:pStyle w:val="Heading2"/>
      </w:pPr>
      <w:r w:rsidRPr="006579E3">
        <w:t>2.1. Sample Selection and Preparation</w:t>
      </w:r>
    </w:p>
    <w:p w14:paraId="5A4574D8" w14:textId="77777777" w:rsidR="006579E3" w:rsidRPr="006579E3" w:rsidRDefault="006579E3" w:rsidP="006579E3">
      <w:r w:rsidRPr="006579E3">
        <w:t>Approval of the use of extracted human teeth was obtained by the Medical Ethics Committee of Kocaeli University, Kocaeli, Turkey (Review No. KÜ GOKAEK 2017/165). Forty non-carious single-rooted extracted mandibular premolar teeth were selected for this study, and teeth with previous endodontic treatment, open apex, root resorption, fractures, any anomaly, or structural defects were excluded.</w:t>
      </w:r>
    </w:p>
    <w:p w14:paraId="35A06AEB" w14:textId="77777777" w:rsidR="006579E3" w:rsidRPr="006579E3" w:rsidRDefault="006579E3" w:rsidP="006579E3">
      <w:r w:rsidRPr="006579E3">
        <w:t>Teeth were all decoronated with diamond burs using a high-speed handpiece under water cooling, and the length of the roots was standardized at 12 mm. The root canals were prepared using ProTaper Next X5 (Dentsply/Maillefer, Ballaigues, Switzerland). The root canals were obturated with a lateral compaction of gutta-percha and silver-free AH26 sealer (Dentsply Sirona, Bensheim, Germany). Then, the roots were stored in 100% humidity for 1 week.</w:t>
      </w:r>
    </w:p>
    <w:p w14:paraId="66329B27" w14:textId="77777777" w:rsidR="006579E3" w:rsidRPr="006579E3" w:rsidRDefault="006579E3" w:rsidP="006579E3">
      <w:r w:rsidRPr="006579E3">
        <w:t>Teeth were randomly distributed into four subgroups according to the type of post:</w:t>
      </w:r>
    </w:p>
    <w:p w14:paraId="3E770295" w14:textId="77777777" w:rsidR="006579E3" w:rsidRPr="006579E3" w:rsidRDefault="006579E3" w:rsidP="0073536B">
      <w:pPr>
        <w:spacing w:after="0"/>
        <w:ind w:left="720" w:hanging="720"/>
      </w:pPr>
      <w:r w:rsidRPr="006579E3">
        <w:t>Group 1 (</w:t>
      </w:r>
      <w:r w:rsidRPr="006579E3">
        <w:rPr>
          <w:i/>
          <w:iCs/>
        </w:rPr>
        <w:t>n</w:t>
      </w:r>
      <w:r w:rsidRPr="006579E3">
        <w:t> = 10): Titanium alloy post 0.8 mm in diameter (Unimetric Dentsply, Maillefer Ins Holding Ballaigues, Switzerland (Lot: 1356737);</w:t>
      </w:r>
    </w:p>
    <w:p w14:paraId="76AAD8AE" w14:textId="77777777" w:rsidR="006579E3" w:rsidRPr="006579E3" w:rsidRDefault="006579E3" w:rsidP="0073536B">
      <w:pPr>
        <w:spacing w:after="0"/>
        <w:ind w:left="720" w:hanging="720"/>
      </w:pPr>
      <w:r w:rsidRPr="006579E3">
        <w:t>Group 2 (</w:t>
      </w:r>
      <w:r w:rsidRPr="006579E3">
        <w:rPr>
          <w:i/>
          <w:iCs/>
        </w:rPr>
        <w:t>n</w:t>
      </w:r>
      <w:r w:rsidRPr="006579E3">
        <w:t> = 10): Prefabricated screw-type gold-plated post medium #1, conical cross (Nordin, Chailly, Switzerland) (Lot: 14995/263);</w:t>
      </w:r>
    </w:p>
    <w:p w14:paraId="13478127" w14:textId="77777777" w:rsidR="006579E3" w:rsidRPr="006579E3" w:rsidRDefault="006579E3" w:rsidP="0073536B">
      <w:pPr>
        <w:spacing w:after="0"/>
        <w:ind w:left="720" w:hanging="720"/>
      </w:pPr>
      <w:r w:rsidRPr="006579E3">
        <w:t>Group 3 (</w:t>
      </w:r>
      <w:r w:rsidRPr="006579E3">
        <w:rPr>
          <w:i/>
          <w:iCs/>
        </w:rPr>
        <w:t>n</w:t>
      </w:r>
      <w:r w:rsidRPr="006579E3">
        <w:t> = 10): Quartz fiber Bisco DT Light Illusion X-Ro Post #1 (Bisco Inc, Schaumburg, IL, USA) (Lot: 1400005973);</w:t>
      </w:r>
    </w:p>
    <w:p w14:paraId="3932650C" w14:textId="77777777" w:rsidR="006579E3" w:rsidRPr="006579E3" w:rsidRDefault="006579E3" w:rsidP="0073536B">
      <w:pPr>
        <w:spacing w:after="0"/>
        <w:ind w:left="720" w:hanging="720"/>
      </w:pPr>
      <w:r w:rsidRPr="006579E3">
        <w:t>Group 4 (</w:t>
      </w:r>
      <w:r w:rsidRPr="006579E3">
        <w:rPr>
          <w:i/>
          <w:iCs/>
        </w:rPr>
        <w:t>n</w:t>
      </w:r>
      <w:r w:rsidRPr="006579E3">
        <w:t> = 10): Rely-X fiberglass post #2 (3M ESPE, Neuss, Germany) (Lot: 379631802).</w:t>
      </w:r>
    </w:p>
    <w:p w14:paraId="5A38AAA2" w14:textId="77777777" w:rsidR="0073536B" w:rsidRDefault="0073536B" w:rsidP="006579E3"/>
    <w:p w14:paraId="5D5B59D2" w14:textId="76CE0F94" w:rsidR="006579E3" w:rsidRPr="006579E3" w:rsidRDefault="006579E3" w:rsidP="006579E3">
      <w:r w:rsidRPr="006579E3">
        <w:t>The post drills of each system were used to prepare 8 mm of post space, leaving 3–4 mm of gutta-percha at the apical portion of each root. After gutta-percha removal and post space preparation, prior to post cementation, posts with stoppers were placed into the root canal, and the post space length was confirmed by measuring the post length within the root canal. Posts were than cemented using self-adhesive resin cement (RelyX U200, 3M ESPE, Neuss, Germany).</w:t>
      </w:r>
    </w:p>
    <w:p w14:paraId="1491ACAD" w14:textId="77777777" w:rsidR="006579E3" w:rsidRPr="006579E3" w:rsidRDefault="006579E3" w:rsidP="002617E6">
      <w:pPr>
        <w:pStyle w:val="Heading2"/>
      </w:pPr>
      <w:r w:rsidRPr="006579E3">
        <w:t>2.2. CBCT Imaging</w:t>
      </w:r>
    </w:p>
    <w:p w14:paraId="339A2517" w14:textId="1E0F50DC" w:rsidR="006579E3" w:rsidRPr="006579E3" w:rsidRDefault="006579E3" w:rsidP="006579E3">
      <w:r w:rsidRPr="006579E3">
        <w:t>The root sample was placed in an empty anterior socket of a dried mandible taken from the Department of Anatomy, Faculty of Dentistry, Kocaeli University. In order to best simulate alveolar soft tissue during exposure, the mandible was covered with a 4 mm thick pink wax layer, and a round plastic box was filled with water to cover the area of interest. Red markers were used to help replace the mandible in the same position after changing the root (</w:t>
      </w:r>
      <w:r w:rsidRPr="00216C38">
        <w:rPr>
          <w:b/>
          <w:bCs/>
        </w:rPr>
        <w:t>Figure 1</w:t>
      </w:r>
      <w:r w:rsidRPr="006579E3">
        <w:t>).</w:t>
      </w:r>
    </w:p>
    <w:p w14:paraId="3B8DBEB2" w14:textId="3559C6A2" w:rsidR="006579E3" w:rsidRPr="006579E3" w:rsidRDefault="006579E3" w:rsidP="002617E6">
      <w:pPr>
        <w:pStyle w:val="NoSpacing"/>
      </w:pPr>
      <w:r w:rsidRPr="006579E3">
        <w:rPr>
          <w:noProof/>
        </w:rPr>
        <w:drawing>
          <wp:inline distT="0" distB="0" distL="0" distR="0" wp14:anchorId="6AB7E351" wp14:editId="4AF6EB15">
            <wp:extent cx="2743200" cy="2615184"/>
            <wp:effectExtent l="0" t="0" r="0" b="0"/>
            <wp:docPr id="6" name="Picture 6" descr="Figure 1. Image of a mandible in a cylindrical container with fluid inside of it. The mandible is reddish pink with no teeth. More detail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1. Image of a mandible in a cylindrical container with fluid inside of it. The mandible is reddish pink with no teeth. More detail belo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615184"/>
                    </a:xfrm>
                    <a:prstGeom prst="rect">
                      <a:avLst/>
                    </a:prstGeom>
                    <a:noFill/>
                    <a:ln>
                      <a:noFill/>
                    </a:ln>
                  </pic:spPr>
                </pic:pic>
              </a:graphicData>
            </a:graphic>
          </wp:inline>
        </w:drawing>
      </w:r>
    </w:p>
    <w:p w14:paraId="47D97640" w14:textId="77777777" w:rsidR="006579E3" w:rsidRDefault="006579E3" w:rsidP="002617E6">
      <w:pPr>
        <w:pStyle w:val="NoSpacing"/>
      </w:pPr>
      <w:r w:rsidRPr="006579E3">
        <w:rPr>
          <w:b/>
          <w:bCs/>
        </w:rPr>
        <w:t>Figure 1.</w:t>
      </w:r>
      <w:r w:rsidRPr="006579E3">
        <w:t> Mandible placed in a round plastic box with wax covering the alveolar crest.</w:t>
      </w:r>
    </w:p>
    <w:p w14:paraId="0F08E16F" w14:textId="77777777" w:rsidR="002617E6" w:rsidRPr="006579E3" w:rsidRDefault="002617E6" w:rsidP="002617E6">
      <w:pPr>
        <w:pStyle w:val="NoSpacing"/>
      </w:pPr>
    </w:p>
    <w:p w14:paraId="7C9A48F1" w14:textId="77777777" w:rsidR="006579E3" w:rsidRPr="006579E3" w:rsidRDefault="006579E3" w:rsidP="006579E3">
      <w:r w:rsidRPr="006579E3">
        <w:t>The CBCT images were taken using a Planmeca CBCT machine (Planmeca ProMax 3D Max) with the following parameters: two different kVps (90 kVp and 96 kVp), three different metal artifact reduction (MAR) algorithms (no MAR, medium MAR, and high MAR), and two different resolutions (100 voxels and 200 voxels).</w:t>
      </w:r>
    </w:p>
    <w:p w14:paraId="45ED41A2" w14:textId="206F23D0" w:rsidR="006579E3" w:rsidRPr="006579E3" w:rsidRDefault="006579E3" w:rsidP="006579E3">
      <w:r w:rsidRPr="006579E3">
        <w:t>A total of 480 CBCT scans were acquired using multi-slice digital imaging in communications in medicine (DICOM) format with 0.16 mm thickness. For each volume, two slices were selected at 2 and 4 mm from the cementoenamel junction (CEJ), representing the cervical and middle root thirds (</w:t>
      </w:r>
      <w:r w:rsidRPr="00216C38">
        <w:rPr>
          <w:b/>
          <w:bCs/>
        </w:rPr>
        <w:t>Figure 2</w:t>
      </w:r>
      <w:r w:rsidRPr="006579E3">
        <w:t>).</w:t>
      </w:r>
    </w:p>
    <w:p w14:paraId="39FBB5E6" w14:textId="612C087B" w:rsidR="006579E3" w:rsidRPr="006579E3" w:rsidRDefault="006579E3" w:rsidP="002617E6">
      <w:pPr>
        <w:pStyle w:val="NoSpacing"/>
      </w:pPr>
      <w:r w:rsidRPr="006579E3">
        <w:rPr>
          <w:noProof/>
        </w:rPr>
        <w:drawing>
          <wp:inline distT="0" distB="0" distL="0" distR="0" wp14:anchorId="2B988E6B" wp14:editId="7DA5637C">
            <wp:extent cx="2743200" cy="2743200"/>
            <wp:effectExtent l="0" t="0" r="0" b="0"/>
            <wp:docPr id="5" name="Picture 5" descr="Figure 2. Four images labeled A (top left) B (top right), C (bottom left), and D (bottom right).  More detail below. Images are in 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2. Four images labeled A (top left) B (top right), C (bottom left), and D (bottom right).  More detail below. Images are in grayscal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p w14:paraId="087E0E6D" w14:textId="77777777" w:rsidR="006579E3" w:rsidRDefault="006579E3" w:rsidP="002617E6">
      <w:pPr>
        <w:pStyle w:val="NoSpacing"/>
      </w:pPr>
      <w:r w:rsidRPr="006579E3">
        <w:rPr>
          <w:b/>
          <w:bCs/>
        </w:rPr>
        <w:t>Figure 2.</w:t>
      </w:r>
      <w:r w:rsidRPr="006579E3">
        <w:t> Axial slices of middle thirds for each post material obtained with no MAR, 90 kVp, and 100 voxels: (</w:t>
      </w:r>
      <w:r w:rsidRPr="006579E3">
        <w:rPr>
          <w:b/>
          <w:bCs/>
        </w:rPr>
        <w:t>A</w:t>
      </w:r>
      <w:r w:rsidRPr="006579E3">
        <w:t>) gold-plated post; (</w:t>
      </w:r>
      <w:r w:rsidRPr="006579E3">
        <w:rPr>
          <w:b/>
          <w:bCs/>
        </w:rPr>
        <w:t>B</w:t>
      </w:r>
      <w:r w:rsidRPr="006579E3">
        <w:t>) titanium alloy post; (</w:t>
      </w:r>
      <w:r w:rsidRPr="006579E3">
        <w:rPr>
          <w:b/>
          <w:bCs/>
        </w:rPr>
        <w:t>C</w:t>
      </w:r>
      <w:r w:rsidRPr="006579E3">
        <w:t>) quartz fiber (Bisco DT Light) post; (</w:t>
      </w:r>
      <w:r w:rsidRPr="006579E3">
        <w:rPr>
          <w:b/>
          <w:bCs/>
        </w:rPr>
        <w:t>D</w:t>
      </w:r>
      <w:r w:rsidRPr="006579E3">
        <w:t>) glass Fiber (Rely X) post.</w:t>
      </w:r>
    </w:p>
    <w:p w14:paraId="75EEE971" w14:textId="77777777" w:rsidR="002617E6" w:rsidRPr="006579E3" w:rsidRDefault="002617E6" w:rsidP="002617E6">
      <w:pPr>
        <w:pStyle w:val="NoSpacing"/>
      </w:pPr>
    </w:p>
    <w:p w14:paraId="66FC2537" w14:textId="52509516" w:rsidR="006579E3" w:rsidRPr="006579E3" w:rsidRDefault="006579E3" w:rsidP="006579E3">
      <w:r w:rsidRPr="006579E3">
        <w:t>The analysis was performed using ImageJ software (National Institutes of Health, Bethesda, MD, USA). In each image, three areas were selected, and, for each area, the minimum, maximum, and mean gray values, as well as the standard deviation, were calculated. The first area was chosen as a rectangle (width 60 × height 30) in the buccal region of the root except for the post material. The second rectangular area (width 30 × height 60) was chosen in the interproximal area excluding the post material. Lastly, the third rectangular area (width 60 × height 30) was chosen as a control area away from the tooth and artifact toward the farthest edge of the volume for each slice (</w:t>
      </w:r>
      <w:r w:rsidRPr="00216C38">
        <w:rPr>
          <w:b/>
          <w:bCs/>
        </w:rPr>
        <w:t>Figure 3</w:t>
      </w:r>
      <w:r w:rsidRPr="006579E3">
        <w:t>). The rectangular areas included the straight lines of steaking artifacts and beam-hardening dark bands.</w:t>
      </w:r>
    </w:p>
    <w:p w14:paraId="722CA2F7" w14:textId="2C9BABFA" w:rsidR="006579E3" w:rsidRPr="006579E3" w:rsidRDefault="006579E3" w:rsidP="002617E6">
      <w:pPr>
        <w:pStyle w:val="NoSpacing"/>
      </w:pPr>
      <w:r w:rsidRPr="006579E3">
        <w:rPr>
          <w:noProof/>
        </w:rPr>
        <w:drawing>
          <wp:inline distT="0" distB="0" distL="0" distR="0" wp14:anchorId="169C593E" wp14:editId="4CE68A9A">
            <wp:extent cx="2743200" cy="932688"/>
            <wp:effectExtent l="0" t="0" r="0" b="1270"/>
            <wp:docPr id="4" name="Picture 4" descr="Figure 3. 3 images: A (left), B (middle), and C (right). Images are in grayscale. More detail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3. 3 images: A (left), B (middle), and C (right). Images are in grayscale. More detail belo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932688"/>
                    </a:xfrm>
                    <a:prstGeom prst="rect">
                      <a:avLst/>
                    </a:prstGeom>
                    <a:noFill/>
                    <a:ln>
                      <a:noFill/>
                    </a:ln>
                  </pic:spPr>
                </pic:pic>
              </a:graphicData>
            </a:graphic>
          </wp:inline>
        </w:drawing>
      </w:r>
    </w:p>
    <w:p w14:paraId="3574E4D4" w14:textId="77777777" w:rsidR="006579E3" w:rsidRDefault="006579E3" w:rsidP="002617E6">
      <w:pPr>
        <w:pStyle w:val="NoSpacing"/>
      </w:pPr>
      <w:r w:rsidRPr="006579E3">
        <w:rPr>
          <w:b/>
          <w:bCs/>
        </w:rPr>
        <w:t>Figure 3.</w:t>
      </w:r>
      <w:r w:rsidRPr="006579E3">
        <w:t> Area of interest for each middle and cervical third: (</w:t>
      </w:r>
      <w:r w:rsidRPr="006579E3">
        <w:rPr>
          <w:b/>
          <w:bCs/>
        </w:rPr>
        <w:t>A</w:t>
      </w:r>
      <w:r w:rsidRPr="006579E3">
        <w:t>) buccal area (width 60 × height 30); (</w:t>
      </w:r>
      <w:r w:rsidRPr="006579E3">
        <w:rPr>
          <w:b/>
          <w:bCs/>
        </w:rPr>
        <w:t>B</w:t>
      </w:r>
      <w:r w:rsidRPr="006579E3">
        <w:t>) interproximal area (width 30 × height 60); (</w:t>
      </w:r>
      <w:r w:rsidRPr="006579E3">
        <w:rPr>
          <w:b/>
          <w:bCs/>
        </w:rPr>
        <w:t>C</w:t>
      </w:r>
      <w:r w:rsidRPr="006579E3">
        <w:t>) control area (width 60 × height 30).</w:t>
      </w:r>
    </w:p>
    <w:p w14:paraId="7E06A717" w14:textId="77777777" w:rsidR="002617E6" w:rsidRPr="006579E3" w:rsidRDefault="002617E6" w:rsidP="002617E6">
      <w:pPr>
        <w:pStyle w:val="NoSpacing"/>
      </w:pPr>
    </w:p>
    <w:p w14:paraId="607B5FAC" w14:textId="17BB41FA" w:rsidR="006579E3" w:rsidRPr="006579E3" w:rsidRDefault="006579E3" w:rsidP="006579E3">
      <w:r w:rsidRPr="006579E3">
        <w:t>For each protocol, the dose area production (DAP) was saved and used as a reference to assess the amount of radiation provided. The DAP is automatically created and provided by the machine post exposure. The effective dose was calculated from the measured DAP value multiplied by a conversion coefficient. The kVp-dependent formula suggested by Batista et al. [</w:t>
      </w:r>
      <w:r w:rsidRPr="00216C38">
        <w:rPr>
          <w:b/>
          <w:bCs/>
        </w:rPr>
        <w:t>18</w:t>
      </w:r>
      <w:r w:rsidRPr="006579E3">
        <w:t>] was used to convert the DAP value to effective dose, which was expressed in mSv.</w:t>
      </w:r>
    </w:p>
    <w:p w14:paraId="78122E56" w14:textId="3EB1DBAA" w:rsidR="006579E3" w:rsidRPr="006579E3" w:rsidRDefault="006579E3" w:rsidP="006579E3">
      <w:r w:rsidRPr="006579E3">
        <w:t>The effective dose from CBCT was calculated using the conversion formula suggested by Batista et al. [</w:t>
      </w:r>
      <w:r w:rsidRPr="00216C38">
        <w:rPr>
          <w:b/>
          <w:bCs/>
        </w:rPr>
        <w:t>16</w:t>
      </w:r>
      <w:r w:rsidRPr="006579E3">
        <w:t>]: E = (0:001453 × {kV} + 0:0118) × PKA, where kV is the tube voltage, E is the effective dose, and PKA is the DAP.</w:t>
      </w:r>
    </w:p>
    <w:p w14:paraId="6C8885D0" w14:textId="77777777" w:rsidR="006579E3" w:rsidRPr="006579E3" w:rsidRDefault="006579E3" w:rsidP="002617E6">
      <w:pPr>
        <w:pStyle w:val="Heading2"/>
      </w:pPr>
      <w:r w:rsidRPr="006579E3">
        <w:t>2.3. Statistical Analysis</w:t>
      </w:r>
    </w:p>
    <w:p w14:paraId="4C825E0B" w14:textId="77777777" w:rsidR="006579E3" w:rsidRPr="006579E3" w:rsidRDefault="006579E3" w:rsidP="006579E3">
      <w:r w:rsidRPr="006579E3">
        <w:t>Artifacts were analyzed using the standard analysis of variance technique, with all two-way, three-way, and four-way interactions among the four material types, two kVps, three MAR algorithms, and two voxel settings, and with tooth as a blocking factor (presumed not to interact with any of the machine settings or material). The Tukey multiple-comparison adjustment method was used to determine the factor combinations (material, kVp, voxel size, and MAR) with adequate evidence to be considered different from the others. A </w:t>
      </w:r>
      <w:r w:rsidRPr="006579E3">
        <w:rPr>
          <w:i/>
          <w:iCs/>
        </w:rPr>
        <w:t>p</w:t>
      </w:r>
      <w:r w:rsidRPr="006579E3">
        <w:t>-value &lt; 0.05 was considered to indicate statistical significance.</w:t>
      </w:r>
    </w:p>
    <w:p w14:paraId="405EB1F9" w14:textId="77777777" w:rsidR="006579E3" w:rsidRPr="006579E3" w:rsidRDefault="006579E3" w:rsidP="002617E6">
      <w:pPr>
        <w:pStyle w:val="Heading1"/>
      </w:pPr>
      <w:r w:rsidRPr="006579E3">
        <w:t>3. Results</w:t>
      </w:r>
    </w:p>
    <w:p w14:paraId="0BDE7F77" w14:textId="553F7846" w:rsidR="006579E3" w:rsidRPr="006579E3" w:rsidRDefault="006579E3" w:rsidP="006579E3">
      <w:r w:rsidRPr="006579E3">
        <w:t>In </w:t>
      </w:r>
      <w:r w:rsidRPr="00216C38">
        <w:rPr>
          <w:b/>
          <w:bCs/>
        </w:rPr>
        <w:t>Table 1</w:t>
      </w:r>
      <w:r w:rsidRPr="006579E3">
        <w:t>, it can be seen at the 95% confidence level that each of the individual factors (material, kVp, voxel size, and MAR setting) had a statistically significant effect on the mean value of artifacts if all other factors were held constant. The interaction between material and MAR also had a statistically significant effect (</w:t>
      </w:r>
      <w:r w:rsidRPr="006579E3">
        <w:rPr>
          <w:i/>
          <w:iCs/>
        </w:rPr>
        <w:t>p</w:t>
      </w:r>
      <w:r w:rsidRPr="006579E3">
        <w:t> &lt; 0.01). The remaining two-way interactions and all three-way and four-way interactions were not statistically significant (</w:t>
      </w:r>
      <w:r w:rsidRPr="006579E3">
        <w:rPr>
          <w:i/>
          <w:iCs/>
        </w:rPr>
        <w:t>p</w:t>
      </w:r>
      <w:r w:rsidRPr="006579E3">
        <w:t> &gt; 0.05).</w:t>
      </w:r>
    </w:p>
    <w:p w14:paraId="71CCC22F" w14:textId="77777777" w:rsidR="006579E3" w:rsidRPr="006579E3" w:rsidRDefault="006579E3" w:rsidP="002617E6">
      <w:pPr>
        <w:pStyle w:val="NoSpacing"/>
      </w:pPr>
      <w:r w:rsidRPr="006579E3">
        <w:rPr>
          <w:b/>
          <w:bCs/>
        </w:rPr>
        <w:t>Table 1.</w:t>
      </w:r>
      <w:r w:rsidRPr="006579E3">
        <w:t> Abbreviated analysis of variance table for artifacts (</w:t>
      </w:r>
      <w:r w:rsidRPr="006579E3">
        <w:rPr>
          <w:i/>
          <w:iCs/>
        </w:rPr>
        <w:t>R</w:t>
      </w:r>
      <w:r w:rsidRPr="006579E3">
        <w:rPr>
          <w:vertAlign w:val="superscript"/>
        </w:rPr>
        <w:t>2</w:t>
      </w:r>
      <w:r w:rsidRPr="006579E3">
        <w:t> = 0.995).</w:t>
      </w:r>
    </w:p>
    <w:tbl>
      <w:tblPr>
        <w:tblStyle w:val="TableGrid"/>
        <w:tblW w:w="0" w:type="auto"/>
        <w:tblLook w:val="04A0" w:firstRow="1" w:lastRow="0" w:firstColumn="1" w:lastColumn="0" w:noHBand="0" w:noVBand="1"/>
      </w:tblPr>
      <w:tblGrid>
        <w:gridCol w:w="2516"/>
        <w:gridCol w:w="551"/>
        <w:gridCol w:w="941"/>
        <w:gridCol w:w="939"/>
      </w:tblGrid>
      <w:tr w:rsidR="00DF22E8" w14:paraId="5AECE294" w14:textId="77777777" w:rsidTr="009A61B4">
        <w:tc>
          <w:tcPr>
            <w:tcW w:w="0" w:type="auto"/>
          </w:tcPr>
          <w:p w14:paraId="1F141987" w14:textId="0670BE6A" w:rsidR="00DF22E8" w:rsidRDefault="00DF22E8" w:rsidP="009A61B4">
            <w:pPr>
              <w:jc w:val="center"/>
            </w:pPr>
            <w:r>
              <w:t>Source</w:t>
            </w:r>
          </w:p>
        </w:tc>
        <w:tc>
          <w:tcPr>
            <w:tcW w:w="0" w:type="auto"/>
          </w:tcPr>
          <w:p w14:paraId="61240876" w14:textId="5A44E9BE" w:rsidR="00DF22E8" w:rsidRDefault="00DF22E8" w:rsidP="009A61B4">
            <w:pPr>
              <w:jc w:val="center"/>
            </w:pPr>
            <w:r>
              <w:t>df</w:t>
            </w:r>
          </w:p>
        </w:tc>
        <w:tc>
          <w:tcPr>
            <w:tcW w:w="0" w:type="auto"/>
          </w:tcPr>
          <w:p w14:paraId="3E658E74" w14:textId="78AF2B1A" w:rsidR="00DF22E8" w:rsidRDefault="00DF22E8" w:rsidP="009A61B4">
            <w:pPr>
              <w:jc w:val="center"/>
            </w:pPr>
            <w:r>
              <w:t>F-Ratio</w:t>
            </w:r>
          </w:p>
        </w:tc>
        <w:tc>
          <w:tcPr>
            <w:tcW w:w="0" w:type="auto"/>
          </w:tcPr>
          <w:p w14:paraId="5916CE15" w14:textId="66AC38A0" w:rsidR="00DF22E8" w:rsidRPr="00DF22E8" w:rsidRDefault="00DF22E8" w:rsidP="009A61B4">
            <w:pPr>
              <w:jc w:val="center"/>
            </w:pPr>
            <w:r>
              <w:rPr>
                <w:i/>
                <w:iCs/>
              </w:rPr>
              <w:t>p-</w:t>
            </w:r>
            <w:r>
              <w:t>value</w:t>
            </w:r>
          </w:p>
        </w:tc>
      </w:tr>
      <w:tr w:rsidR="00DF22E8" w14:paraId="04D971E1" w14:textId="77777777" w:rsidTr="009A61B4">
        <w:tc>
          <w:tcPr>
            <w:tcW w:w="0" w:type="auto"/>
          </w:tcPr>
          <w:p w14:paraId="4CBD37A2" w14:textId="1169A6E1" w:rsidR="00DF22E8" w:rsidRDefault="00DF22E8" w:rsidP="009A61B4">
            <w:pPr>
              <w:jc w:val="center"/>
            </w:pPr>
            <w:r>
              <w:t>Model</w:t>
            </w:r>
          </w:p>
        </w:tc>
        <w:tc>
          <w:tcPr>
            <w:tcW w:w="0" w:type="auto"/>
          </w:tcPr>
          <w:p w14:paraId="120C22F6" w14:textId="79091A4A" w:rsidR="00DF22E8" w:rsidRDefault="001A1E12" w:rsidP="009A61B4">
            <w:pPr>
              <w:jc w:val="center"/>
            </w:pPr>
            <w:r>
              <w:t>48</w:t>
            </w:r>
          </w:p>
        </w:tc>
        <w:tc>
          <w:tcPr>
            <w:tcW w:w="0" w:type="auto"/>
          </w:tcPr>
          <w:p w14:paraId="76A5FA6D" w14:textId="79362CF0" w:rsidR="00DF22E8" w:rsidRDefault="00684B3E" w:rsidP="009A61B4">
            <w:pPr>
              <w:jc w:val="center"/>
            </w:pPr>
            <w:r>
              <w:t>1860.81</w:t>
            </w:r>
          </w:p>
        </w:tc>
        <w:tc>
          <w:tcPr>
            <w:tcW w:w="0" w:type="auto"/>
          </w:tcPr>
          <w:p w14:paraId="5885173D" w14:textId="5987B4A6" w:rsidR="00DF22E8" w:rsidRDefault="00044FB8" w:rsidP="009A61B4">
            <w:pPr>
              <w:jc w:val="center"/>
            </w:pPr>
            <w:r>
              <w:t>&lt;0.0001</w:t>
            </w:r>
          </w:p>
        </w:tc>
      </w:tr>
      <w:tr w:rsidR="00DF22E8" w14:paraId="5A8E1EF1" w14:textId="77777777" w:rsidTr="009A61B4">
        <w:tc>
          <w:tcPr>
            <w:tcW w:w="0" w:type="auto"/>
          </w:tcPr>
          <w:p w14:paraId="24F27BBD" w14:textId="47F53D6B" w:rsidR="00DF22E8" w:rsidRDefault="00DF22E8" w:rsidP="009A61B4">
            <w:pPr>
              <w:jc w:val="center"/>
            </w:pPr>
            <w:r>
              <w:t>Type</w:t>
            </w:r>
          </w:p>
        </w:tc>
        <w:tc>
          <w:tcPr>
            <w:tcW w:w="0" w:type="auto"/>
          </w:tcPr>
          <w:p w14:paraId="0581C194" w14:textId="60D9CA16" w:rsidR="00DF22E8" w:rsidRDefault="00074832" w:rsidP="009A61B4">
            <w:pPr>
              <w:jc w:val="center"/>
            </w:pPr>
            <w:r>
              <w:t>3</w:t>
            </w:r>
          </w:p>
        </w:tc>
        <w:tc>
          <w:tcPr>
            <w:tcW w:w="0" w:type="auto"/>
          </w:tcPr>
          <w:p w14:paraId="5DEBFBEB" w14:textId="05F4B737" w:rsidR="00DF22E8" w:rsidRDefault="00684B3E" w:rsidP="009A61B4">
            <w:pPr>
              <w:jc w:val="center"/>
            </w:pPr>
            <w:r>
              <w:t>35.3</w:t>
            </w:r>
          </w:p>
        </w:tc>
        <w:tc>
          <w:tcPr>
            <w:tcW w:w="0" w:type="auto"/>
          </w:tcPr>
          <w:p w14:paraId="412C4634" w14:textId="55F5EA2E" w:rsidR="00DF22E8" w:rsidRDefault="00044FB8" w:rsidP="009A61B4">
            <w:pPr>
              <w:jc w:val="center"/>
            </w:pPr>
            <w:r>
              <w:t>&lt;0.0001</w:t>
            </w:r>
          </w:p>
        </w:tc>
      </w:tr>
      <w:tr w:rsidR="00DF22E8" w14:paraId="57DB39E0" w14:textId="77777777" w:rsidTr="009A61B4">
        <w:tc>
          <w:tcPr>
            <w:tcW w:w="0" w:type="auto"/>
          </w:tcPr>
          <w:p w14:paraId="1945EC87" w14:textId="7D58CE42" w:rsidR="00DF22E8" w:rsidRDefault="00DF22E8" w:rsidP="009A61B4">
            <w:pPr>
              <w:jc w:val="center"/>
            </w:pPr>
            <w:r>
              <w:t>KVP</w:t>
            </w:r>
          </w:p>
        </w:tc>
        <w:tc>
          <w:tcPr>
            <w:tcW w:w="0" w:type="auto"/>
          </w:tcPr>
          <w:p w14:paraId="2A8FBCE1" w14:textId="1E2AA3EF" w:rsidR="00DF22E8" w:rsidRDefault="00074832" w:rsidP="009A61B4">
            <w:pPr>
              <w:jc w:val="center"/>
            </w:pPr>
            <w:r>
              <w:t>1</w:t>
            </w:r>
          </w:p>
        </w:tc>
        <w:tc>
          <w:tcPr>
            <w:tcW w:w="0" w:type="auto"/>
          </w:tcPr>
          <w:p w14:paraId="674DC24D" w14:textId="5D67EA9F" w:rsidR="00DF22E8" w:rsidRDefault="00684B3E" w:rsidP="009A61B4">
            <w:pPr>
              <w:jc w:val="center"/>
            </w:pPr>
            <w:r>
              <w:t>10.67</w:t>
            </w:r>
          </w:p>
        </w:tc>
        <w:tc>
          <w:tcPr>
            <w:tcW w:w="0" w:type="auto"/>
          </w:tcPr>
          <w:p w14:paraId="2D23F783" w14:textId="5D1752C6" w:rsidR="00DF22E8" w:rsidRDefault="00044FB8" w:rsidP="009A61B4">
            <w:pPr>
              <w:jc w:val="center"/>
            </w:pPr>
            <w:r>
              <w:t>0.0012</w:t>
            </w:r>
          </w:p>
        </w:tc>
      </w:tr>
      <w:tr w:rsidR="00DF22E8" w14:paraId="1E6A269D" w14:textId="77777777" w:rsidTr="009A61B4">
        <w:tc>
          <w:tcPr>
            <w:tcW w:w="0" w:type="auto"/>
          </w:tcPr>
          <w:p w14:paraId="104825B0" w14:textId="3D8FE4AC" w:rsidR="00DF22E8" w:rsidRDefault="00DF22E8" w:rsidP="009A61B4">
            <w:pPr>
              <w:jc w:val="center"/>
            </w:pPr>
            <w:r>
              <w:t>MAR</w:t>
            </w:r>
          </w:p>
        </w:tc>
        <w:tc>
          <w:tcPr>
            <w:tcW w:w="0" w:type="auto"/>
          </w:tcPr>
          <w:p w14:paraId="3ADA8636" w14:textId="64DFB78D" w:rsidR="00DF22E8" w:rsidRDefault="00074832" w:rsidP="009A61B4">
            <w:pPr>
              <w:jc w:val="center"/>
            </w:pPr>
            <w:r>
              <w:t>2</w:t>
            </w:r>
          </w:p>
        </w:tc>
        <w:tc>
          <w:tcPr>
            <w:tcW w:w="0" w:type="auto"/>
          </w:tcPr>
          <w:p w14:paraId="6C5BA513" w14:textId="705D16A8" w:rsidR="00DF22E8" w:rsidRDefault="00684B3E" w:rsidP="009A61B4">
            <w:pPr>
              <w:jc w:val="center"/>
            </w:pPr>
            <w:r>
              <w:t>11.74</w:t>
            </w:r>
          </w:p>
        </w:tc>
        <w:tc>
          <w:tcPr>
            <w:tcW w:w="0" w:type="auto"/>
          </w:tcPr>
          <w:p w14:paraId="12D8B37B" w14:textId="4F26F5A2" w:rsidR="00DF22E8" w:rsidRDefault="00044FB8" w:rsidP="009A61B4">
            <w:pPr>
              <w:jc w:val="center"/>
            </w:pPr>
            <w:r>
              <w:t>&lt;0.0001</w:t>
            </w:r>
          </w:p>
        </w:tc>
      </w:tr>
      <w:tr w:rsidR="00DF22E8" w14:paraId="412D08E2" w14:textId="77777777" w:rsidTr="009A61B4">
        <w:tc>
          <w:tcPr>
            <w:tcW w:w="0" w:type="auto"/>
          </w:tcPr>
          <w:p w14:paraId="69581FF6" w14:textId="512B8D05" w:rsidR="00DF22E8" w:rsidRDefault="00DF22E8" w:rsidP="009A61B4">
            <w:pPr>
              <w:jc w:val="center"/>
            </w:pPr>
            <w:r>
              <w:t>Voxel</w:t>
            </w:r>
          </w:p>
        </w:tc>
        <w:tc>
          <w:tcPr>
            <w:tcW w:w="0" w:type="auto"/>
          </w:tcPr>
          <w:p w14:paraId="74CF12C8" w14:textId="7591911C" w:rsidR="00DF22E8" w:rsidRDefault="00074832" w:rsidP="009A61B4">
            <w:pPr>
              <w:jc w:val="center"/>
            </w:pPr>
            <w:r>
              <w:t>1</w:t>
            </w:r>
          </w:p>
        </w:tc>
        <w:tc>
          <w:tcPr>
            <w:tcW w:w="0" w:type="auto"/>
          </w:tcPr>
          <w:p w14:paraId="47106A82" w14:textId="31313FF1" w:rsidR="00DF22E8" w:rsidRDefault="00684B3E" w:rsidP="009A61B4">
            <w:pPr>
              <w:jc w:val="center"/>
            </w:pPr>
            <w:r>
              <w:t>47.67</w:t>
            </w:r>
          </w:p>
        </w:tc>
        <w:tc>
          <w:tcPr>
            <w:tcW w:w="0" w:type="auto"/>
          </w:tcPr>
          <w:p w14:paraId="5BD2CDC6" w14:textId="622E9FBF" w:rsidR="00DF22E8" w:rsidRDefault="00044FB8" w:rsidP="009A61B4">
            <w:pPr>
              <w:jc w:val="center"/>
            </w:pPr>
            <w:r>
              <w:t>&lt;0.0001</w:t>
            </w:r>
          </w:p>
        </w:tc>
      </w:tr>
      <w:tr w:rsidR="00DF22E8" w14:paraId="1BEFC5C1" w14:textId="77777777" w:rsidTr="009A61B4">
        <w:tc>
          <w:tcPr>
            <w:tcW w:w="0" w:type="auto"/>
          </w:tcPr>
          <w:p w14:paraId="77BAABC7" w14:textId="753DD891" w:rsidR="00DF22E8" w:rsidRDefault="00DF22E8" w:rsidP="009A61B4">
            <w:pPr>
              <w:jc w:val="center"/>
            </w:pPr>
            <w:r>
              <w:t>Type x KVP</w:t>
            </w:r>
          </w:p>
        </w:tc>
        <w:tc>
          <w:tcPr>
            <w:tcW w:w="0" w:type="auto"/>
          </w:tcPr>
          <w:p w14:paraId="4F5CDDCA" w14:textId="6C78C6CC" w:rsidR="00DF22E8" w:rsidRDefault="00074832" w:rsidP="009A61B4">
            <w:pPr>
              <w:jc w:val="center"/>
            </w:pPr>
            <w:r>
              <w:t>3</w:t>
            </w:r>
          </w:p>
        </w:tc>
        <w:tc>
          <w:tcPr>
            <w:tcW w:w="0" w:type="auto"/>
          </w:tcPr>
          <w:p w14:paraId="38B568D2" w14:textId="0673BDAD" w:rsidR="00DF22E8" w:rsidRDefault="00684B3E" w:rsidP="009A61B4">
            <w:pPr>
              <w:jc w:val="center"/>
            </w:pPr>
            <w:r>
              <w:t>0.09</w:t>
            </w:r>
          </w:p>
        </w:tc>
        <w:tc>
          <w:tcPr>
            <w:tcW w:w="0" w:type="auto"/>
          </w:tcPr>
          <w:p w14:paraId="22832359" w14:textId="59CA7C81" w:rsidR="00DF22E8" w:rsidRDefault="00044FB8" w:rsidP="009A61B4">
            <w:pPr>
              <w:jc w:val="center"/>
            </w:pPr>
            <w:r>
              <w:t>0.9675</w:t>
            </w:r>
          </w:p>
        </w:tc>
      </w:tr>
      <w:tr w:rsidR="00DF22E8" w14:paraId="11F8B878" w14:textId="77777777" w:rsidTr="009A61B4">
        <w:tc>
          <w:tcPr>
            <w:tcW w:w="0" w:type="auto"/>
          </w:tcPr>
          <w:p w14:paraId="58824E56" w14:textId="49E6EA5F" w:rsidR="00DF22E8" w:rsidRDefault="00DF22E8" w:rsidP="009A61B4">
            <w:pPr>
              <w:jc w:val="center"/>
            </w:pPr>
            <w:r>
              <w:t>Type x MAR</w:t>
            </w:r>
          </w:p>
        </w:tc>
        <w:tc>
          <w:tcPr>
            <w:tcW w:w="0" w:type="auto"/>
          </w:tcPr>
          <w:p w14:paraId="1A040F30" w14:textId="706F620A" w:rsidR="00DF22E8" w:rsidRDefault="00074832" w:rsidP="009A61B4">
            <w:pPr>
              <w:jc w:val="center"/>
            </w:pPr>
            <w:r>
              <w:t>6</w:t>
            </w:r>
          </w:p>
        </w:tc>
        <w:tc>
          <w:tcPr>
            <w:tcW w:w="0" w:type="auto"/>
          </w:tcPr>
          <w:p w14:paraId="28C76507" w14:textId="20CA7649" w:rsidR="00DF22E8" w:rsidRDefault="00684B3E" w:rsidP="009A61B4">
            <w:pPr>
              <w:jc w:val="center"/>
            </w:pPr>
            <w:r>
              <w:t>6.36</w:t>
            </w:r>
          </w:p>
        </w:tc>
        <w:tc>
          <w:tcPr>
            <w:tcW w:w="0" w:type="auto"/>
          </w:tcPr>
          <w:p w14:paraId="047B870D" w14:textId="097853FF" w:rsidR="00DF22E8" w:rsidRDefault="00044FB8" w:rsidP="009A61B4">
            <w:pPr>
              <w:jc w:val="center"/>
            </w:pPr>
            <w:r>
              <w:t>&lt;0.0001</w:t>
            </w:r>
          </w:p>
        </w:tc>
      </w:tr>
      <w:tr w:rsidR="00DF22E8" w14:paraId="7522CF24" w14:textId="77777777" w:rsidTr="009A61B4">
        <w:tc>
          <w:tcPr>
            <w:tcW w:w="0" w:type="auto"/>
          </w:tcPr>
          <w:p w14:paraId="0DC996A8" w14:textId="27B387C5" w:rsidR="00DF22E8" w:rsidRDefault="00DF22E8" w:rsidP="009A61B4">
            <w:pPr>
              <w:jc w:val="center"/>
            </w:pPr>
            <w:r>
              <w:t>Type x Voxel</w:t>
            </w:r>
          </w:p>
        </w:tc>
        <w:tc>
          <w:tcPr>
            <w:tcW w:w="0" w:type="auto"/>
          </w:tcPr>
          <w:p w14:paraId="09A57451" w14:textId="7C11030E" w:rsidR="00DF22E8" w:rsidRDefault="00074832" w:rsidP="009A61B4">
            <w:pPr>
              <w:jc w:val="center"/>
            </w:pPr>
            <w:r>
              <w:t>3</w:t>
            </w:r>
          </w:p>
        </w:tc>
        <w:tc>
          <w:tcPr>
            <w:tcW w:w="0" w:type="auto"/>
          </w:tcPr>
          <w:p w14:paraId="2B6BED44" w14:textId="29533EB0" w:rsidR="00DF22E8" w:rsidRDefault="00684B3E" w:rsidP="009A61B4">
            <w:pPr>
              <w:jc w:val="center"/>
            </w:pPr>
            <w:r>
              <w:t>0.76</w:t>
            </w:r>
          </w:p>
        </w:tc>
        <w:tc>
          <w:tcPr>
            <w:tcW w:w="0" w:type="auto"/>
          </w:tcPr>
          <w:p w14:paraId="667A1920" w14:textId="1BCEF7E4" w:rsidR="00DF22E8" w:rsidRDefault="0044710C" w:rsidP="009A61B4">
            <w:pPr>
              <w:jc w:val="center"/>
            </w:pPr>
            <w:r>
              <w:t>0.5197</w:t>
            </w:r>
          </w:p>
        </w:tc>
      </w:tr>
      <w:tr w:rsidR="00DF22E8" w14:paraId="582CBBC1" w14:textId="77777777" w:rsidTr="009A61B4">
        <w:tc>
          <w:tcPr>
            <w:tcW w:w="0" w:type="auto"/>
          </w:tcPr>
          <w:p w14:paraId="53719535" w14:textId="48A58954" w:rsidR="00DF22E8" w:rsidRDefault="00DF22E8" w:rsidP="009A61B4">
            <w:pPr>
              <w:jc w:val="center"/>
            </w:pPr>
            <w:r>
              <w:t>KVP x MAR</w:t>
            </w:r>
          </w:p>
        </w:tc>
        <w:tc>
          <w:tcPr>
            <w:tcW w:w="0" w:type="auto"/>
          </w:tcPr>
          <w:p w14:paraId="4775F948" w14:textId="33AF1FCE" w:rsidR="00DF22E8" w:rsidRDefault="00074832" w:rsidP="009A61B4">
            <w:pPr>
              <w:jc w:val="center"/>
            </w:pPr>
            <w:r>
              <w:t>2</w:t>
            </w:r>
          </w:p>
        </w:tc>
        <w:tc>
          <w:tcPr>
            <w:tcW w:w="0" w:type="auto"/>
          </w:tcPr>
          <w:p w14:paraId="13E90FA2" w14:textId="4AF8C101" w:rsidR="00DF22E8" w:rsidRDefault="00684B3E" w:rsidP="009A61B4">
            <w:pPr>
              <w:jc w:val="center"/>
            </w:pPr>
            <w:r>
              <w:t>0.52</w:t>
            </w:r>
          </w:p>
        </w:tc>
        <w:tc>
          <w:tcPr>
            <w:tcW w:w="0" w:type="auto"/>
          </w:tcPr>
          <w:p w14:paraId="6F097079" w14:textId="02CE9F37" w:rsidR="00DF22E8" w:rsidRDefault="0044710C" w:rsidP="009A61B4">
            <w:pPr>
              <w:jc w:val="center"/>
            </w:pPr>
            <w:r>
              <w:t>0.5973</w:t>
            </w:r>
          </w:p>
        </w:tc>
      </w:tr>
      <w:tr w:rsidR="00DF22E8" w14:paraId="1AA15BCF" w14:textId="77777777" w:rsidTr="009A61B4">
        <w:tc>
          <w:tcPr>
            <w:tcW w:w="0" w:type="auto"/>
          </w:tcPr>
          <w:p w14:paraId="472BC73C" w14:textId="079273FB" w:rsidR="00DF22E8" w:rsidRDefault="00DF22E8" w:rsidP="009A61B4">
            <w:pPr>
              <w:jc w:val="center"/>
            </w:pPr>
            <w:r>
              <w:t>KVP x Voxel</w:t>
            </w:r>
          </w:p>
        </w:tc>
        <w:tc>
          <w:tcPr>
            <w:tcW w:w="0" w:type="auto"/>
          </w:tcPr>
          <w:p w14:paraId="758726C1" w14:textId="6063F514" w:rsidR="00DF22E8" w:rsidRDefault="00074832" w:rsidP="009A61B4">
            <w:pPr>
              <w:jc w:val="center"/>
            </w:pPr>
            <w:r>
              <w:t>1</w:t>
            </w:r>
          </w:p>
        </w:tc>
        <w:tc>
          <w:tcPr>
            <w:tcW w:w="0" w:type="auto"/>
          </w:tcPr>
          <w:p w14:paraId="5CE6B1C6" w14:textId="4C5563A3" w:rsidR="00DF22E8" w:rsidRDefault="00684B3E" w:rsidP="009A61B4">
            <w:pPr>
              <w:jc w:val="center"/>
            </w:pPr>
            <w:r>
              <w:t>3.81</w:t>
            </w:r>
          </w:p>
        </w:tc>
        <w:tc>
          <w:tcPr>
            <w:tcW w:w="0" w:type="auto"/>
          </w:tcPr>
          <w:p w14:paraId="193ED5EB" w14:textId="38E01418" w:rsidR="00DF22E8" w:rsidRDefault="0044710C" w:rsidP="009A61B4">
            <w:pPr>
              <w:jc w:val="center"/>
            </w:pPr>
            <w:r>
              <w:t>0.0516</w:t>
            </w:r>
          </w:p>
        </w:tc>
      </w:tr>
      <w:tr w:rsidR="00DF22E8" w14:paraId="5BF633F8" w14:textId="77777777" w:rsidTr="009A61B4">
        <w:tc>
          <w:tcPr>
            <w:tcW w:w="0" w:type="auto"/>
          </w:tcPr>
          <w:p w14:paraId="3B4BD9F5" w14:textId="7E4A7631" w:rsidR="00DF22E8" w:rsidRDefault="00DF22E8" w:rsidP="009A61B4">
            <w:pPr>
              <w:jc w:val="center"/>
            </w:pPr>
            <w:r>
              <w:t>MAR x Voxel</w:t>
            </w:r>
          </w:p>
        </w:tc>
        <w:tc>
          <w:tcPr>
            <w:tcW w:w="0" w:type="auto"/>
          </w:tcPr>
          <w:p w14:paraId="67F569F6" w14:textId="75BDF8E6" w:rsidR="00DF22E8" w:rsidRDefault="00074832" w:rsidP="009A61B4">
            <w:pPr>
              <w:jc w:val="center"/>
            </w:pPr>
            <w:r>
              <w:t>2</w:t>
            </w:r>
          </w:p>
        </w:tc>
        <w:tc>
          <w:tcPr>
            <w:tcW w:w="0" w:type="auto"/>
          </w:tcPr>
          <w:p w14:paraId="4CEEFA07" w14:textId="1D6CAC7A" w:rsidR="00DF22E8" w:rsidRDefault="00074832" w:rsidP="009A61B4">
            <w:pPr>
              <w:jc w:val="center"/>
            </w:pPr>
            <w:r>
              <w:t>0.25</w:t>
            </w:r>
          </w:p>
        </w:tc>
        <w:tc>
          <w:tcPr>
            <w:tcW w:w="0" w:type="auto"/>
          </w:tcPr>
          <w:p w14:paraId="06FABB75" w14:textId="48CBB840" w:rsidR="00DF22E8" w:rsidRDefault="0044710C" w:rsidP="009A61B4">
            <w:pPr>
              <w:jc w:val="center"/>
            </w:pPr>
            <w:r>
              <w:t>0.7766</w:t>
            </w:r>
          </w:p>
        </w:tc>
      </w:tr>
      <w:tr w:rsidR="00DF22E8" w14:paraId="295B7026" w14:textId="77777777" w:rsidTr="009A61B4">
        <w:tc>
          <w:tcPr>
            <w:tcW w:w="0" w:type="auto"/>
          </w:tcPr>
          <w:p w14:paraId="0F34A157" w14:textId="45EEF39A" w:rsidR="00DF22E8" w:rsidRDefault="00DF22E8" w:rsidP="009A61B4">
            <w:pPr>
              <w:jc w:val="center"/>
            </w:pPr>
            <w:r>
              <w:t>Type x KVP x MAR</w:t>
            </w:r>
          </w:p>
        </w:tc>
        <w:tc>
          <w:tcPr>
            <w:tcW w:w="0" w:type="auto"/>
          </w:tcPr>
          <w:p w14:paraId="711E3DD3" w14:textId="14027A55" w:rsidR="00DF22E8" w:rsidRDefault="00074832" w:rsidP="009A61B4">
            <w:pPr>
              <w:jc w:val="center"/>
            </w:pPr>
            <w:r>
              <w:t>6</w:t>
            </w:r>
          </w:p>
        </w:tc>
        <w:tc>
          <w:tcPr>
            <w:tcW w:w="0" w:type="auto"/>
          </w:tcPr>
          <w:p w14:paraId="3036C2D6" w14:textId="774B4958" w:rsidR="00DF22E8" w:rsidRDefault="00074832" w:rsidP="009A61B4">
            <w:pPr>
              <w:jc w:val="center"/>
            </w:pPr>
            <w:r>
              <w:t>0.76</w:t>
            </w:r>
          </w:p>
        </w:tc>
        <w:tc>
          <w:tcPr>
            <w:tcW w:w="0" w:type="auto"/>
          </w:tcPr>
          <w:p w14:paraId="3FDD56E5" w14:textId="5A812591" w:rsidR="00DF22E8" w:rsidRDefault="0044710C" w:rsidP="009A61B4">
            <w:pPr>
              <w:jc w:val="center"/>
            </w:pPr>
            <w:r>
              <w:t>0.6048</w:t>
            </w:r>
          </w:p>
        </w:tc>
      </w:tr>
      <w:tr w:rsidR="00DF22E8" w14:paraId="1180E587" w14:textId="77777777" w:rsidTr="009A61B4">
        <w:tc>
          <w:tcPr>
            <w:tcW w:w="0" w:type="auto"/>
          </w:tcPr>
          <w:p w14:paraId="33EA3D4B" w14:textId="38258384" w:rsidR="00DF22E8" w:rsidRDefault="00DF22E8" w:rsidP="009A61B4">
            <w:pPr>
              <w:jc w:val="center"/>
            </w:pPr>
            <w:r>
              <w:t>Ty</w:t>
            </w:r>
            <w:r w:rsidR="001A1E12">
              <w:t>p</w:t>
            </w:r>
            <w:r>
              <w:t>e x KVP x Voxel</w:t>
            </w:r>
          </w:p>
        </w:tc>
        <w:tc>
          <w:tcPr>
            <w:tcW w:w="0" w:type="auto"/>
          </w:tcPr>
          <w:p w14:paraId="3C3E37C5" w14:textId="3E1BBC36" w:rsidR="00DF22E8" w:rsidRDefault="00074832" w:rsidP="009A61B4">
            <w:pPr>
              <w:jc w:val="center"/>
            </w:pPr>
            <w:r>
              <w:t>3</w:t>
            </w:r>
          </w:p>
        </w:tc>
        <w:tc>
          <w:tcPr>
            <w:tcW w:w="0" w:type="auto"/>
          </w:tcPr>
          <w:p w14:paraId="39EE4C05" w14:textId="5EFC1681" w:rsidR="00DF22E8" w:rsidRDefault="00074832" w:rsidP="009A61B4">
            <w:pPr>
              <w:jc w:val="center"/>
            </w:pPr>
            <w:r>
              <w:t>1.40</w:t>
            </w:r>
          </w:p>
        </w:tc>
        <w:tc>
          <w:tcPr>
            <w:tcW w:w="0" w:type="auto"/>
          </w:tcPr>
          <w:p w14:paraId="05E7324A" w14:textId="66D468BD" w:rsidR="00DF22E8" w:rsidRDefault="0044710C" w:rsidP="009A61B4">
            <w:pPr>
              <w:jc w:val="center"/>
            </w:pPr>
            <w:r>
              <w:t>0.2415</w:t>
            </w:r>
          </w:p>
        </w:tc>
      </w:tr>
      <w:tr w:rsidR="00DF22E8" w14:paraId="38A1FEB4" w14:textId="77777777" w:rsidTr="009A61B4">
        <w:tc>
          <w:tcPr>
            <w:tcW w:w="0" w:type="auto"/>
          </w:tcPr>
          <w:p w14:paraId="18F218B4" w14:textId="610E95D4" w:rsidR="00DF22E8" w:rsidRDefault="001A1E12" w:rsidP="009A61B4">
            <w:pPr>
              <w:jc w:val="center"/>
            </w:pPr>
            <w:r>
              <w:t>Type x MAR x Voxel</w:t>
            </w:r>
          </w:p>
        </w:tc>
        <w:tc>
          <w:tcPr>
            <w:tcW w:w="0" w:type="auto"/>
          </w:tcPr>
          <w:p w14:paraId="1AAA6EC2" w14:textId="49103956" w:rsidR="00DF22E8" w:rsidRDefault="00074832" w:rsidP="009A61B4">
            <w:pPr>
              <w:jc w:val="center"/>
            </w:pPr>
            <w:r>
              <w:t>6</w:t>
            </w:r>
          </w:p>
        </w:tc>
        <w:tc>
          <w:tcPr>
            <w:tcW w:w="0" w:type="auto"/>
          </w:tcPr>
          <w:p w14:paraId="1767D941" w14:textId="7B9985D8" w:rsidR="00DF22E8" w:rsidRDefault="00074832" w:rsidP="009A61B4">
            <w:pPr>
              <w:jc w:val="center"/>
            </w:pPr>
            <w:r>
              <w:t>0.29</w:t>
            </w:r>
          </w:p>
        </w:tc>
        <w:tc>
          <w:tcPr>
            <w:tcW w:w="0" w:type="auto"/>
          </w:tcPr>
          <w:p w14:paraId="06063EC0" w14:textId="28B6A9B1" w:rsidR="00DF22E8" w:rsidRDefault="0044710C" w:rsidP="009A61B4">
            <w:pPr>
              <w:jc w:val="center"/>
            </w:pPr>
            <w:r>
              <w:t>0.9429</w:t>
            </w:r>
          </w:p>
        </w:tc>
      </w:tr>
      <w:tr w:rsidR="00DF22E8" w14:paraId="7B66E14C" w14:textId="77777777" w:rsidTr="009A61B4">
        <w:tc>
          <w:tcPr>
            <w:tcW w:w="0" w:type="auto"/>
          </w:tcPr>
          <w:p w14:paraId="39B506A6" w14:textId="4CAD0136" w:rsidR="00DF22E8" w:rsidRDefault="001A1E12" w:rsidP="009A61B4">
            <w:pPr>
              <w:jc w:val="center"/>
            </w:pPr>
            <w:r>
              <w:t>KVP x MAR x Voxel</w:t>
            </w:r>
          </w:p>
        </w:tc>
        <w:tc>
          <w:tcPr>
            <w:tcW w:w="0" w:type="auto"/>
          </w:tcPr>
          <w:p w14:paraId="70CCDE2D" w14:textId="0E746A4B" w:rsidR="00DF22E8" w:rsidRDefault="00074832" w:rsidP="009A61B4">
            <w:pPr>
              <w:jc w:val="center"/>
            </w:pPr>
            <w:r>
              <w:t>2</w:t>
            </w:r>
          </w:p>
        </w:tc>
        <w:tc>
          <w:tcPr>
            <w:tcW w:w="0" w:type="auto"/>
          </w:tcPr>
          <w:p w14:paraId="7E74564F" w14:textId="04C37973" w:rsidR="00DF22E8" w:rsidRDefault="00074832" w:rsidP="009A61B4">
            <w:pPr>
              <w:jc w:val="center"/>
            </w:pPr>
            <w:r>
              <w:t>0.02</w:t>
            </w:r>
          </w:p>
        </w:tc>
        <w:tc>
          <w:tcPr>
            <w:tcW w:w="0" w:type="auto"/>
          </w:tcPr>
          <w:p w14:paraId="50201F8A" w14:textId="203F6755" w:rsidR="00DF22E8" w:rsidRDefault="0044710C" w:rsidP="009A61B4">
            <w:pPr>
              <w:jc w:val="center"/>
            </w:pPr>
            <w:r>
              <w:t>0.9831</w:t>
            </w:r>
          </w:p>
        </w:tc>
      </w:tr>
      <w:tr w:rsidR="00DF22E8" w14:paraId="0DDC9BA6" w14:textId="77777777" w:rsidTr="009A61B4">
        <w:tc>
          <w:tcPr>
            <w:tcW w:w="0" w:type="auto"/>
          </w:tcPr>
          <w:p w14:paraId="34DE1D97" w14:textId="79F0620B" w:rsidR="00DF22E8" w:rsidRDefault="001A1E12" w:rsidP="009A61B4">
            <w:pPr>
              <w:jc w:val="center"/>
            </w:pPr>
            <w:r>
              <w:t>Type x KVP x MAR x Voxel</w:t>
            </w:r>
          </w:p>
        </w:tc>
        <w:tc>
          <w:tcPr>
            <w:tcW w:w="0" w:type="auto"/>
          </w:tcPr>
          <w:p w14:paraId="482202CC" w14:textId="43E248EC" w:rsidR="00DF22E8" w:rsidRDefault="00074832" w:rsidP="009A61B4">
            <w:pPr>
              <w:jc w:val="center"/>
            </w:pPr>
            <w:r>
              <w:t>6</w:t>
            </w:r>
          </w:p>
        </w:tc>
        <w:tc>
          <w:tcPr>
            <w:tcW w:w="0" w:type="auto"/>
          </w:tcPr>
          <w:p w14:paraId="5BD216E3" w14:textId="15A52D16" w:rsidR="00DF22E8" w:rsidRDefault="00074832" w:rsidP="009A61B4">
            <w:pPr>
              <w:jc w:val="center"/>
            </w:pPr>
            <w:r>
              <w:t>0.88</w:t>
            </w:r>
          </w:p>
        </w:tc>
        <w:tc>
          <w:tcPr>
            <w:tcW w:w="0" w:type="auto"/>
          </w:tcPr>
          <w:p w14:paraId="25C4E6F2" w14:textId="5097C0C8" w:rsidR="0044710C" w:rsidRDefault="0044710C" w:rsidP="009A61B4">
            <w:pPr>
              <w:jc w:val="center"/>
            </w:pPr>
            <w:r>
              <w:t>0.5096</w:t>
            </w:r>
          </w:p>
        </w:tc>
      </w:tr>
      <w:tr w:rsidR="00DF22E8" w14:paraId="311761AB" w14:textId="77777777" w:rsidTr="009A61B4">
        <w:tc>
          <w:tcPr>
            <w:tcW w:w="0" w:type="auto"/>
          </w:tcPr>
          <w:p w14:paraId="634BD897" w14:textId="776D26A2" w:rsidR="00DF22E8" w:rsidRDefault="001A1E12" w:rsidP="009A61B4">
            <w:pPr>
              <w:jc w:val="center"/>
            </w:pPr>
            <w:r>
              <w:t>Error</w:t>
            </w:r>
          </w:p>
        </w:tc>
        <w:tc>
          <w:tcPr>
            <w:tcW w:w="0" w:type="auto"/>
          </w:tcPr>
          <w:p w14:paraId="6FC0F5EA" w14:textId="325E2C3C" w:rsidR="00DF22E8" w:rsidRDefault="00074832" w:rsidP="009A61B4">
            <w:pPr>
              <w:jc w:val="center"/>
            </w:pPr>
            <w:r>
              <w:t>432</w:t>
            </w:r>
          </w:p>
        </w:tc>
        <w:tc>
          <w:tcPr>
            <w:tcW w:w="0" w:type="auto"/>
          </w:tcPr>
          <w:p w14:paraId="58A702C6" w14:textId="77777777" w:rsidR="00DF22E8" w:rsidRDefault="00DF22E8" w:rsidP="009A61B4">
            <w:pPr>
              <w:jc w:val="center"/>
            </w:pPr>
          </w:p>
        </w:tc>
        <w:tc>
          <w:tcPr>
            <w:tcW w:w="0" w:type="auto"/>
          </w:tcPr>
          <w:p w14:paraId="1A224E02" w14:textId="77777777" w:rsidR="00DF22E8" w:rsidRDefault="00DF22E8" w:rsidP="009A61B4">
            <w:pPr>
              <w:jc w:val="center"/>
            </w:pPr>
          </w:p>
        </w:tc>
      </w:tr>
      <w:tr w:rsidR="00DF22E8" w14:paraId="03BAEFD6" w14:textId="77777777" w:rsidTr="009A61B4">
        <w:tc>
          <w:tcPr>
            <w:tcW w:w="0" w:type="auto"/>
          </w:tcPr>
          <w:p w14:paraId="690AA6C6" w14:textId="5BCCD4FC" w:rsidR="00DF22E8" w:rsidRDefault="001A1E12" w:rsidP="009A61B4">
            <w:pPr>
              <w:jc w:val="center"/>
            </w:pPr>
            <w:r>
              <w:t>Total</w:t>
            </w:r>
          </w:p>
        </w:tc>
        <w:tc>
          <w:tcPr>
            <w:tcW w:w="0" w:type="auto"/>
          </w:tcPr>
          <w:p w14:paraId="58ACE8F9" w14:textId="73126F7C" w:rsidR="00DF22E8" w:rsidRDefault="00074832" w:rsidP="009A61B4">
            <w:pPr>
              <w:jc w:val="center"/>
            </w:pPr>
            <w:r>
              <w:t>480</w:t>
            </w:r>
          </w:p>
        </w:tc>
        <w:tc>
          <w:tcPr>
            <w:tcW w:w="0" w:type="auto"/>
          </w:tcPr>
          <w:p w14:paraId="7C7279A3" w14:textId="77777777" w:rsidR="00DF22E8" w:rsidRDefault="00DF22E8" w:rsidP="009A61B4">
            <w:pPr>
              <w:jc w:val="center"/>
            </w:pPr>
          </w:p>
        </w:tc>
        <w:tc>
          <w:tcPr>
            <w:tcW w:w="0" w:type="auto"/>
          </w:tcPr>
          <w:p w14:paraId="4EB1529B" w14:textId="77777777" w:rsidR="00DF22E8" w:rsidRDefault="00DF22E8" w:rsidP="009A61B4">
            <w:pPr>
              <w:jc w:val="center"/>
            </w:pPr>
          </w:p>
        </w:tc>
      </w:tr>
    </w:tbl>
    <w:p w14:paraId="574269A0" w14:textId="570D4FE6" w:rsidR="006579E3" w:rsidRPr="006579E3" w:rsidRDefault="006579E3" w:rsidP="006579E3"/>
    <w:p w14:paraId="29DB1656" w14:textId="619EFC57" w:rsidR="006579E3" w:rsidRPr="006579E3" w:rsidRDefault="006579E3" w:rsidP="006579E3">
      <w:r w:rsidRPr="006579E3">
        <w:t>Tukey’s multiple-comparison adjustment method was used to detect which two-factor combinations had sufficient proof to be considered different from the others. </w:t>
      </w:r>
      <w:r w:rsidRPr="00216C38">
        <w:rPr>
          <w:b/>
          <w:bCs/>
        </w:rPr>
        <w:t>Table 2</w:t>
      </w:r>
      <w:r w:rsidRPr="006579E3">
        <w:t> and </w:t>
      </w:r>
      <w:r w:rsidRPr="00216C38">
        <w:rPr>
          <w:b/>
          <w:bCs/>
        </w:rPr>
        <w:t>Table 3</w:t>
      </w:r>
      <w:r w:rsidRPr="006579E3">
        <w:t> show the most meaningful comparisons, starting with the lowest artifact values for each comparison grouping.</w:t>
      </w:r>
    </w:p>
    <w:p w14:paraId="4A450EFD" w14:textId="77777777" w:rsidR="00C045CC" w:rsidRDefault="006579E3" w:rsidP="00C045CC">
      <w:pPr>
        <w:pStyle w:val="NoSpacing"/>
      </w:pPr>
      <w:r w:rsidRPr="006579E3">
        <w:rPr>
          <w:b/>
          <w:bCs/>
        </w:rPr>
        <w:t>Table 2.</w:t>
      </w:r>
      <w:r w:rsidRPr="006579E3">
        <w:t> Artifact comparison by region.</w:t>
      </w:r>
    </w:p>
    <w:tbl>
      <w:tblPr>
        <w:tblStyle w:val="TableGrid"/>
        <w:tblW w:w="0" w:type="auto"/>
        <w:tblLook w:val="04A0" w:firstRow="1" w:lastRow="0" w:firstColumn="1" w:lastColumn="0" w:noHBand="0" w:noVBand="1"/>
      </w:tblPr>
      <w:tblGrid>
        <w:gridCol w:w="1401"/>
        <w:gridCol w:w="1276"/>
        <w:gridCol w:w="884"/>
        <w:gridCol w:w="1276"/>
        <w:gridCol w:w="877"/>
      </w:tblGrid>
      <w:tr w:rsidR="00C045CC" w14:paraId="174EBE6B" w14:textId="77777777" w:rsidTr="009A61B4">
        <w:tc>
          <w:tcPr>
            <w:tcW w:w="0" w:type="auto"/>
          </w:tcPr>
          <w:p w14:paraId="5989C714" w14:textId="721E6D53" w:rsidR="00C045CC" w:rsidRDefault="00C045CC" w:rsidP="009A61B4">
            <w:pPr>
              <w:pStyle w:val="NoSpacing"/>
              <w:jc w:val="center"/>
            </w:pPr>
            <w:r>
              <w:t>Region</w:t>
            </w:r>
          </w:p>
        </w:tc>
        <w:tc>
          <w:tcPr>
            <w:tcW w:w="0" w:type="auto"/>
          </w:tcPr>
          <w:p w14:paraId="15A729BA" w14:textId="77777777" w:rsidR="00C045CC" w:rsidRDefault="00C045CC" w:rsidP="009A61B4">
            <w:pPr>
              <w:pStyle w:val="NoSpacing"/>
              <w:jc w:val="center"/>
            </w:pPr>
          </w:p>
        </w:tc>
        <w:tc>
          <w:tcPr>
            <w:tcW w:w="0" w:type="auto"/>
          </w:tcPr>
          <w:p w14:paraId="48F887C8" w14:textId="5B24EFDE" w:rsidR="00C045CC" w:rsidRDefault="00C045CC" w:rsidP="009A61B4">
            <w:pPr>
              <w:pStyle w:val="NoSpacing"/>
              <w:jc w:val="center"/>
            </w:pPr>
            <w:r>
              <w:t>Artifact</w:t>
            </w:r>
          </w:p>
        </w:tc>
        <w:tc>
          <w:tcPr>
            <w:tcW w:w="0" w:type="auto"/>
          </w:tcPr>
          <w:p w14:paraId="017DDAE0" w14:textId="77777777" w:rsidR="00C045CC" w:rsidRDefault="00C045CC" w:rsidP="009A61B4">
            <w:pPr>
              <w:pStyle w:val="NoSpacing"/>
              <w:jc w:val="center"/>
            </w:pPr>
          </w:p>
        </w:tc>
        <w:tc>
          <w:tcPr>
            <w:tcW w:w="0" w:type="auto"/>
          </w:tcPr>
          <w:p w14:paraId="54428756" w14:textId="3BD90660" w:rsidR="00C045CC" w:rsidRPr="00C045CC" w:rsidRDefault="00C045CC" w:rsidP="009A61B4">
            <w:pPr>
              <w:pStyle w:val="NoSpacing"/>
              <w:jc w:val="center"/>
            </w:pPr>
            <w:r>
              <w:rPr>
                <w:i/>
                <w:iCs/>
              </w:rPr>
              <w:t>p</w:t>
            </w:r>
            <w:r>
              <w:t>-value</w:t>
            </w:r>
          </w:p>
        </w:tc>
      </w:tr>
      <w:tr w:rsidR="00C045CC" w14:paraId="63AAAAED" w14:textId="77777777" w:rsidTr="009A61B4">
        <w:tc>
          <w:tcPr>
            <w:tcW w:w="0" w:type="auto"/>
          </w:tcPr>
          <w:p w14:paraId="42EBDB73" w14:textId="77777777" w:rsidR="00C045CC" w:rsidRDefault="00C045CC" w:rsidP="009A61B4">
            <w:pPr>
              <w:pStyle w:val="NoSpacing"/>
              <w:jc w:val="center"/>
            </w:pPr>
          </w:p>
        </w:tc>
        <w:tc>
          <w:tcPr>
            <w:tcW w:w="0" w:type="auto"/>
          </w:tcPr>
          <w:p w14:paraId="6D4E96AD" w14:textId="2B383EA9" w:rsidR="00C045CC" w:rsidRDefault="00DE5AF6" w:rsidP="009A61B4">
            <w:pPr>
              <w:pStyle w:val="NoSpacing"/>
              <w:jc w:val="center"/>
            </w:pPr>
            <w:r>
              <w:t>Mean</w:t>
            </w:r>
          </w:p>
        </w:tc>
        <w:tc>
          <w:tcPr>
            <w:tcW w:w="0" w:type="auto"/>
          </w:tcPr>
          <w:p w14:paraId="7AF76B1F" w14:textId="77777777" w:rsidR="00C045CC" w:rsidRDefault="00C045CC" w:rsidP="009A61B4">
            <w:pPr>
              <w:pStyle w:val="NoSpacing"/>
              <w:jc w:val="center"/>
            </w:pPr>
          </w:p>
        </w:tc>
        <w:tc>
          <w:tcPr>
            <w:tcW w:w="0" w:type="auto"/>
          </w:tcPr>
          <w:p w14:paraId="00D58345" w14:textId="34E7A9D4" w:rsidR="00C045CC" w:rsidRDefault="00DE5AF6" w:rsidP="009A61B4">
            <w:pPr>
              <w:pStyle w:val="NoSpacing"/>
              <w:jc w:val="center"/>
            </w:pPr>
            <w:r>
              <w:t>SD</w:t>
            </w:r>
          </w:p>
        </w:tc>
        <w:tc>
          <w:tcPr>
            <w:tcW w:w="0" w:type="auto"/>
          </w:tcPr>
          <w:p w14:paraId="1A199D0D" w14:textId="77777777" w:rsidR="00C045CC" w:rsidRDefault="00C045CC" w:rsidP="009A61B4">
            <w:pPr>
              <w:pStyle w:val="NoSpacing"/>
              <w:jc w:val="center"/>
            </w:pPr>
          </w:p>
        </w:tc>
      </w:tr>
      <w:tr w:rsidR="00DE5AF6" w14:paraId="4459553F" w14:textId="77777777" w:rsidTr="009A61B4">
        <w:tc>
          <w:tcPr>
            <w:tcW w:w="0" w:type="auto"/>
          </w:tcPr>
          <w:p w14:paraId="256C3C13" w14:textId="4FDA0E80" w:rsidR="00DE5AF6" w:rsidRDefault="00DE5AF6" w:rsidP="009A61B4">
            <w:pPr>
              <w:pStyle w:val="NoSpacing"/>
              <w:jc w:val="center"/>
            </w:pPr>
            <w:r>
              <w:t>Cervical third</w:t>
            </w:r>
          </w:p>
        </w:tc>
        <w:tc>
          <w:tcPr>
            <w:tcW w:w="0" w:type="auto"/>
          </w:tcPr>
          <w:p w14:paraId="44496B56" w14:textId="37173CFA" w:rsidR="00DE5AF6" w:rsidRDefault="00DE5AF6" w:rsidP="009A61B4">
            <w:pPr>
              <w:pStyle w:val="NoSpacing"/>
              <w:jc w:val="center"/>
            </w:pPr>
            <w:r>
              <w:t>156.913542</w:t>
            </w:r>
          </w:p>
        </w:tc>
        <w:tc>
          <w:tcPr>
            <w:tcW w:w="0" w:type="auto"/>
          </w:tcPr>
          <w:p w14:paraId="4FA79231" w14:textId="39A260F8" w:rsidR="00DE5AF6" w:rsidRDefault="00DE5AF6" w:rsidP="009A61B4">
            <w:pPr>
              <w:pStyle w:val="NoSpacing"/>
              <w:jc w:val="center"/>
            </w:pPr>
          </w:p>
        </w:tc>
        <w:tc>
          <w:tcPr>
            <w:tcW w:w="0" w:type="auto"/>
          </w:tcPr>
          <w:p w14:paraId="6AA0345F" w14:textId="4B0442E7" w:rsidR="00DE5AF6" w:rsidRDefault="00DE5AF6" w:rsidP="009A61B4">
            <w:pPr>
              <w:pStyle w:val="NoSpacing"/>
              <w:jc w:val="center"/>
            </w:pPr>
            <w:r>
              <w:t>13.7407142</w:t>
            </w:r>
          </w:p>
        </w:tc>
        <w:tc>
          <w:tcPr>
            <w:tcW w:w="0" w:type="auto"/>
          </w:tcPr>
          <w:p w14:paraId="1F0600CC" w14:textId="617ADB1D" w:rsidR="00DE5AF6" w:rsidRDefault="005C1961" w:rsidP="009A61B4">
            <w:pPr>
              <w:pStyle w:val="NoSpacing"/>
              <w:jc w:val="center"/>
            </w:pPr>
            <w:r>
              <w:t>-</w:t>
            </w:r>
          </w:p>
        </w:tc>
      </w:tr>
      <w:tr w:rsidR="00DE5AF6" w14:paraId="0BF3942E" w14:textId="77777777" w:rsidTr="009A61B4">
        <w:tc>
          <w:tcPr>
            <w:tcW w:w="0" w:type="auto"/>
          </w:tcPr>
          <w:p w14:paraId="32282223" w14:textId="405557EB" w:rsidR="00DE5AF6" w:rsidRDefault="00DE5AF6" w:rsidP="009A61B4">
            <w:pPr>
              <w:pStyle w:val="NoSpacing"/>
              <w:jc w:val="center"/>
            </w:pPr>
            <w:r>
              <w:t>Middle third</w:t>
            </w:r>
          </w:p>
        </w:tc>
        <w:tc>
          <w:tcPr>
            <w:tcW w:w="0" w:type="auto"/>
          </w:tcPr>
          <w:p w14:paraId="48B260CC" w14:textId="0D399584" w:rsidR="00DE5AF6" w:rsidRDefault="00DE5AF6" w:rsidP="009A61B4">
            <w:pPr>
              <w:pStyle w:val="NoSpacing"/>
              <w:jc w:val="center"/>
            </w:pPr>
            <w:r>
              <w:t>165.252083</w:t>
            </w:r>
          </w:p>
        </w:tc>
        <w:tc>
          <w:tcPr>
            <w:tcW w:w="0" w:type="auto"/>
          </w:tcPr>
          <w:p w14:paraId="7E3841E8" w14:textId="256EE908" w:rsidR="00DE5AF6" w:rsidRDefault="00DE5AF6" w:rsidP="009A61B4">
            <w:pPr>
              <w:pStyle w:val="NoSpacing"/>
              <w:jc w:val="center"/>
            </w:pPr>
          </w:p>
        </w:tc>
        <w:tc>
          <w:tcPr>
            <w:tcW w:w="0" w:type="auto"/>
          </w:tcPr>
          <w:p w14:paraId="4F454C47" w14:textId="7D87853C" w:rsidR="00DE5AF6" w:rsidRDefault="00DE5AF6" w:rsidP="009A61B4">
            <w:pPr>
              <w:pStyle w:val="NoSpacing"/>
              <w:jc w:val="center"/>
            </w:pPr>
            <w:r>
              <w:t>16.0284193</w:t>
            </w:r>
          </w:p>
        </w:tc>
        <w:tc>
          <w:tcPr>
            <w:tcW w:w="0" w:type="auto"/>
          </w:tcPr>
          <w:p w14:paraId="308C2852" w14:textId="7257C317" w:rsidR="00DE5AF6" w:rsidRDefault="005C1961" w:rsidP="009A61B4">
            <w:pPr>
              <w:pStyle w:val="NoSpacing"/>
              <w:jc w:val="center"/>
            </w:pPr>
            <w:r>
              <w:t>&lt;0.05</w:t>
            </w:r>
          </w:p>
        </w:tc>
      </w:tr>
    </w:tbl>
    <w:p w14:paraId="41909E24" w14:textId="77777777" w:rsidR="00C045CC" w:rsidRDefault="00C045CC" w:rsidP="00C045CC">
      <w:pPr>
        <w:pStyle w:val="NoSpacing"/>
      </w:pPr>
    </w:p>
    <w:p w14:paraId="0E64DFEA" w14:textId="565CCF7C" w:rsidR="006579E3" w:rsidRPr="006579E3" w:rsidRDefault="006579E3" w:rsidP="005C1961">
      <w:pPr>
        <w:pStyle w:val="NoSpacing"/>
      </w:pPr>
      <w:r w:rsidRPr="006579E3">
        <w:rPr>
          <w:b/>
          <w:bCs/>
        </w:rPr>
        <w:t>Table 3.</w:t>
      </w:r>
      <w:r w:rsidRPr="006579E3">
        <w:t> Artifact comparison by material type, KVP, MAR, and voxel size.</w:t>
      </w:r>
    </w:p>
    <w:tbl>
      <w:tblPr>
        <w:tblStyle w:val="TableGrid"/>
        <w:tblW w:w="0" w:type="auto"/>
        <w:tblLook w:val="04A0" w:firstRow="1" w:lastRow="0" w:firstColumn="1" w:lastColumn="0" w:noHBand="0" w:noVBand="1"/>
      </w:tblPr>
      <w:tblGrid>
        <w:gridCol w:w="1391"/>
        <w:gridCol w:w="2718"/>
        <w:gridCol w:w="2293"/>
        <w:gridCol w:w="897"/>
      </w:tblGrid>
      <w:tr w:rsidR="00A24CBA" w14:paraId="34E6FE4E" w14:textId="77777777" w:rsidTr="009A61B4">
        <w:tc>
          <w:tcPr>
            <w:tcW w:w="0" w:type="auto"/>
          </w:tcPr>
          <w:p w14:paraId="00EE04C9" w14:textId="77777777" w:rsidR="00A24CBA" w:rsidRDefault="00A24CBA" w:rsidP="000A3575">
            <w:pPr>
              <w:jc w:val="center"/>
            </w:pPr>
          </w:p>
        </w:tc>
        <w:tc>
          <w:tcPr>
            <w:tcW w:w="0" w:type="auto"/>
          </w:tcPr>
          <w:p w14:paraId="463A5196" w14:textId="65EE01DF" w:rsidR="00A24CBA" w:rsidRPr="00A213BA" w:rsidRDefault="00A24CBA" w:rsidP="000A3575">
            <w:pPr>
              <w:jc w:val="center"/>
              <w:rPr>
                <w:b/>
                <w:bCs/>
              </w:rPr>
            </w:pPr>
            <w:r w:rsidRPr="00A213BA">
              <w:rPr>
                <w:b/>
                <w:bCs/>
              </w:rPr>
              <w:t>Material Type</w:t>
            </w:r>
          </w:p>
        </w:tc>
        <w:tc>
          <w:tcPr>
            <w:tcW w:w="0" w:type="auto"/>
          </w:tcPr>
          <w:p w14:paraId="4658B4AB" w14:textId="17EDBF26" w:rsidR="00A24CBA" w:rsidRPr="00A213BA" w:rsidRDefault="00A24CBA" w:rsidP="000A3575">
            <w:pPr>
              <w:jc w:val="center"/>
              <w:rPr>
                <w:b/>
                <w:bCs/>
              </w:rPr>
            </w:pPr>
            <w:r w:rsidRPr="00A213BA">
              <w:rPr>
                <w:b/>
                <w:bCs/>
              </w:rPr>
              <w:t>Mean Value of Artifact</w:t>
            </w:r>
          </w:p>
        </w:tc>
        <w:tc>
          <w:tcPr>
            <w:tcW w:w="0" w:type="auto"/>
          </w:tcPr>
          <w:p w14:paraId="5417ECDF" w14:textId="5FEF9921" w:rsidR="00A24CBA" w:rsidRPr="00A213BA" w:rsidRDefault="00A24CBA" w:rsidP="000A3575">
            <w:pPr>
              <w:jc w:val="center"/>
              <w:rPr>
                <w:b/>
                <w:bCs/>
              </w:rPr>
            </w:pPr>
            <w:r w:rsidRPr="00A213BA">
              <w:rPr>
                <w:b/>
                <w:bCs/>
              </w:rPr>
              <w:t>p-value</w:t>
            </w:r>
          </w:p>
        </w:tc>
      </w:tr>
      <w:tr w:rsidR="00A24CBA" w14:paraId="4C6EF401" w14:textId="77777777" w:rsidTr="009A61B4">
        <w:tc>
          <w:tcPr>
            <w:tcW w:w="0" w:type="auto"/>
          </w:tcPr>
          <w:p w14:paraId="1CB6C144" w14:textId="1A5CF43A" w:rsidR="00A24CBA" w:rsidRPr="00A213BA" w:rsidRDefault="00A24CBA" w:rsidP="000A3575">
            <w:pPr>
              <w:jc w:val="center"/>
              <w:rPr>
                <w:i/>
                <w:iCs/>
              </w:rPr>
            </w:pPr>
            <w:r w:rsidRPr="00A213BA">
              <w:rPr>
                <w:i/>
                <w:iCs/>
              </w:rPr>
              <w:t>Cervical third</w:t>
            </w:r>
          </w:p>
        </w:tc>
        <w:tc>
          <w:tcPr>
            <w:tcW w:w="0" w:type="auto"/>
          </w:tcPr>
          <w:p w14:paraId="2A2119C2" w14:textId="4A6DF5A1" w:rsidR="00A24CBA" w:rsidRDefault="00A213BA" w:rsidP="000A3575">
            <w:pPr>
              <w:jc w:val="center"/>
            </w:pPr>
            <w:r>
              <w:t>Glass fiber</w:t>
            </w:r>
            <w:r w:rsidR="000A3575">
              <w:t xml:space="preserve"> (Rely X)</w:t>
            </w:r>
          </w:p>
        </w:tc>
        <w:tc>
          <w:tcPr>
            <w:tcW w:w="0" w:type="auto"/>
          </w:tcPr>
          <w:p w14:paraId="52E5E8F7" w14:textId="138ABCCE" w:rsidR="00A24CBA" w:rsidRDefault="000A3575" w:rsidP="000A3575">
            <w:pPr>
              <w:jc w:val="center"/>
            </w:pPr>
            <w:r>
              <w:t>150.78</w:t>
            </w:r>
          </w:p>
        </w:tc>
        <w:tc>
          <w:tcPr>
            <w:tcW w:w="0" w:type="auto"/>
          </w:tcPr>
          <w:p w14:paraId="59271C21" w14:textId="11C1484C" w:rsidR="00A24CBA" w:rsidRDefault="000A3575" w:rsidP="000A3575">
            <w:pPr>
              <w:jc w:val="center"/>
            </w:pPr>
            <w:r>
              <w:t>-</w:t>
            </w:r>
          </w:p>
        </w:tc>
      </w:tr>
      <w:tr w:rsidR="00A24CBA" w14:paraId="77CFC00A" w14:textId="77777777" w:rsidTr="009A61B4">
        <w:tc>
          <w:tcPr>
            <w:tcW w:w="0" w:type="auto"/>
          </w:tcPr>
          <w:p w14:paraId="5793B848" w14:textId="77777777" w:rsidR="00A24CBA" w:rsidRDefault="00A24CBA" w:rsidP="000A3575">
            <w:pPr>
              <w:jc w:val="center"/>
            </w:pPr>
          </w:p>
        </w:tc>
        <w:tc>
          <w:tcPr>
            <w:tcW w:w="0" w:type="auto"/>
          </w:tcPr>
          <w:p w14:paraId="59118DE7" w14:textId="6ADFDE16" w:rsidR="00A24CBA" w:rsidRDefault="000A3575" w:rsidP="000A3575">
            <w:pPr>
              <w:jc w:val="center"/>
            </w:pPr>
            <w:r>
              <w:t>Quartz fiber (Bisco DT Light)</w:t>
            </w:r>
          </w:p>
        </w:tc>
        <w:tc>
          <w:tcPr>
            <w:tcW w:w="0" w:type="auto"/>
          </w:tcPr>
          <w:p w14:paraId="117DB867" w14:textId="1CAADBAE" w:rsidR="00A24CBA" w:rsidRDefault="000A3575" w:rsidP="000A3575">
            <w:pPr>
              <w:jc w:val="center"/>
            </w:pPr>
            <w:r>
              <w:t>153</w:t>
            </w:r>
          </w:p>
        </w:tc>
        <w:tc>
          <w:tcPr>
            <w:tcW w:w="0" w:type="auto"/>
          </w:tcPr>
          <w:p w14:paraId="1F1806F6" w14:textId="60E3F33A" w:rsidR="00A24CBA" w:rsidRDefault="00CF0523" w:rsidP="000A3575">
            <w:pPr>
              <w:jc w:val="center"/>
            </w:pPr>
            <w:r>
              <w:t>&gt;0.05</w:t>
            </w:r>
          </w:p>
        </w:tc>
      </w:tr>
      <w:tr w:rsidR="00A24CBA" w14:paraId="62E97BC5" w14:textId="77777777" w:rsidTr="009A61B4">
        <w:tc>
          <w:tcPr>
            <w:tcW w:w="0" w:type="auto"/>
          </w:tcPr>
          <w:p w14:paraId="78073411" w14:textId="77777777" w:rsidR="00A24CBA" w:rsidRDefault="00A24CBA" w:rsidP="000A3575">
            <w:pPr>
              <w:jc w:val="center"/>
            </w:pPr>
          </w:p>
        </w:tc>
        <w:tc>
          <w:tcPr>
            <w:tcW w:w="0" w:type="auto"/>
          </w:tcPr>
          <w:p w14:paraId="47657ADE" w14:textId="3D85BE2D" w:rsidR="00A24CBA" w:rsidRDefault="000A3575" w:rsidP="000A3575">
            <w:pPr>
              <w:jc w:val="center"/>
            </w:pPr>
            <w:r>
              <w:t>Titanium (Unimetric)</w:t>
            </w:r>
          </w:p>
        </w:tc>
        <w:tc>
          <w:tcPr>
            <w:tcW w:w="0" w:type="auto"/>
          </w:tcPr>
          <w:p w14:paraId="1B2778E2" w14:textId="3E7B59BD" w:rsidR="00A24CBA" w:rsidRDefault="000A3575" w:rsidP="000A3575">
            <w:pPr>
              <w:jc w:val="center"/>
            </w:pPr>
            <w:r>
              <w:t>159.33</w:t>
            </w:r>
          </w:p>
        </w:tc>
        <w:tc>
          <w:tcPr>
            <w:tcW w:w="0" w:type="auto"/>
          </w:tcPr>
          <w:p w14:paraId="54552E99" w14:textId="271949C3" w:rsidR="00A24CBA" w:rsidRDefault="00CF0523" w:rsidP="000A3575">
            <w:pPr>
              <w:jc w:val="center"/>
            </w:pPr>
            <w:r>
              <w:t>&lt;0.01</w:t>
            </w:r>
          </w:p>
        </w:tc>
      </w:tr>
      <w:tr w:rsidR="00A24CBA" w14:paraId="5A3EA20C" w14:textId="77777777" w:rsidTr="009A61B4">
        <w:tc>
          <w:tcPr>
            <w:tcW w:w="0" w:type="auto"/>
          </w:tcPr>
          <w:p w14:paraId="323E2CC1" w14:textId="77777777" w:rsidR="00A24CBA" w:rsidRDefault="00A24CBA" w:rsidP="009A61B4"/>
        </w:tc>
        <w:tc>
          <w:tcPr>
            <w:tcW w:w="0" w:type="auto"/>
          </w:tcPr>
          <w:p w14:paraId="1647A914" w14:textId="54C776A8" w:rsidR="00A24CBA" w:rsidRDefault="000A3575" w:rsidP="000A3575">
            <w:pPr>
              <w:jc w:val="center"/>
            </w:pPr>
            <w:r>
              <w:t>Gold (Nordin)</w:t>
            </w:r>
          </w:p>
        </w:tc>
        <w:tc>
          <w:tcPr>
            <w:tcW w:w="0" w:type="auto"/>
          </w:tcPr>
          <w:p w14:paraId="562E2A3F" w14:textId="796F0C78" w:rsidR="00A24CBA" w:rsidRDefault="000A3575" w:rsidP="000A3575">
            <w:pPr>
              <w:jc w:val="center"/>
            </w:pPr>
            <w:r>
              <w:t>161.08</w:t>
            </w:r>
          </w:p>
        </w:tc>
        <w:tc>
          <w:tcPr>
            <w:tcW w:w="0" w:type="auto"/>
          </w:tcPr>
          <w:p w14:paraId="4417A5C0" w14:textId="12C08DF7" w:rsidR="00A24CBA" w:rsidRDefault="00CF0523" w:rsidP="000A3575">
            <w:pPr>
              <w:jc w:val="center"/>
            </w:pPr>
            <w:r>
              <w:t>&lt;0.01</w:t>
            </w:r>
          </w:p>
        </w:tc>
      </w:tr>
      <w:tr w:rsidR="000A3575" w14:paraId="5E2B99FF" w14:textId="77777777" w:rsidTr="009A61B4">
        <w:tc>
          <w:tcPr>
            <w:tcW w:w="0" w:type="auto"/>
          </w:tcPr>
          <w:p w14:paraId="2FDB8465" w14:textId="4A4C8718" w:rsidR="000A3575" w:rsidRPr="00A213BA" w:rsidRDefault="000A3575" w:rsidP="000A3575">
            <w:pPr>
              <w:jc w:val="center"/>
              <w:rPr>
                <w:i/>
                <w:iCs/>
              </w:rPr>
            </w:pPr>
            <w:r w:rsidRPr="00A213BA">
              <w:rPr>
                <w:i/>
                <w:iCs/>
              </w:rPr>
              <w:t>Middle third</w:t>
            </w:r>
          </w:p>
        </w:tc>
        <w:tc>
          <w:tcPr>
            <w:tcW w:w="0" w:type="auto"/>
          </w:tcPr>
          <w:p w14:paraId="1372EEF6" w14:textId="09578163" w:rsidR="000A3575" w:rsidRDefault="000A3575" w:rsidP="000A3575">
            <w:pPr>
              <w:jc w:val="center"/>
            </w:pPr>
            <w:r>
              <w:t>Glass fiber (Rely X)</w:t>
            </w:r>
          </w:p>
        </w:tc>
        <w:tc>
          <w:tcPr>
            <w:tcW w:w="0" w:type="auto"/>
          </w:tcPr>
          <w:p w14:paraId="3B4605CB" w14:textId="517FBB78" w:rsidR="000A3575" w:rsidRDefault="000A3575" w:rsidP="000A3575">
            <w:pPr>
              <w:jc w:val="center"/>
            </w:pPr>
            <w:r>
              <w:t>161</w:t>
            </w:r>
          </w:p>
        </w:tc>
        <w:tc>
          <w:tcPr>
            <w:tcW w:w="0" w:type="auto"/>
          </w:tcPr>
          <w:p w14:paraId="08591FF4" w14:textId="0012FB86" w:rsidR="000A3575" w:rsidRDefault="00CF0523" w:rsidP="000A3575">
            <w:pPr>
              <w:jc w:val="center"/>
            </w:pPr>
            <w:r>
              <w:t>-</w:t>
            </w:r>
          </w:p>
        </w:tc>
      </w:tr>
      <w:tr w:rsidR="000A3575" w14:paraId="3BEFF034" w14:textId="77777777" w:rsidTr="009A61B4">
        <w:tc>
          <w:tcPr>
            <w:tcW w:w="0" w:type="auto"/>
          </w:tcPr>
          <w:p w14:paraId="49BFBAFB" w14:textId="77777777" w:rsidR="000A3575" w:rsidRDefault="000A3575" w:rsidP="000A3575">
            <w:pPr>
              <w:jc w:val="center"/>
            </w:pPr>
          </w:p>
        </w:tc>
        <w:tc>
          <w:tcPr>
            <w:tcW w:w="0" w:type="auto"/>
          </w:tcPr>
          <w:p w14:paraId="5B7505E0" w14:textId="7D0B7BB8" w:rsidR="000A3575" w:rsidRDefault="000A3575" w:rsidP="000A3575">
            <w:pPr>
              <w:jc w:val="center"/>
            </w:pPr>
            <w:r>
              <w:t>Quartz fiber (Bisco DT Light)</w:t>
            </w:r>
          </w:p>
        </w:tc>
        <w:tc>
          <w:tcPr>
            <w:tcW w:w="0" w:type="auto"/>
          </w:tcPr>
          <w:p w14:paraId="336F4249" w14:textId="3E2C07CF" w:rsidR="000A3575" w:rsidRDefault="000A3575" w:rsidP="000A3575">
            <w:pPr>
              <w:jc w:val="center"/>
            </w:pPr>
            <w:r>
              <w:t>162</w:t>
            </w:r>
          </w:p>
        </w:tc>
        <w:tc>
          <w:tcPr>
            <w:tcW w:w="0" w:type="auto"/>
          </w:tcPr>
          <w:p w14:paraId="4E4EB12D" w14:textId="5A93CEC3" w:rsidR="000A3575" w:rsidRDefault="00CF0523" w:rsidP="000A3575">
            <w:pPr>
              <w:jc w:val="center"/>
            </w:pPr>
            <w:r>
              <w:t>&gt;0.05</w:t>
            </w:r>
          </w:p>
        </w:tc>
      </w:tr>
      <w:tr w:rsidR="000A3575" w14:paraId="101ACDD8" w14:textId="77777777" w:rsidTr="009A61B4">
        <w:tc>
          <w:tcPr>
            <w:tcW w:w="0" w:type="auto"/>
          </w:tcPr>
          <w:p w14:paraId="7EDEC118" w14:textId="77777777" w:rsidR="000A3575" w:rsidRDefault="000A3575" w:rsidP="000A3575">
            <w:pPr>
              <w:jc w:val="center"/>
            </w:pPr>
          </w:p>
        </w:tc>
        <w:tc>
          <w:tcPr>
            <w:tcW w:w="0" w:type="auto"/>
          </w:tcPr>
          <w:p w14:paraId="42A2BD7D" w14:textId="3C9629FF" w:rsidR="000A3575" w:rsidRDefault="000A3575" w:rsidP="000A3575">
            <w:pPr>
              <w:jc w:val="center"/>
            </w:pPr>
            <w:r>
              <w:t>Titanium (Unimetric)</w:t>
            </w:r>
          </w:p>
        </w:tc>
        <w:tc>
          <w:tcPr>
            <w:tcW w:w="0" w:type="auto"/>
          </w:tcPr>
          <w:p w14:paraId="784C4357" w14:textId="6CDD9397" w:rsidR="000A3575" w:rsidRDefault="000A3575" w:rsidP="000A3575">
            <w:pPr>
              <w:jc w:val="center"/>
            </w:pPr>
            <w:r>
              <w:t>166</w:t>
            </w:r>
          </w:p>
        </w:tc>
        <w:tc>
          <w:tcPr>
            <w:tcW w:w="0" w:type="auto"/>
          </w:tcPr>
          <w:p w14:paraId="20C06621" w14:textId="4BFD431D" w:rsidR="000A3575" w:rsidRDefault="00CF0523" w:rsidP="000A3575">
            <w:pPr>
              <w:jc w:val="center"/>
            </w:pPr>
            <w:r>
              <w:t>&lt;0.05</w:t>
            </w:r>
          </w:p>
        </w:tc>
      </w:tr>
      <w:tr w:rsidR="000A3575" w14:paraId="0EA3E722" w14:textId="77777777" w:rsidTr="009A61B4">
        <w:tc>
          <w:tcPr>
            <w:tcW w:w="0" w:type="auto"/>
          </w:tcPr>
          <w:p w14:paraId="6F578061" w14:textId="77777777" w:rsidR="000A3575" w:rsidRDefault="000A3575" w:rsidP="000A3575">
            <w:pPr>
              <w:jc w:val="center"/>
            </w:pPr>
          </w:p>
        </w:tc>
        <w:tc>
          <w:tcPr>
            <w:tcW w:w="0" w:type="auto"/>
          </w:tcPr>
          <w:p w14:paraId="0AE4E9D3" w14:textId="67D5E1B1" w:rsidR="000A3575" w:rsidRDefault="000A3575" w:rsidP="000A3575">
            <w:pPr>
              <w:jc w:val="center"/>
            </w:pPr>
            <w:r>
              <w:t>Gold (Nordin)</w:t>
            </w:r>
          </w:p>
        </w:tc>
        <w:tc>
          <w:tcPr>
            <w:tcW w:w="0" w:type="auto"/>
          </w:tcPr>
          <w:p w14:paraId="0AEAFC60" w14:textId="587814C2" w:rsidR="000A3575" w:rsidRDefault="000A3575" w:rsidP="000A3575">
            <w:pPr>
              <w:jc w:val="center"/>
            </w:pPr>
            <w:r>
              <w:t>171</w:t>
            </w:r>
          </w:p>
        </w:tc>
        <w:tc>
          <w:tcPr>
            <w:tcW w:w="0" w:type="auto"/>
          </w:tcPr>
          <w:p w14:paraId="73E0B59B" w14:textId="5C7AA4A7" w:rsidR="000A3575" w:rsidRDefault="00CF0523" w:rsidP="000A3575">
            <w:pPr>
              <w:jc w:val="center"/>
            </w:pPr>
            <w:r>
              <w:t>&lt;0.01</w:t>
            </w:r>
          </w:p>
        </w:tc>
      </w:tr>
      <w:tr w:rsidR="000A3575" w14:paraId="27E6A1F9" w14:textId="77777777" w:rsidTr="009A61B4">
        <w:tc>
          <w:tcPr>
            <w:tcW w:w="0" w:type="auto"/>
          </w:tcPr>
          <w:p w14:paraId="40E6C583" w14:textId="77777777" w:rsidR="000A3575" w:rsidRDefault="000A3575" w:rsidP="000A3575">
            <w:pPr>
              <w:jc w:val="center"/>
            </w:pPr>
          </w:p>
        </w:tc>
        <w:tc>
          <w:tcPr>
            <w:tcW w:w="0" w:type="auto"/>
          </w:tcPr>
          <w:p w14:paraId="70341B56" w14:textId="112DC080" w:rsidR="000A3575" w:rsidRPr="00A213BA" w:rsidRDefault="000A3575" w:rsidP="000A3575">
            <w:pPr>
              <w:jc w:val="center"/>
              <w:rPr>
                <w:b/>
                <w:bCs/>
              </w:rPr>
            </w:pPr>
            <w:r w:rsidRPr="00A213BA">
              <w:rPr>
                <w:b/>
                <w:bCs/>
              </w:rPr>
              <w:t>kVP</w:t>
            </w:r>
          </w:p>
        </w:tc>
        <w:tc>
          <w:tcPr>
            <w:tcW w:w="0" w:type="auto"/>
          </w:tcPr>
          <w:p w14:paraId="1A09AFE6" w14:textId="256D1C2E" w:rsidR="000A3575" w:rsidRPr="00A213BA" w:rsidRDefault="000A3575" w:rsidP="000A3575">
            <w:pPr>
              <w:jc w:val="center"/>
              <w:rPr>
                <w:b/>
                <w:bCs/>
              </w:rPr>
            </w:pPr>
            <w:r w:rsidRPr="00A213BA">
              <w:rPr>
                <w:b/>
                <w:bCs/>
              </w:rPr>
              <w:t>Mean Value of Artifact</w:t>
            </w:r>
          </w:p>
        </w:tc>
        <w:tc>
          <w:tcPr>
            <w:tcW w:w="0" w:type="auto"/>
          </w:tcPr>
          <w:p w14:paraId="00ADD590" w14:textId="531368C2" w:rsidR="000A3575" w:rsidRPr="00A213BA" w:rsidRDefault="000A3575" w:rsidP="000A3575">
            <w:pPr>
              <w:jc w:val="center"/>
              <w:rPr>
                <w:b/>
                <w:bCs/>
              </w:rPr>
            </w:pPr>
            <w:r w:rsidRPr="00A213BA">
              <w:rPr>
                <w:b/>
                <w:bCs/>
                <w:i/>
                <w:iCs/>
              </w:rPr>
              <w:t>p-</w:t>
            </w:r>
            <w:r w:rsidRPr="00A213BA">
              <w:rPr>
                <w:b/>
                <w:bCs/>
              </w:rPr>
              <w:t>value</w:t>
            </w:r>
          </w:p>
        </w:tc>
      </w:tr>
      <w:tr w:rsidR="000A3575" w14:paraId="7BEBA9B4" w14:textId="77777777" w:rsidTr="009A61B4">
        <w:tc>
          <w:tcPr>
            <w:tcW w:w="0" w:type="auto"/>
          </w:tcPr>
          <w:p w14:paraId="55E08AD3" w14:textId="11773A31" w:rsidR="000A3575" w:rsidRPr="00A213BA" w:rsidRDefault="000A3575" w:rsidP="000A3575">
            <w:pPr>
              <w:jc w:val="center"/>
              <w:rPr>
                <w:i/>
                <w:iCs/>
              </w:rPr>
            </w:pPr>
            <w:r w:rsidRPr="00A213BA">
              <w:rPr>
                <w:i/>
                <w:iCs/>
              </w:rPr>
              <w:t>Cervical third</w:t>
            </w:r>
          </w:p>
        </w:tc>
        <w:tc>
          <w:tcPr>
            <w:tcW w:w="0" w:type="auto"/>
          </w:tcPr>
          <w:p w14:paraId="223A9CEE" w14:textId="3D2BB0B7" w:rsidR="000A3575" w:rsidRDefault="00CF0523" w:rsidP="000A3575">
            <w:pPr>
              <w:jc w:val="center"/>
            </w:pPr>
            <w:r>
              <w:t>96 kVp</w:t>
            </w:r>
          </w:p>
        </w:tc>
        <w:tc>
          <w:tcPr>
            <w:tcW w:w="0" w:type="auto"/>
          </w:tcPr>
          <w:p w14:paraId="3DA31135" w14:textId="5ABBEA7D" w:rsidR="000A3575" w:rsidRDefault="00DA334C" w:rsidP="000A3575">
            <w:pPr>
              <w:jc w:val="center"/>
            </w:pPr>
            <w:r>
              <w:t>155.2</w:t>
            </w:r>
          </w:p>
        </w:tc>
        <w:tc>
          <w:tcPr>
            <w:tcW w:w="0" w:type="auto"/>
          </w:tcPr>
          <w:p w14:paraId="33D7E151" w14:textId="199405CB" w:rsidR="000A3575" w:rsidRDefault="00DA334C" w:rsidP="000A3575">
            <w:pPr>
              <w:jc w:val="center"/>
            </w:pPr>
            <w:r>
              <w:t>*</w:t>
            </w:r>
          </w:p>
        </w:tc>
      </w:tr>
      <w:tr w:rsidR="000A3575" w14:paraId="149DE3D7" w14:textId="77777777" w:rsidTr="009A61B4">
        <w:tc>
          <w:tcPr>
            <w:tcW w:w="0" w:type="auto"/>
          </w:tcPr>
          <w:p w14:paraId="1ADA50F5" w14:textId="77777777" w:rsidR="000A3575" w:rsidRDefault="000A3575" w:rsidP="000A3575">
            <w:pPr>
              <w:jc w:val="center"/>
            </w:pPr>
          </w:p>
        </w:tc>
        <w:tc>
          <w:tcPr>
            <w:tcW w:w="0" w:type="auto"/>
          </w:tcPr>
          <w:p w14:paraId="44609681" w14:textId="59A6F841" w:rsidR="000A3575" w:rsidRDefault="00CF0523" w:rsidP="000A3575">
            <w:pPr>
              <w:jc w:val="center"/>
            </w:pPr>
            <w:r>
              <w:t>90 kVp</w:t>
            </w:r>
          </w:p>
        </w:tc>
        <w:tc>
          <w:tcPr>
            <w:tcW w:w="0" w:type="auto"/>
          </w:tcPr>
          <w:p w14:paraId="487AA1FD" w14:textId="19DEC65C" w:rsidR="000A3575" w:rsidRDefault="00DA334C" w:rsidP="000A3575">
            <w:pPr>
              <w:jc w:val="center"/>
            </w:pPr>
            <w:r>
              <w:t>158.63</w:t>
            </w:r>
          </w:p>
        </w:tc>
        <w:tc>
          <w:tcPr>
            <w:tcW w:w="0" w:type="auto"/>
          </w:tcPr>
          <w:p w14:paraId="23A5398F" w14:textId="4F25473D" w:rsidR="000A3575" w:rsidRDefault="00DA334C" w:rsidP="000A3575">
            <w:pPr>
              <w:jc w:val="center"/>
            </w:pPr>
            <w:r>
              <w:t>&lt;0.05</w:t>
            </w:r>
          </w:p>
        </w:tc>
      </w:tr>
      <w:tr w:rsidR="000A3575" w14:paraId="678A4C2A" w14:textId="77777777" w:rsidTr="009A61B4">
        <w:tc>
          <w:tcPr>
            <w:tcW w:w="0" w:type="auto"/>
          </w:tcPr>
          <w:p w14:paraId="083A6E20" w14:textId="17B8CB11" w:rsidR="000A3575" w:rsidRPr="00A213BA" w:rsidRDefault="000A3575" w:rsidP="000A3575">
            <w:pPr>
              <w:jc w:val="center"/>
              <w:rPr>
                <w:i/>
                <w:iCs/>
              </w:rPr>
            </w:pPr>
            <w:r w:rsidRPr="00A213BA">
              <w:rPr>
                <w:i/>
                <w:iCs/>
              </w:rPr>
              <w:t>Middle third</w:t>
            </w:r>
          </w:p>
        </w:tc>
        <w:tc>
          <w:tcPr>
            <w:tcW w:w="0" w:type="auto"/>
          </w:tcPr>
          <w:p w14:paraId="449F6BE2" w14:textId="7FCFA03F" w:rsidR="000A3575" w:rsidRDefault="00CF0523" w:rsidP="000A3575">
            <w:pPr>
              <w:jc w:val="center"/>
            </w:pPr>
            <w:r>
              <w:t>96 kVp</w:t>
            </w:r>
          </w:p>
        </w:tc>
        <w:tc>
          <w:tcPr>
            <w:tcW w:w="0" w:type="auto"/>
          </w:tcPr>
          <w:p w14:paraId="32FAA806" w14:textId="622619B0" w:rsidR="000A3575" w:rsidRDefault="00DA334C" w:rsidP="000A3575">
            <w:pPr>
              <w:jc w:val="center"/>
            </w:pPr>
            <w:r>
              <w:t>163.33</w:t>
            </w:r>
          </w:p>
        </w:tc>
        <w:tc>
          <w:tcPr>
            <w:tcW w:w="0" w:type="auto"/>
          </w:tcPr>
          <w:p w14:paraId="550CCFBC" w14:textId="123D279C" w:rsidR="000A3575" w:rsidRDefault="00DA334C" w:rsidP="000A3575">
            <w:pPr>
              <w:jc w:val="center"/>
            </w:pPr>
            <w:r>
              <w:t>-</w:t>
            </w:r>
          </w:p>
        </w:tc>
      </w:tr>
      <w:tr w:rsidR="000A3575" w14:paraId="4888F0A5" w14:textId="77777777" w:rsidTr="009A61B4">
        <w:tc>
          <w:tcPr>
            <w:tcW w:w="0" w:type="auto"/>
          </w:tcPr>
          <w:p w14:paraId="3F98E48A" w14:textId="77777777" w:rsidR="000A3575" w:rsidRDefault="000A3575" w:rsidP="000A3575">
            <w:pPr>
              <w:jc w:val="center"/>
            </w:pPr>
          </w:p>
        </w:tc>
        <w:tc>
          <w:tcPr>
            <w:tcW w:w="0" w:type="auto"/>
          </w:tcPr>
          <w:p w14:paraId="67845095" w14:textId="43071A3A" w:rsidR="000A3575" w:rsidRDefault="00CF0523" w:rsidP="000A3575">
            <w:pPr>
              <w:jc w:val="center"/>
            </w:pPr>
            <w:r>
              <w:t>90 kVp</w:t>
            </w:r>
          </w:p>
        </w:tc>
        <w:tc>
          <w:tcPr>
            <w:tcW w:w="0" w:type="auto"/>
          </w:tcPr>
          <w:p w14:paraId="5A1444C9" w14:textId="1B189836" w:rsidR="000A3575" w:rsidRDefault="00DA334C" w:rsidP="000A3575">
            <w:pPr>
              <w:jc w:val="center"/>
            </w:pPr>
            <w:r>
              <w:t>167.16</w:t>
            </w:r>
          </w:p>
        </w:tc>
        <w:tc>
          <w:tcPr>
            <w:tcW w:w="0" w:type="auto"/>
          </w:tcPr>
          <w:p w14:paraId="569FB8FF" w14:textId="1A2F8D15" w:rsidR="000A3575" w:rsidRDefault="00DA334C" w:rsidP="000A3575">
            <w:pPr>
              <w:jc w:val="center"/>
            </w:pPr>
            <w:r>
              <w:t>&lt;0.05</w:t>
            </w:r>
          </w:p>
        </w:tc>
      </w:tr>
      <w:tr w:rsidR="000A3575" w14:paraId="5F4B42C0" w14:textId="77777777" w:rsidTr="009A61B4">
        <w:tc>
          <w:tcPr>
            <w:tcW w:w="0" w:type="auto"/>
          </w:tcPr>
          <w:p w14:paraId="4884B3E5" w14:textId="77777777" w:rsidR="000A3575" w:rsidRDefault="000A3575" w:rsidP="000A3575">
            <w:pPr>
              <w:jc w:val="center"/>
            </w:pPr>
          </w:p>
        </w:tc>
        <w:tc>
          <w:tcPr>
            <w:tcW w:w="0" w:type="auto"/>
          </w:tcPr>
          <w:p w14:paraId="25F63CBF" w14:textId="0EF0EABA" w:rsidR="000A3575" w:rsidRPr="00A213BA" w:rsidRDefault="000A3575" w:rsidP="000A3575">
            <w:pPr>
              <w:jc w:val="center"/>
              <w:rPr>
                <w:b/>
                <w:bCs/>
              </w:rPr>
            </w:pPr>
            <w:r w:rsidRPr="00A213BA">
              <w:rPr>
                <w:b/>
                <w:bCs/>
              </w:rPr>
              <w:t>MAR</w:t>
            </w:r>
          </w:p>
        </w:tc>
        <w:tc>
          <w:tcPr>
            <w:tcW w:w="0" w:type="auto"/>
          </w:tcPr>
          <w:p w14:paraId="72853C15" w14:textId="4C3F6526" w:rsidR="000A3575" w:rsidRPr="00A213BA" w:rsidRDefault="000A3575" w:rsidP="000A3575">
            <w:pPr>
              <w:jc w:val="center"/>
              <w:rPr>
                <w:b/>
                <w:bCs/>
              </w:rPr>
            </w:pPr>
            <w:r w:rsidRPr="00A213BA">
              <w:rPr>
                <w:b/>
                <w:bCs/>
              </w:rPr>
              <w:t>Mean Value of Artifact</w:t>
            </w:r>
          </w:p>
        </w:tc>
        <w:tc>
          <w:tcPr>
            <w:tcW w:w="0" w:type="auto"/>
          </w:tcPr>
          <w:p w14:paraId="7C5EE384" w14:textId="3D4658A8" w:rsidR="000A3575" w:rsidRPr="00A213BA" w:rsidRDefault="000A3575" w:rsidP="000A3575">
            <w:pPr>
              <w:jc w:val="center"/>
              <w:rPr>
                <w:b/>
                <w:bCs/>
              </w:rPr>
            </w:pPr>
            <w:r w:rsidRPr="00A213BA">
              <w:rPr>
                <w:b/>
                <w:bCs/>
                <w:i/>
                <w:iCs/>
              </w:rPr>
              <w:t>p-</w:t>
            </w:r>
            <w:r w:rsidRPr="00A213BA">
              <w:rPr>
                <w:b/>
                <w:bCs/>
              </w:rPr>
              <w:t>value</w:t>
            </w:r>
          </w:p>
        </w:tc>
      </w:tr>
      <w:tr w:rsidR="000A3575" w14:paraId="07642FEB" w14:textId="77777777" w:rsidTr="009A61B4">
        <w:tc>
          <w:tcPr>
            <w:tcW w:w="0" w:type="auto"/>
          </w:tcPr>
          <w:p w14:paraId="654CAD12" w14:textId="249D0D96" w:rsidR="000A3575" w:rsidRPr="00A213BA" w:rsidRDefault="000A3575" w:rsidP="000A3575">
            <w:pPr>
              <w:jc w:val="center"/>
              <w:rPr>
                <w:i/>
                <w:iCs/>
              </w:rPr>
            </w:pPr>
            <w:r w:rsidRPr="00A213BA">
              <w:rPr>
                <w:i/>
                <w:iCs/>
              </w:rPr>
              <w:t>Cervical third</w:t>
            </w:r>
          </w:p>
        </w:tc>
        <w:tc>
          <w:tcPr>
            <w:tcW w:w="0" w:type="auto"/>
          </w:tcPr>
          <w:p w14:paraId="499865E7" w14:textId="27F3F058" w:rsidR="000A3575" w:rsidRDefault="00B91588" w:rsidP="000A3575">
            <w:pPr>
              <w:jc w:val="center"/>
            </w:pPr>
            <w:r>
              <w:t>High</w:t>
            </w:r>
          </w:p>
        </w:tc>
        <w:tc>
          <w:tcPr>
            <w:tcW w:w="0" w:type="auto"/>
          </w:tcPr>
          <w:p w14:paraId="768A2B00" w14:textId="3EC00863" w:rsidR="000A3575" w:rsidRDefault="00B91588" w:rsidP="000A3575">
            <w:pPr>
              <w:jc w:val="center"/>
            </w:pPr>
            <w:r>
              <w:t>154.6</w:t>
            </w:r>
          </w:p>
        </w:tc>
        <w:tc>
          <w:tcPr>
            <w:tcW w:w="0" w:type="auto"/>
          </w:tcPr>
          <w:p w14:paraId="2DA0A845" w14:textId="2EF77092" w:rsidR="000A3575" w:rsidRDefault="00FD6704" w:rsidP="000A3575">
            <w:pPr>
              <w:jc w:val="center"/>
            </w:pPr>
            <w:r>
              <w:t>-</w:t>
            </w:r>
          </w:p>
        </w:tc>
      </w:tr>
      <w:tr w:rsidR="000A3575" w14:paraId="74AFA703" w14:textId="77777777" w:rsidTr="009A61B4">
        <w:tc>
          <w:tcPr>
            <w:tcW w:w="0" w:type="auto"/>
          </w:tcPr>
          <w:p w14:paraId="298EFD79" w14:textId="77777777" w:rsidR="000A3575" w:rsidRDefault="000A3575" w:rsidP="000A3575">
            <w:pPr>
              <w:jc w:val="center"/>
            </w:pPr>
          </w:p>
        </w:tc>
        <w:tc>
          <w:tcPr>
            <w:tcW w:w="0" w:type="auto"/>
          </w:tcPr>
          <w:p w14:paraId="6D9EE026" w14:textId="1C91604B" w:rsidR="000A3575" w:rsidRDefault="00B91588" w:rsidP="000A3575">
            <w:pPr>
              <w:jc w:val="center"/>
            </w:pPr>
            <w:r>
              <w:t>Medium</w:t>
            </w:r>
          </w:p>
        </w:tc>
        <w:tc>
          <w:tcPr>
            <w:tcW w:w="0" w:type="auto"/>
          </w:tcPr>
          <w:p w14:paraId="0309FFCE" w14:textId="5470B6CA" w:rsidR="000A3575" w:rsidRDefault="00B91588" w:rsidP="000A3575">
            <w:pPr>
              <w:jc w:val="center"/>
            </w:pPr>
            <w:r>
              <w:t>155.7</w:t>
            </w:r>
          </w:p>
        </w:tc>
        <w:tc>
          <w:tcPr>
            <w:tcW w:w="0" w:type="auto"/>
          </w:tcPr>
          <w:p w14:paraId="31A727D3" w14:textId="0060894E" w:rsidR="000A3575" w:rsidRDefault="00FD6704" w:rsidP="000A3575">
            <w:pPr>
              <w:jc w:val="center"/>
            </w:pPr>
            <w:r>
              <w:t>&gt;0.05</w:t>
            </w:r>
          </w:p>
        </w:tc>
      </w:tr>
      <w:tr w:rsidR="000A3575" w14:paraId="3B53678A" w14:textId="77777777" w:rsidTr="009A61B4">
        <w:tc>
          <w:tcPr>
            <w:tcW w:w="0" w:type="auto"/>
          </w:tcPr>
          <w:p w14:paraId="11A71B60" w14:textId="77777777" w:rsidR="000A3575" w:rsidRDefault="000A3575" w:rsidP="000A3575">
            <w:pPr>
              <w:jc w:val="center"/>
            </w:pPr>
          </w:p>
        </w:tc>
        <w:tc>
          <w:tcPr>
            <w:tcW w:w="0" w:type="auto"/>
          </w:tcPr>
          <w:p w14:paraId="52D1D9F6" w14:textId="63A44DB0" w:rsidR="000A3575" w:rsidRDefault="00B91588" w:rsidP="000A3575">
            <w:pPr>
              <w:jc w:val="center"/>
            </w:pPr>
            <w:r>
              <w:t>No</w:t>
            </w:r>
          </w:p>
        </w:tc>
        <w:tc>
          <w:tcPr>
            <w:tcW w:w="0" w:type="auto"/>
          </w:tcPr>
          <w:p w14:paraId="57A39306" w14:textId="11CEE39C" w:rsidR="000A3575" w:rsidRDefault="00B91588" w:rsidP="000A3575">
            <w:pPr>
              <w:jc w:val="center"/>
            </w:pPr>
            <w:r>
              <w:t>160.46</w:t>
            </w:r>
          </w:p>
        </w:tc>
        <w:tc>
          <w:tcPr>
            <w:tcW w:w="0" w:type="auto"/>
          </w:tcPr>
          <w:p w14:paraId="394C3328" w14:textId="3D886AAB" w:rsidR="000A3575" w:rsidRDefault="00FD6704" w:rsidP="000A3575">
            <w:pPr>
              <w:jc w:val="center"/>
            </w:pPr>
            <w:r>
              <w:t>&lt;0.05</w:t>
            </w:r>
          </w:p>
        </w:tc>
      </w:tr>
      <w:tr w:rsidR="000A3575" w14:paraId="48B460A0" w14:textId="77777777" w:rsidTr="009A61B4">
        <w:tc>
          <w:tcPr>
            <w:tcW w:w="0" w:type="auto"/>
          </w:tcPr>
          <w:p w14:paraId="09B7E317" w14:textId="54A8ED01" w:rsidR="000A3575" w:rsidRPr="00A213BA" w:rsidRDefault="000A3575" w:rsidP="000A3575">
            <w:pPr>
              <w:jc w:val="center"/>
              <w:rPr>
                <w:i/>
                <w:iCs/>
              </w:rPr>
            </w:pPr>
            <w:r w:rsidRPr="00A213BA">
              <w:rPr>
                <w:i/>
                <w:iCs/>
              </w:rPr>
              <w:t>Middle third</w:t>
            </w:r>
          </w:p>
        </w:tc>
        <w:tc>
          <w:tcPr>
            <w:tcW w:w="0" w:type="auto"/>
          </w:tcPr>
          <w:p w14:paraId="6E8FA78B" w14:textId="3EFCB4BB" w:rsidR="000A3575" w:rsidRDefault="00B91588" w:rsidP="000A3575">
            <w:pPr>
              <w:jc w:val="center"/>
            </w:pPr>
            <w:r>
              <w:t>High</w:t>
            </w:r>
          </w:p>
        </w:tc>
        <w:tc>
          <w:tcPr>
            <w:tcW w:w="0" w:type="auto"/>
          </w:tcPr>
          <w:p w14:paraId="181B768F" w14:textId="515C4EDD" w:rsidR="000A3575" w:rsidRDefault="00B91588" w:rsidP="000A3575">
            <w:pPr>
              <w:jc w:val="center"/>
            </w:pPr>
            <w:r>
              <w:t>163.59</w:t>
            </w:r>
          </w:p>
        </w:tc>
        <w:tc>
          <w:tcPr>
            <w:tcW w:w="0" w:type="auto"/>
          </w:tcPr>
          <w:p w14:paraId="70A0178D" w14:textId="3570FFA2" w:rsidR="000A3575" w:rsidRDefault="00FD6704" w:rsidP="000A3575">
            <w:pPr>
              <w:jc w:val="center"/>
            </w:pPr>
            <w:r>
              <w:t>-</w:t>
            </w:r>
          </w:p>
        </w:tc>
      </w:tr>
      <w:tr w:rsidR="000A3575" w14:paraId="0AB63BA1" w14:textId="77777777" w:rsidTr="009A61B4">
        <w:tc>
          <w:tcPr>
            <w:tcW w:w="0" w:type="auto"/>
          </w:tcPr>
          <w:p w14:paraId="4AEBC340" w14:textId="77777777" w:rsidR="000A3575" w:rsidRDefault="000A3575" w:rsidP="000A3575">
            <w:pPr>
              <w:jc w:val="center"/>
            </w:pPr>
          </w:p>
        </w:tc>
        <w:tc>
          <w:tcPr>
            <w:tcW w:w="0" w:type="auto"/>
          </w:tcPr>
          <w:p w14:paraId="51AE4205" w14:textId="2A30AFDC" w:rsidR="000A3575" w:rsidRDefault="00B91588" w:rsidP="000A3575">
            <w:pPr>
              <w:jc w:val="center"/>
            </w:pPr>
            <w:r>
              <w:t>Medium</w:t>
            </w:r>
          </w:p>
        </w:tc>
        <w:tc>
          <w:tcPr>
            <w:tcW w:w="0" w:type="auto"/>
          </w:tcPr>
          <w:p w14:paraId="25279681" w14:textId="06CDF9AF" w:rsidR="000A3575" w:rsidRDefault="00FD6704" w:rsidP="000A3575">
            <w:pPr>
              <w:jc w:val="center"/>
            </w:pPr>
            <w:r>
              <w:t>164.45</w:t>
            </w:r>
          </w:p>
        </w:tc>
        <w:tc>
          <w:tcPr>
            <w:tcW w:w="0" w:type="auto"/>
          </w:tcPr>
          <w:p w14:paraId="7AC5A0C9" w14:textId="62C4AE29" w:rsidR="000A3575" w:rsidRDefault="00FD6704" w:rsidP="000A3575">
            <w:pPr>
              <w:jc w:val="center"/>
            </w:pPr>
            <w:r>
              <w:t>&gt;0.05</w:t>
            </w:r>
          </w:p>
        </w:tc>
      </w:tr>
      <w:tr w:rsidR="000A3575" w14:paraId="03B4A4A3" w14:textId="77777777" w:rsidTr="009A61B4">
        <w:tc>
          <w:tcPr>
            <w:tcW w:w="0" w:type="auto"/>
          </w:tcPr>
          <w:p w14:paraId="0C1A45AA" w14:textId="77777777" w:rsidR="000A3575" w:rsidRDefault="000A3575" w:rsidP="000A3575">
            <w:pPr>
              <w:jc w:val="center"/>
            </w:pPr>
          </w:p>
        </w:tc>
        <w:tc>
          <w:tcPr>
            <w:tcW w:w="0" w:type="auto"/>
          </w:tcPr>
          <w:p w14:paraId="66EF4ABF" w14:textId="65171A00" w:rsidR="000A3575" w:rsidRDefault="00B91588" w:rsidP="000A3575">
            <w:pPr>
              <w:jc w:val="center"/>
            </w:pPr>
            <w:r>
              <w:t>No</w:t>
            </w:r>
          </w:p>
        </w:tc>
        <w:tc>
          <w:tcPr>
            <w:tcW w:w="0" w:type="auto"/>
          </w:tcPr>
          <w:p w14:paraId="05135FE0" w14:textId="1DFDDC41" w:rsidR="000A3575" w:rsidRDefault="00FD6704" w:rsidP="000A3575">
            <w:pPr>
              <w:jc w:val="center"/>
            </w:pPr>
            <w:r>
              <w:t>167.71</w:t>
            </w:r>
          </w:p>
        </w:tc>
        <w:tc>
          <w:tcPr>
            <w:tcW w:w="0" w:type="auto"/>
          </w:tcPr>
          <w:p w14:paraId="5351C9B9" w14:textId="7C092E1C" w:rsidR="000A3575" w:rsidRDefault="00FD6704" w:rsidP="000A3575">
            <w:pPr>
              <w:jc w:val="center"/>
            </w:pPr>
            <w:r>
              <w:t>&lt;0.05</w:t>
            </w:r>
          </w:p>
        </w:tc>
      </w:tr>
      <w:tr w:rsidR="000A3575" w14:paraId="52797065" w14:textId="77777777" w:rsidTr="009A61B4">
        <w:tc>
          <w:tcPr>
            <w:tcW w:w="0" w:type="auto"/>
          </w:tcPr>
          <w:p w14:paraId="441CC04E" w14:textId="77777777" w:rsidR="000A3575" w:rsidRDefault="000A3575" w:rsidP="000A3575">
            <w:pPr>
              <w:jc w:val="center"/>
            </w:pPr>
          </w:p>
        </w:tc>
        <w:tc>
          <w:tcPr>
            <w:tcW w:w="0" w:type="auto"/>
          </w:tcPr>
          <w:p w14:paraId="1E0A47EE" w14:textId="20068931" w:rsidR="000A3575" w:rsidRPr="00A213BA" w:rsidRDefault="000A3575" w:rsidP="000A3575">
            <w:pPr>
              <w:jc w:val="center"/>
              <w:rPr>
                <w:b/>
                <w:bCs/>
              </w:rPr>
            </w:pPr>
            <w:r w:rsidRPr="00A213BA">
              <w:rPr>
                <w:b/>
                <w:bCs/>
              </w:rPr>
              <w:t>Voxel</w:t>
            </w:r>
          </w:p>
        </w:tc>
        <w:tc>
          <w:tcPr>
            <w:tcW w:w="0" w:type="auto"/>
          </w:tcPr>
          <w:p w14:paraId="0B7635E7" w14:textId="2E6ABAB7" w:rsidR="000A3575" w:rsidRPr="00A213BA" w:rsidRDefault="000A3575" w:rsidP="000A3575">
            <w:pPr>
              <w:jc w:val="center"/>
              <w:rPr>
                <w:b/>
                <w:bCs/>
              </w:rPr>
            </w:pPr>
            <w:r w:rsidRPr="00A213BA">
              <w:rPr>
                <w:b/>
                <w:bCs/>
              </w:rPr>
              <w:t>Mean Value of Artifact</w:t>
            </w:r>
          </w:p>
        </w:tc>
        <w:tc>
          <w:tcPr>
            <w:tcW w:w="0" w:type="auto"/>
          </w:tcPr>
          <w:p w14:paraId="50FE9A7C" w14:textId="0ED1BE0A" w:rsidR="000A3575" w:rsidRPr="00A213BA" w:rsidRDefault="000A3575" w:rsidP="000A3575">
            <w:pPr>
              <w:jc w:val="center"/>
              <w:rPr>
                <w:b/>
                <w:bCs/>
              </w:rPr>
            </w:pPr>
            <w:r w:rsidRPr="00A213BA">
              <w:rPr>
                <w:b/>
                <w:bCs/>
                <w:i/>
                <w:iCs/>
              </w:rPr>
              <w:t>p-</w:t>
            </w:r>
            <w:r w:rsidRPr="00A213BA">
              <w:rPr>
                <w:b/>
                <w:bCs/>
              </w:rPr>
              <w:t>value</w:t>
            </w:r>
          </w:p>
        </w:tc>
      </w:tr>
      <w:tr w:rsidR="000A3575" w14:paraId="62DB74F0" w14:textId="77777777" w:rsidTr="009A61B4">
        <w:tc>
          <w:tcPr>
            <w:tcW w:w="0" w:type="auto"/>
          </w:tcPr>
          <w:p w14:paraId="17D9BB5E" w14:textId="41987F9A" w:rsidR="000A3575" w:rsidRPr="00A213BA" w:rsidRDefault="000A3575" w:rsidP="000A3575">
            <w:pPr>
              <w:jc w:val="center"/>
              <w:rPr>
                <w:i/>
                <w:iCs/>
              </w:rPr>
            </w:pPr>
            <w:r w:rsidRPr="00A213BA">
              <w:rPr>
                <w:i/>
                <w:iCs/>
              </w:rPr>
              <w:t>Cervical third</w:t>
            </w:r>
          </w:p>
        </w:tc>
        <w:tc>
          <w:tcPr>
            <w:tcW w:w="0" w:type="auto"/>
          </w:tcPr>
          <w:p w14:paraId="16F5D579" w14:textId="79FED916" w:rsidR="000A3575" w:rsidRDefault="00FD6704" w:rsidP="000A3575">
            <w:pPr>
              <w:jc w:val="center"/>
            </w:pPr>
            <w:r>
              <w:t>100</w:t>
            </w:r>
          </w:p>
        </w:tc>
        <w:tc>
          <w:tcPr>
            <w:tcW w:w="0" w:type="auto"/>
          </w:tcPr>
          <w:p w14:paraId="700B5201" w14:textId="4E4EE095" w:rsidR="000A3575" w:rsidRDefault="00FD6704" w:rsidP="000A3575">
            <w:pPr>
              <w:jc w:val="center"/>
            </w:pPr>
            <w:r>
              <w:t>160.54</w:t>
            </w:r>
          </w:p>
        </w:tc>
        <w:tc>
          <w:tcPr>
            <w:tcW w:w="0" w:type="auto"/>
          </w:tcPr>
          <w:p w14:paraId="7D55E267" w14:textId="2E47A962" w:rsidR="000A3575" w:rsidRDefault="009A61B4" w:rsidP="000A3575">
            <w:pPr>
              <w:jc w:val="center"/>
            </w:pPr>
            <w:r>
              <w:t>-</w:t>
            </w:r>
          </w:p>
        </w:tc>
      </w:tr>
      <w:tr w:rsidR="000A3575" w14:paraId="7D20B643" w14:textId="77777777" w:rsidTr="009A61B4">
        <w:tc>
          <w:tcPr>
            <w:tcW w:w="0" w:type="auto"/>
          </w:tcPr>
          <w:p w14:paraId="18220E35" w14:textId="77777777" w:rsidR="000A3575" w:rsidRDefault="000A3575" w:rsidP="000A3575">
            <w:pPr>
              <w:jc w:val="center"/>
            </w:pPr>
          </w:p>
        </w:tc>
        <w:tc>
          <w:tcPr>
            <w:tcW w:w="0" w:type="auto"/>
          </w:tcPr>
          <w:p w14:paraId="6D87B3C2" w14:textId="4463134D" w:rsidR="000A3575" w:rsidRDefault="00FD6704" w:rsidP="000A3575">
            <w:pPr>
              <w:jc w:val="center"/>
            </w:pPr>
            <w:r>
              <w:t>200</w:t>
            </w:r>
          </w:p>
        </w:tc>
        <w:tc>
          <w:tcPr>
            <w:tcW w:w="0" w:type="auto"/>
          </w:tcPr>
          <w:p w14:paraId="0A0815A3" w14:textId="45302E70" w:rsidR="000A3575" w:rsidRDefault="00FD6704" w:rsidP="000A3575">
            <w:pPr>
              <w:jc w:val="center"/>
            </w:pPr>
            <w:r>
              <w:t>153.28</w:t>
            </w:r>
          </w:p>
        </w:tc>
        <w:tc>
          <w:tcPr>
            <w:tcW w:w="0" w:type="auto"/>
          </w:tcPr>
          <w:p w14:paraId="7332C0F0" w14:textId="5B21D371" w:rsidR="000A3575" w:rsidRDefault="009A61B4" w:rsidP="000A3575">
            <w:pPr>
              <w:jc w:val="center"/>
            </w:pPr>
            <w:r>
              <w:t>&lt;0.05</w:t>
            </w:r>
          </w:p>
        </w:tc>
      </w:tr>
      <w:tr w:rsidR="000A3575" w14:paraId="78DFFB3A" w14:textId="77777777" w:rsidTr="009A61B4">
        <w:tc>
          <w:tcPr>
            <w:tcW w:w="0" w:type="auto"/>
          </w:tcPr>
          <w:p w14:paraId="6AFD2AF0" w14:textId="5AC2695A" w:rsidR="000A3575" w:rsidRPr="00A213BA" w:rsidRDefault="000A3575" w:rsidP="000A3575">
            <w:pPr>
              <w:jc w:val="center"/>
              <w:rPr>
                <w:i/>
                <w:iCs/>
              </w:rPr>
            </w:pPr>
            <w:r w:rsidRPr="00A213BA">
              <w:rPr>
                <w:i/>
                <w:iCs/>
              </w:rPr>
              <w:t>Middle third</w:t>
            </w:r>
          </w:p>
        </w:tc>
        <w:tc>
          <w:tcPr>
            <w:tcW w:w="0" w:type="auto"/>
          </w:tcPr>
          <w:p w14:paraId="0D652A1C" w14:textId="38987ABA" w:rsidR="000A3575" w:rsidRDefault="00FD6704" w:rsidP="000A3575">
            <w:pPr>
              <w:jc w:val="center"/>
            </w:pPr>
            <w:r>
              <w:t>100</w:t>
            </w:r>
          </w:p>
        </w:tc>
        <w:tc>
          <w:tcPr>
            <w:tcW w:w="0" w:type="auto"/>
          </w:tcPr>
          <w:p w14:paraId="7D0D1D74" w14:textId="069F1CB2" w:rsidR="000A3575" w:rsidRDefault="00FD6704" w:rsidP="000A3575">
            <w:pPr>
              <w:jc w:val="center"/>
            </w:pPr>
            <w:r>
              <w:t>170.47</w:t>
            </w:r>
          </w:p>
        </w:tc>
        <w:tc>
          <w:tcPr>
            <w:tcW w:w="0" w:type="auto"/>
          </w:tcPr>
          <w:p w14:paraId="7B2FEE90" w14:textId="367E10E6" w:rsidR="000A3575" w:rsidRDefault="009A61B4" w:rsidP="000A3575">
            <w:pPr>
              <w:jc w:val="center"/>
            </w:pPr>
            <w:r>
              <w:t>-</w:t>
            </w:r>
          </w:p>
        </w:tc>
      </w:tr>
      <w:tr w:rsidR="000A3575" w14:paraId="4EA677DD" w14:textId="77777777" w:rsidTr="009A61B4">
        <w:tc>
          <w:tcPr>
            <w:tcW w:w="0" w:type="auto"/>
          </w:tcPr>
          <w:p w14:paraId="43B5D615" w14:textId="77777777" w:rsidR="000A3575" w:rsidRDefault="000A3575" w:rsidP="00FD6704">
            <w:pPr>
              <w:jc w:val="center"/>
            </w:pPr>
          </w:p>
        </w:tc>
        <w:tc>
          <w:tcPr>
            <w:tcW w:w="0" w:type="auto"/>
          </w:tcPr>
          <w:p w14:paraId="31E2C0C4" w14:textId="66D47CE9" w:rsidR="000A3575" w:rsidRDefault="00FD6704" w:rsidP="00FD6704">
            <w:pPr>
              <w:jc w:val="center"/>
            </w:pPr>
            <w:r>
              <w:t>200</w:t>
            </w:r>
          </w:p>
        </w:tc>
        <w:tc>
          <w:tcPr>
            <w:tcW w:w="0" w:type="auto"/>
          </w:tcPr>
          <w:p w14:paraId="6309F093" w14:textId="121D9383" w:rsidR="000A3575" w:rsidRDefault="00FD6704" w:rsidP="00FD6704">
            <w:pPr>
              <w:jc w:val="center"/>
            </w:pPr>
            <w:r>
              <w:t>160.03</w:t>
            </w:r>
          </w:p>
        </w:tc>
        <w:tc>
          <w:tcPr>
            <w:tcW w:w="0" w:type="auto"/>
          </w:tcPr>
          <w:p w14:paraId="0F5F1B49" w14:textId="7EE51C5D" w:rsidR="000A3575" w:rsidRDefault="009A61B4" w:rsidP="00FD6704">
            <w:pPr>
              <w:jc w:val="center"/>
            </w:pPr>
            <w:r>
              <w:t>&lt;0.05</w:t>
            </w:r>
          </w:p>
        </w:tc>
      </w:tr>
    </w:tbl>
    <w:p w14:paraId="59F05DBD" w14:textId="77777777" w:rsidR="005C1961" w:rsidRPr="006579E3" w:rsidRDefault="005C1961" w:rsidP="006579E3"/>
    <w:p w14:paraId="37624900" w14:textId="250CEA73" w:rsidR="006579E3" w:rsidRPr="006579E3" w:rsidRDefault="006579E3" w:rsidP="006579E3">
      <w:r w:rsidRPr="006579E3">
        <w:t>There was a significant difference between the cervical and middle thirds of the root in terms of artifact creation, with more artifacts seen in the latter compared to the former (</w:t>
      </w:r>
      <w:r w:rsidRPr="006579E3">
        <w:rPr>
          <w:i/>
          <w:iCs/>
        </w:rPr>
        <w:t>p</w:t>
      </w:r>
      <w:r w:rsidRPr="006579E3">
        <w:t> &lt; 0.05, </w:t>
      </w:r>
      <w:r w:rsidRPr="00216C38">
        <w:rPr>
          <w:b/>
          <w:bCs/>
        </w:rPr>
        <w:t>Table 2</w:t>
      </w:r>
      <w:r w:rsidRPr="006579E3">
        <w:t>).</w:t>
      </w:r>
    </w:p>
    <w:p w14:paraId="509744EA" w14:textId="5D1D691C" w:rsidR="006579E3" w:rsidRPr="006579E3" w:rsidRDefault="006579E3" w:rsidP="006579E3">
      <w:r w:rsidRPr="006579E3">
        <w:t>Tukey’s multiple-comparison tests for material type, kVp, MAR, and voxel size are shown in </w:t>
      </w:r>
      <w:r w:rsidRPr="00216C38">
        <w:rPr>
          <w:b/>
          <w:bCs/>
        </w:rPr>
        <w:t>Table 3</w:t>
      </w:r>
      <w:r w:rsidRPr="006579E3">
        <w:t>. For both the cervical and the middle thirds of the root, the mean artifact value was highest for gold (Nordin), followed by titanium, quartz fiber (Bisco DT Light), and glass fiber (Rely X). The mean artifact value was higher for 90 kVp compared to 96 kVp. Similarly, the mean artifact value for no MAR was higher than that for high and medium MAR. No significant difference was found between medium and high MAR. Furthermore, the mean artifact value was higher for 100 voxels compared to 200 voxels. When all tables and comparisons were combined, it became evident that the best choice is to use glass or quartz fiber post at low resolution, with high MAR and 96 kVp.</w:t>
      </w:r>
    </w:p>
    <w:p w14:paraId="563B9C86" w14:textId="77777777" w:rsidR="006579E3" w:rsidRPr="006579E3" w:rsidRDefault="006579E3" w:rsidP="006579E3">
      <w:r w:rsidRPr="006579E3">
        <w:t>The effective dose measured for each protocol and calculated from the DAP using a conversion formula demonstrated that the use of 100 voxels increased the effective dose, while 200 voxels resulted in less radiation. Additionally, 96 kVp increased the radiation dose compared to 90 kVp. The use of 90 and 96 kVp with 200 voxels and high MAR provided the least amount of radiation, while the fewest artifacts were produced using 96 kVp.</w:t>
      </w:r>
    </w:p>
    <w:p w14:paraId="47F0A083" w14:textId="77777777" w:rsidR="006579E3" w:rsidRPr="006579E3" w:rsidRDefault="006579E3" w:rsidP="007E2B58">
      <w:pPr>
        <w:pStyle w:val="Heading1"/>
      </w:pPr>
      <w:r w:rsidRPr="006579E3">
        <w:t>4. Discussion</w:t>
      </w:r>
    </w:p>
    <w:p w14:paraId="754AA7A4" w14:textId="590E0B5A" w:rsidR="006579E3" w:rsidRPr="006579E3" w:rsidRDefault="006579E3" w:rsidP="006579E3">
      <w:r w:rsidRPr="006579E3">
        <w:t>The presence of posts within the root canal generates artifacts, which may hinder the examination of diagnosis of several endodontic conditions. Therefore, when CBCT is required in areas containing post materials, the clinician must be aware that these artifacts may alter the true diagnosis [</w:t>
      </w:r>
      <w:r w:rsidRPr="00216C38">
        <w:rPr>
          <w:b/>
          <w:bCs/>
        </w:rPr>
        <w:t>8</w:t>
      </w:r>
      <w:r w:rsidRPr="006579E3">
        <w:t>,</w:t>
      </w:r>
      <w:r w:rsidRPr="00216C38">
        <w:rPr>
          <w:b/>
          <w:bCs/>
        </w:rPr>
        <w:t>19</w:t>
      </w:r>
      <w:r w:rsidRPr="006579E3">
        <w:t>].</w:t>
      </w:r>
    </w:p>
    <w:p w14:paraId="4C0E278D" w14:textId="3154840D" w:rsidR="006579E3" w:rsidRPr="006579E3" w:rsidRDefault="006579E3" w:rsidP="006579E3">
      <w:r w:rsidRPr="006579E3">
        <w:t>In particular, metal posts may cause scatter, blooming, and noise, which can affect the image quality and hinder the identification of cracks, additional root canals, procedural errors, or lesions of the endodontically treated or adjacent teeth in clinical conditions [</w:t>
      </w:r>
      <w:r w:rsidRPr="00216C38">
        <w:rPr>
          <w:b/>
          <w:bCs/>
        </w:rPr>
        <w:t>20</w:t>
      </w:r>
      <w:r w:rsidRPr="006579E3">
        <w:t>].</w:t>
      </w:r>
    </w:p>
    <w:p w14:paraId="5610387E" w14:textId="1CA40572" w:rsidR="006579E3" w:rsidRPr="006579E3" w:rsidRDefault="006579E3" w:rsidP="006579E3">
      <w:r w:rsidRPr="006579E3">
        <w:t>In the present study, along with the gold-plated and titanium posts, two different types of silica fiber posts were used. Rely-X fiber post has a composition of glass fiber (60–70%), epoxy resin matrix (30–40%), and an additional zirconia (Zr) filler component. DT-Light Post, on the other hand, is composed of epoxy matrix (38%) and quartz fiber (62%). Having similar components with similar percentages, their radiopacity values were also shown to be similar [</w:t>
      </w:r>
      <w:r w:rsidRPr="00216C38">
        <w:rPr>
          <w:b/>
          <w:bCs/>
        </w:rPr>
        <w:t>21</w:t>
      </w:r>
      <w:r w:rsidRPr="006579E3">
        <w:t>,</w:t>
      </w:r>
      <w:r w:rsidRPr="00216C38">
        <w:rPr>
          <w:b/>
          <w:bCs/>
        </w:rPr>
        <w:t>22</w:t>
      </w:r>
      <w:r w:rsidRPr="006579E3">
        <w:t>]. According to the atomic numbers of materials and fillers in the compositions, gold-plated posts presented the highest number of artifacts as expected. When other factors are not considered, glass fiber and quartz fiber posts should be used to avoid artifacts for future radiologic examination.</w:t>
      </w:r>
    </w:p>
    <w:p w14:paraId="475425AC" w14:textId="77777777" w:rsidR="006579E3" w:rsidRPr="006579E3" w:rsidRDefault="006579E3" w:rsidP="006579E3">
      <w:r w:rsidRPr="006579E3">
        <w:t>There have been numerous material studies on artifact evaluation in various CBCT settings including FOV, kVp, mA, voxel, and MAR.</w:t>
      </w:r>
    </w:p>
    <w:p w14:paraId="0236008B" w14:textId="636077B1" w:rsidR="006579E3" w:rsidRPr="006579E3" w:rsidRDefault="006579E3" w:rsidP="006579E3">
      <w:r w:rsidRPr="006579E3">
        <w:t>De Rezende Barbosa et al. [</w:t>
      </w:r>
      <w:r w:rsidRPr="00216C38">
        <w:rPr>
          <w:b/>
          <w:bCs/>
        </w:rPr>
        <w:t>23</w:t>
      </w:r>
      <w:r w:rsidRPr="006579E3">
        <w:t>] reported that gold posts reduced the overall CBCT diagnostic ability regardless of the use of an artifact reduction algorithm. On the other hand, fiber posts produced fewer image artifacts with a more uniform energy absorption [</w:t>
      </w:r>
      <w:r w:rsidRPr="00216C38">
        <w:rPr>
          <w:b/>
          <w:bCs/>
        </w:rPr>
        <w:t>24</w:t>
      </w:r>
      <w:r w:rsidRPr="006579E3">
        <w:t>]. Similarly, quartz fiber and glass fiber posts demonstrated fewer artifacts in our study. The best choice was found to be glass or quartz fiber posts for artifact reduction in the present study.</w:t>
      </w:r>
    </w:p>
    <w:p w14:paraId="6CBF8BCA" w14:textId="5A4B8E71" w:rsidR="006579E3" w:rsidRPr="006579E3" w:rsidRDefault="006579E3" w:rsidP="006579E3">
      <w:r w:rsidRPr="006579E3">
        <w:t>De Martin E Silva et al. [</w:t>
      </w:r>
      <w:r w:rsidRPr="00216C38">
        <w:rPr>
          <w:b/>
          <w:bCs/>
        </w:rPr>
        <w:t>25</w:t>
      </w:r>
      <w:r w:rsidRPr="006579E3">
        <w:t>] assessed the influence of applying filters (sharpen and hard) and voxel sizes (0.25 mm and 0.30 mm) on teeth with and without one type of metal post in CBCT images. The authors observed no differences between filters, whereas images obtained with a 0.25 mm voxel size were more accurate than those obtained with a 0.30 mm voxel. The results of the study demonstrated that metal posts and voxel size adversely affected the exact diagnosis, while applying filters did not influence the diagnosis.</w:t>
      </w:r>
    </w:p>
    <w:p w14:paraId="0B62C68A" w14:textId="7933416F" w:rsidR="006579E3" w:rsidRPr="006579E3" w:rsidRDefault="006579E3" w:rsidP="006579E3">
      <w:r w:rsidRPr="006579E3">
        <w:t>Fontenele et al. [</w:t>
      </w:r>
      <w:r w:rsidRPr="00216C38">
        <w:rPr>
          <w:b/>
          <w:bCs/>
        </w:rPr>
        <w:t>26</w:t>
      </w:r>
      <w:r w:rsidRPr="006579E3">
        <w:t>] investigated the impact of direction and composition of metallic post materials on the expression of artifacts. Their results showed that the mandibular posterior region had significantly lower gray values than the anterior region, and the silver–palladium group exhibited the highest expression of beam hardening artifacts in the posterior region of the mandible.</w:t>
      </w:r>
    </w:p>
    <w:p w14:paraId="676753CD" w14:textId="7A3BE1CB" w:rsidR="006579E3" w:rsidRPr="006579E3" w:rsidRDefault="006579E3" w:rsidP="006579E3">
      <w:r w:rsidRPr="006579E3">
        <w:t>Pinto et al. [</w:t>
      </w:r>
      <w:r w:rsidRPr="00216C38">
        <w:rPr>
          <w:b/>
          <w:bCs/>
        </w:rPr>
        <w:t>27</w:t>
      </w:r>
      <w:r w:rsidRPr="006579E3">
        <w:t>] examined the influence of exposure settings (kVp, mA) and the composition of the root canal (unrestored, gutta-percha, metallic post, and fiberglass post) on the detection of vertical root fractures. The study revealed that, within the same material group, there were no significant differences among different combinations of kVp and mA parameters. However, in the metallic post group, due to the potential decrease in the kVp/mA settings, vertical root detection was deteriorated because of the greater artifact formation.</w:t>
      </w:r>
    </w:p>
    <w:p w14:paraId="0206DE1B" w14:textId="3726675F" w:rsidR="006579E3" w:rsidRPr="006579E3" w:rsidRDefault="006579E3" w:rsidP="006579E3">
      <w:r w:rsidRPr="006579E3">
        <w:t>Helvacıoglu-Yigit et al. [</w:t>
      </w:r>
      <w:r w:rsidRPr="00216C38">
        <w:rPr>
          <w:b/>
          <w:bCs/>
        </w:rPr>
        <w:t>4</w:t>
      </w:r>
      <w:r w:rsidRPr="006579E3">
        <w:t>] stated that the use of 96 kVp with MAR and low resolution diminished the artifacts in the image and concurrently achieved the lowest effective dose. In the current study, the mean artifact value was higher when 90 kVp without MAR was used. This finding is consistent with previous studies [</w:t>
      </w:r>
      <w:r w:rsidRPr="00216C38">
        <w:rPr>
          <w:b/>
          <w:bCs/>
        </w:rPr>
        <w:t>4</w:t>
      </w:r>
      <w:r w:rsidRPr="006579E3">
        <w:t>,</w:t>
      </w:r>
      <w:r w:rsidRPr="00216C38">
        <w:rPr>
          <w:b/>
          <w:bCs/>
        </w:rPr>
        <w:t>27</w:t>
      </w:r>
      <w:r w:rsidRPr="006579E3">
        <w:t>].</w:t>
      </w:r>
    </w:p>
    <w:p w14:paraId="5C83643C" w14:textId="3C91B3AD" w:rsidR="006579E3" w:rsidRPr="006579E3" w:rsidRDefault="006579E3" w:rsidP="006579E3">
      <w:r w:rsidRPr="006579E3">
        <w:t>Lira de Farias Freitas et al. [</w:t>
      </w:r>
      <w:r w:rsidRPr="00216C38">
        <w:rPr>
          <w:b/>
          <w:bCs/>
        </w:rPr>
        <w:t>16</w:t>
      </w:r>
      <w:r w:rsidRPr="006579E3">
        <w:t>] evaluated artifacts caused by post materials for the cervical, middle, and apical root thirds, and they concluded that hyperdense artifacts were more evident in the cervical third than in the apical third of the teeth. They explained this difference according to the greater proportion of the tooth area in the apical third compared to the cervical third. In the present study, buccal and interproximal rectangular areas including dentine and alveolar bone but not post materials were considered for gray value calculation in the cervical and middle thirds, and more artifacts were seen in the middle third compared to the cervical third. We concluded that, according to the difference in remaining dentine proportion for the cervical and middle thirds, although the total area of the tooth decreases while the post area decreases, the remaining dentine area is lesser in the middle third, especially in the interproximal areas. Therefore, decreasing the remaining dentine around the post material may hinder diagnosis because of artifacts.</w:t>
      </w:r>
    </w:p>
    <w:p w14:paraId="37A93501" w14:textId="77777777" w:rsidR="006579E3" w:rsidRPr="006579E3" w:rsidRDefault="006579E3" w:rsidP="006579E3">
      <w:r w:rsidRPr="006579E3">
        <w:t>Dose optimization utilizing exposure parameters below the manufacturer’s default settings should always be explored, especially for young patients. Since exposure parameters, effective dose, and image quality are related, it is crucial to choose the exposure parameters to ensure the best image quality while lowering the effective dose to a minimum level according to the “as low as diagnostically acceptable” principle.</w:t>
      </w:r>
    </w:p>
    <w:p w14:paraId="716344B9" w14:textId="77777777" w:rsidR="006579E3" w:rsidRPr="006579E3" w:rsidRDefault="006579E3" w:rsidP="006579E3">
      <w:r w:rsidRPr="006579E3">
        <w:t>In the current study, the use of 90 and 96 kVp with 200 voxel size and high MAR provided the least amount of radiation, while the fewest artifacts were produced using 96 kVp, making 96 kVp, high MAR, and low resolution the best clinically applicable protocol in the Planmeca Promax for assessment of a tooth with post-restoration or a tooth or region close to a tooth with post-restoration.</w:t>
      </w:r>
    </w:p>
    <w:p w14:paraId="0850537D" w14:textId="77777777" w:rsidR="006579E3" w:rsidRPr="006579E3" w:rsidRDefault="006579E3" w:rsidP="006579E3">
      <w:r w:rsidRPr="006579E3">
        <w:t>In our study, we calculated the effective dose from the DAP using a conversion formula. However, in clinical conditions, the effective dose, E, is calculated as follows:</w:t>
      </w:r>
    </w:p>
    <w:p w14:paraId="0C9F93A4" w14:textId="1D7E9A16" w:rsidR="006579E3" w:rsidRPr="00D2367A" w:rsidRDefault="00D2367A" w:rsidP="006579E3">
      <w:pPr>
        <w:rPr>
          <w:iCs/>
          <w:sz w:val="28"/>
          <w:szCs w:val="28"/>
        </w:rPr>
      </w:pPr>
      <m:oMathPara>
        <m:oMath>
          <m:r>
            <m:rPr>
              <m:sty m:val="p"/>
            </m:rPr>
            <w:rPr>
              <w:rFonts w:ascii="Cambria Math" w:hAnsi="Cambria Math"/>
              <w:sz w:val="28"/>
              <w:szCs w:val="28"/>
            </w:rPr>
            <m:t>Effective dose (E) = ∑absorbed dose × radiation weighting factor (WR) × tissue weighting factor (WT).</m:t>
          </m:r>
        </m:oMath>
      </m:oMathPara>
    </w:p>
    <w:p w14:paraId="60EFBB04" w14:textId="77777777" w:rsidR="006579E3" w:rsidRPr="006579E3" w:rsidRDefault="006579E3" w:rsidP="006579E3">
      <w:r w:rsidRPr="006579E3">
        <w:t>The tissue weighting factors are needed because, even if the equivalent dose is the same, different organs have different levels of sensitivity to radiation. There are two types of personal dosimeters; pocket dosimeters are usually used for monitoring over a shorter timeframe, whereas dosimeter badges are used to measure cumulative doses over periods of weeks or months. The more commonly used dosimeter badges are based on thermoluminescent dosimeters (TLDs) and the optically stimulated luminescence of materials such as Al</w:t>
      </w:r>
      <w:r w:rsidRPr="006579E3">
        <w:rPr>
          <w:vertAlign w:val="subscript"/>
        </w:rPr>
        <w:t>2</w:t>
      </w:r>
      <w:r w:rsidRPr="006579E3">
        <w:t>O</w:t>
      </w:r>
      <w:r w:rsidRPr="006579E3">
        <w:rPr>
          <w:vertAlign w:val="subscript"/>
        </w:rPr>
        <w:t>3</w:t>
      </w:r>
      <w:r w:rsidRPr="006579E3">
        <w:t>.</w:t>
      </w:r>
    </w:p>
    <w:p w14:paraId="67E66A62" w14:textId="77777777" w:rsidR="006579E3" w:rsidRPr="006579E3" w:rsidRDefault="006579E3" w:rsidP="006579E3">
      <w:r w:rsidRPr="006579E3">
        <w:t>This study had some limitations. The first limitation was its in vitro design. In actual clinical cases, various interferences (e.g., metallic artifacts due to prosthesis, implant location, and the risk of patient movement at the time of acquisition) may handicap the diagnosis. The second limitation was the absence of a crown or filling restoration in the upper structures of the post materials. No restoration parameter was added to standardize the artifact calculation, but this is obviously not the case in the clinical situation. The final limitation was the use of only one CBCT unit. Therefore, further in vivo studies are necessary with different types of machines.</w:t>
      </w:r>
    </w:p>
    <w:p w14:paraId="0D8C1AF4" w14:textId="77777777" w:rsidR="006579E3" w:rsidRPr="006579E3" w:rsidRDefault="006579E3" w:rsidP="007E2B58">
      <w:pPr>
        <w:pStyle w:val="Heading1"/>
      </w:pPr>
      <w:r w:rsidRPr="006579E3">
        <w:t>5. Conclusions</w:t>
      </w:r>
    </w:p>
    <w:p w14:paraId="52F2C4F4" w14:textId="77777777" w:rsidR="006579E3" w:rsidRPr="006579E3" w:rsidRDefault="006579E3" w:rsidP="006579E3">
      <w:r w:rsidRPr="006579E3">
        <w:t>In conclusion, glass or quartz fiber posts caused fewer artifacts than gold and titanium posts; hence, their use is considered more adequate as a dental post material to generate images that are more suitable to detect fine details. Furthermore, more artifacts were seen in the middle third compared to the cervical third. The use of low resolution, high MAR, and 96 kVp led to the lowest effective doses, as well as the image with the fewest artifacts. Various CBCT machines use diverse methods to reduce metal artifacts; further studies investigating these methods and their application in preclinical and clinical settings are needed.</w:t>
      </w:r>
    </w:p>
    <w:p w14:paraId="5E8EFD22" w14:textId="77777777" w:rsidR="006579E3" w:rsidRPr="006579E3" w:rsidRDefault="006579E3" w:rsidP="007E2B58">
      <w:pPr>
        <w:pStyle w:val="Heading1"/>
      </w:pPr>
      <w:r w:rsidRPr="006579E3">
        <w:t>References</w:t>
      </w:r>
    </w:p>
    <w:p w14:paraId="2E91ECA6" w14:textId="18653A04" w:rsidR="006579E3" w:rsidRPr="006579E3" w:rsidRDefault="006579E3" w:rsidP="00D2367A">
      <w:pPr>
        <w:numPr>
          <w:ilvl w:val="0"/>
          <w:numId w:val="2"/>
        </w:numPr>
        <w:spacing w:after="0"/>
      </w:pPr>
      <w:r w:rsidRPr="006579E3">
        <w:t>Schulze, R.; Heil, U.; Grob, D.; Bruellmann, D.; Dranischnikow, E.; Schwanecke, U.; Schoemer, E. Artefacts in CBCT: A review. </w:t>
      </w:r>
      <w:r w:rsidRPr="006579E3">
        <w:rPr>
          <w:i/>
          <w:iCs/>
        </w:rPr>
        <w:t>Dentomaxillofacial Radiol.</w:t>
      </w:r>
      <w:r w:rsidRPr="006579E3">
        <w:t> </w:t>
      </w:r>
      <w:r w:rsidRPr="006579E3">
        <w:rPr>
          <w:b/>
          <w:bCs/>
        </w:rPr>
        <w:t>2011</w:t>
      </w:r>
      <w:r w:rsidRPr="006579E3">
        <w:t>, </w:t>
      </w:r>
      <w:r w:rsidRPr="006579E3">
        <w:rPr>
          <w:i/>
          <w:iCs/>
        </w:rPr>
        <w:t>40</w:t>
      </w:r>
      <w:r w:rsidRPr="006579E3">
        <w:t xml:space="preserve">, 265–273. </w:t>
      </w:r>
    </w:p>
    <w:p w14:paraId="2F307A57" w14:textId="6D98F11C" w:rsidR="006579E3" w:rsidRPr="006579E3" w:rsidRDefault="006579E3" w:rsidP="00D2367A">
      <w:pPr>
        <w:numPr>
          <w:ilvl w:val="0"/>
          <w:numId w:val="2"/>
        </w:numPr>
        <w:spacing w:after="0"/>
      </w:pPr>
      <w:r w:rsidRPr="006579E3">
        <w:t>Jaju, P.P.; Jain, M.; Singh, A.; Gupta, A. Artefacts in cone beam CT. </w:t>
      </w:r>
      <w:r w:rsidRPr="006579E3">
        <w:rPr>
          <w:i/>
          <w:iCs/>
        </w:rPr>
        <w:t>Open J. Stomatol.</w:t>
      </w:r>
      <w:r w:rsidRPr="006579E3">
        <w:t> </w:t>
      </w:r>
      <w:r w:rsidRPr="006579E3">
        <w:rPr>
          <w:b/>
          <w:bCs/>
        </w:rPr>
        <w:t>2013</w:t>
      </w:r>
      <w:r w:rsidRPr="006579E3">
        <w:t>, </w:t>
      </w:r>
      <w:r w:rsidRPr="006579E3">
        <w:rPr>
          <w:i/>
          <w:iCs/>
        </w:rPr>
        <w:t>3</w:t>
      </w:r>
      <w:r w:rsidRPr="006579E3">
        <w:t xml:space="preserve">, 292–297. </w:t>
      </w:r>
    </w:p>
    <w:p w14:paraId="71D233DE" w14:textId="034B9852" w:rsidR="006579E3" w:rsidRPr="006579E3" w:rsidRDefault="006579E3" w:rsidP="00D2367A">
      <w:pPr>
        <w:numPr>
          <w:ilvl w:val="0"/>
          <w:numId w:val="2"/>
        </w:numPr>
        <w:spacing w:after="0"/>
      </w:pPr>
      <w:r w:rsidRPr="006579E3">
        <w:t>Nagarajappa, A.K.; Dwivedi, N.; Tiwari, R. Artifacts: The downturn of CBCT image. </w:t>
      </w:r>
      <w:r w:rsidRPr="006579E3">
        <w:rPr>
          <w:i/>
          <w:iCs/>
        </w:rPr>
        <w:t>J. Int. Soc. Prev. Community Dent.</w:t>
      </w:r>
      <w:r w:rsidRPr="006579E3">
        <w:t> </w:t>
      </w:r>
      <w:r w:rsidRPr="006579E3">
        <w:rPr>
          <w:b/>
          <w:bCs/>
        </w:rPr>
        <w:t>2015</w:t>
      </w:r>
      <w:r w:rsidRPr="006579E3">
        <w:t>, </w:t>
      </w:r>
      <w:r w:rsidRPr="006579E3">
        <w:rPr>
          <w:i/>
          <w:iCs/>
        </w:rPr>
        <w:t>5</w:t>
      </w:r>
      <w:r w:rsidRPr="006579E3">
        <w:t xml:space="preserve">, 440–445. </w:t>
      </w:r>
    </w:p>
    <w:p w14:paraId="281CCACE" w14:textId="21AF986B" w:rsidR="006579E3" w:rsidRPr="006579E3" w:rsidRDefault="006579E3" w:rsidP="00D2367A">
      <w:pPr>
        <w:numPr>
          <w:ilvl w:val="0"/>
          <w:numId w:val="2"/>
        </w:numPr>
        <w:spacing w:after="0"/>
      </w:pPr>
      <w:r w:rsidRPr="006579E3">
        <w:t>Helvacioglu-Yigit, D.; Demirturk Kocasarac, H.; Bechara, B.; Noujeim, M. Evaluation and Reduction of Artifacts Generated by 4 Different Root-end Filling Materials by Using Multiple Cone-beam Computed Tomography Imaging Settings. </w:t>
      </w:r>
      <w:r w:rsidRPr="006579E3">
        <w:rPr>
          <w:i/>
          <w:iCs/>
        </w:rPr>
        <w:t>J. Endod.</w:t>
      </w:r>
      <w:r w:rsidRPr="006579E3">
        <w:t> </w:t>
      </w:r>
      <w:r w:rsidRPr="006579E3">
        <w:rPr>
          <w:b/>
          <w:bCs/>
        </w:rPr>
        <w:t>2016</w:t>
      </w:r>
      <w:r w:rsidRPr="006579E3">
        <w:t>, </w:t>
      </w:r>
      <w:r w:rsidRPr="006579E3">
        <w:rPr>
          <w:i/>
          <w:iCs/>
        </w:rPr>
        <w:t>42</w:t>
      </w:r>
      <w:r w:rsidRPr="006579E3">
        <w:t xml:space="preserve">, 307–314. </w:t>
      </w:r>
    </w:p>
    <w:p w14:paraId="739CFDC0" w14:textId="27A89142" w:rsidR="006579E3" w:rsidRPr="006579E3" w:rsidRDefault="006579E3" w:rsidP="00D2367A">
      <w:pPr>
        <w:numPr>
          <w:ilvl w:val="0"/>
          <w:numId w:val="2"/>
        </w:numPr>
        <w:spacing w:after="0"/>
      </w:pPr>
      <w:r w:rsidRPr="006579E3">
        <w:t>Oliveira, M.L.; Freitas, D.Q.; Ambrosano, G.M.; Haiter-Neto, F. Influence of exposure factors on the variability of CBCT voxel values: A phantom study. </w:t>
      </w:r>
      <w:r w:rsidRPr="006579E3">
        <w:rPr>
          <w:i/>
          <w:iCs/>
        </w:rPr>
        <w:t>Dentomaxillofacial Radiol.</w:t>
      </w:r>
      <w:r w:rsidRPr="006579E3">
        <w:t> </w:t>
      </w:r>
      <w:r w:rsidRPr="006579E3">
        <w:rPr>
          <w:b/>
          <w:bCs/>
        </w:rPr>
        <w:t>2014</w:t>
      </w:r>
      <w:r w:rsidRPr="006579E3">
        <w:t>, </w:t>
      </w:r>
      <w:r w:rsidRPr="006579E3">
        <w:rPr>
          <w:i/>
          <w:iCs/>
        </w:rPr>
        <w:t>43</w:t>
      </w:r>
      <w:r w:rsidRPr="006579E3">
        <w:t xml:space="preserve">, 20140128. </w:t>
      </w:r>
    </w:p>
    <w:p w14:paraId="68BFA270" w14:textId="7C79BFCB" w:rsidR="006579E3" w:rsidRPr="006579E3" w:rsidRDefault="006579E3" w:rsidP="00D2367A">
      <w:pPr>
        <w:numPr>
          <w:ilvl w:val="0"/>
          <w:numId w:val="2"/>
        </w:numPr>
        <w:spacing w:after="0"/>
      </w:pPr>
      <w:r w:rsidRPr="006579E3">
        <w:t>Spin-Neto, R.; Gotfredsen, E.; Wenzel, A. Variation in voxel value distribution and effect of time between exposures in six CBCT units. </w:t>
      </w:r>
      <w:r w:rsidRPr="006579E3">
        <w:rPr>
          <w:i/>
          <w:iCs/>
        </w:rPr>
        <w:t>Dentomaxillofacial Radiol.</w:t>
      </w:r>
      <w:r w:rsidRPr="006579E3">
        <w:t> </w:t>
      </w:r>
      <w:r w:rsidRPr="006579E3">
        <w:rPr>
          <w:b/>
          <w:bCs/>
        </w:rPr>
        <w:t>2014</w:t>
      </w:r>
      <w:r w:rsidRPr="006579E3">
        <w:t>, </w:t>
      </w:r>
      <w:r w:rsidRPr="006579E3">
        <w:rPr>
          <w:i/>
          <w:iCs/>
        </w:rPr>
        <w:t>43</w:t>
      </w:r>
      <w:r w:rsidRPr="006579E3">
        <w:t xml:space="preserve">, 20130376. </w:t>
      </w:r>
    </w:p>
    <w:p w14:paraId="1AC78DEA" w14:textId="52D5024F" w:rsidR="006579E3" w:rsidRPr="006579E3" w:rsidRDefault="006579E3" w:rsidP="00D2367A">
      <w:pPr>
        <w:numPr>
          <w:ilvl w:val="0"/>
          <w:numId w:val="2"/>
        </w:numPr>
        <w:spacing w:after="0"/>
      </w:pPr>
      <w:r w:rsidRPr="006579E3">
        <w:t>Iikubo, M.; Nishioka, T.; Okura, S.; Kobayashi, K.; Sano, T.; Katsumata, A.; Ariji, E.; Kojima, I.; Sakamoto, M.; Sasano, T. Influence of voxel size and scan field of view on fracture-like artifacts from gutta-percha obturated endodontically treated teeth on cone-beam computed tomography images. </w:t>
      </w:r>
      <w:r w:rsidRPr="006579E3">
        <w:rPr>
          <w:i/>
          <w:iCs/>
        </w:rPr>
        <w:t>Oral Surg. Oral Med. Oral Pathol. Oral Radiol.</w:t>
      </w:r>
      <w:r w:rsidRPr="006579E3">
        <w:t> </w:t>
      </w:r>
      <w:r w:rsidRPr="006579E3">
        <w:rPr>
          <w:b/>
          <w:bCs/>
        </w:rPr>
        <w:t>2016</w:t>
      </w:r>
      <w:r w:rsidRPr="006579E3">
        <w:t>, </w:t>
      </w:r>
      <w:r w:rsidRPr="006579E3">
        <w:rPr>
          <w:i/>
          <w:iCs/>
        </w:rPr>
        <w:t>122</w:t>
      </w:r>
      <w:r w:rsidRPr="006579E3">
        <w:t xml:space="preserve">, 631–637. </w:t>
      </w:r>
    </w:p>
    <w:p w14:paraId="749BFAB5" w14:textId="0D89F1CE" w:rsidR="006579E3" w:rsidRPr="006579E3" w:rsidRDefault="006579E3" w:rsidP="00D2367A">
      <w:pPr>
        <w:numPr>
          <w:ilvl w:val="0"/>
          <w:numId w:val="2"/>
        </w:numPr>
        <w:spacing w:after="0"/>
      </w:pPr>
      <w:r w:rsidRPr="006579E3">
        <w:t>Hutasoit, Y.; Haryanto, F. The Influence of Alteration of kVp and mAs towards the Image Quality of Acrylic Using CBCT. </w:t>
      </w:r>
      <w:r w:rsidRPr="006579E3">
        <w:rPr>
          <w:i/>
          <w:iCs/>
        </w:rPr>
        <w:t>Key Eng. Mater.</w:t>
      </w:r>
      <w:r w:rsidRPr="006579E3">
        <w:t> </w:t>
      </w:r>
      <w:r w:rsidRPr="006579E3">
        <w:rPr>
          <w:b/>
          <w:bCs/>
        </w:rPr>
        <w:t>2019</w:t>
      </w:r>
      <w:r w:rsidRPr="006579E3">
        <w:t>, </w:t>
      </w:r>
      <w:r w:rsidRPr="006579E3">
        <w:rPr>
          <w:i/>
          <w:iCs/>
        </w:rPr>
        <w:t>829</w:t>
      </w:r>
      <w:r w:rsidRPr="006579E3">
        <w:t xml:space="preserve">, 252–257. </w:t>
      </w:r>
    </w:p>
    <w:p w14:paraId="1EEDF482" w14:textId="72A9E379" w:rsidR="006579E3" w:rsidRPr="006579E3" w:rsidRDefault="006579E3" w:rsidP="00D2367A">
      <w:pPr>
        <w:numPr>
          <w:ilvl w:val="0"/>
          <w:numId w:val="2"/>
        </w:numPr>
        <w:spacing w:after="0"/>
      </w:pPr>
      <w:r w:rsidRPr="006579E3">
        <w:t>Içen, M.; Orhan, K.; Şeker, Ç.; Guduk, G.; Çakmak Özlü, F.; Cengiz, M.I. Comparison of CBCT with different voxel sizes and intraoral scanner for detection of periodontal defects: An in vitro study. </w:t>
      </w:r>
      <w:r w:rsidRPr="006579E3">
        <w:rPr>
          <w:i/>
          <w:iCs/>
        </w:rPr>
        <w:t>Dentomaxillofacial Radiol.</w:t>
      </w:r>
      <w:r w:rsidRPr="006579E3">
        <w:t> </w:t>
      </w:r>
      <w:r w:rsidRPr="006579E3">
        <w:rPr>
          <w:b/>
          <w:bCs/>
        </w:rPr>
        <w:t>2020</w:t>
      </w:r>
      <w:r w:rsidRPr="006579E3">
        <w:t>, </w:t>
      </w:r>
      <w:r w:rsidRPr="006579E3">
        <w:rPr>
          <w:i/>
          <w:iCs/>
        </w:rPr>
        <w:t>49</w:t>
      </w:r>
      <w:r w:rsidRPr="006579E3">
        <w:t xml:space="preserve">, 20190197. </w:t>
      </w:r>
    </w:p>
    <w:p w14:paraId="29C9D15B" w14:textId="27D4013B" w:rsidR="006579E3" w:rsidRPr="006579E3" w:rsidRDefault="006579E3" w:rsidP="00D2367A">
      <w:pPr>
        <w:numPr>
          <w:ilvl w:val="0"/>
          <w:numId w:val="2"/>
        </w:numPr>
        <w:spacing w:after="0"/>
      </w:pPr>
      <w:r w:rsidRPr="006579E3">
        <w:t>Kuusisto, N.; Vallittu, P.K.; Lassila, L.V.J.; Huumonen, S. Evaluation of intensity of artefacts in CBCT by radio-opacity of composite simulation models of implants in vitro. </w:t>
      </w:r>
      <w:r w:rsidRPr="006579E3">
        <w:rPr>
          <w:i/>
          <w:iCs/>
        </w:rPr>
        <w:t>Dentomaxillofacial Radiol.</w:t>
      </w:r>
      <w:r w:rsidRPr="006579E3">
        <w:t> </w:t>
      </w:r>
      <w:r w:rsidRPr="006579E3">
        <w:rPr>
          <w:b/>
          <w:bCs/>
        </w:rPr>
        <w:t>2015</w:t>
      </w:r>
      <w:r w:rsidRPr="006579E3">
        <w:t>, </w:t>
      </w:r>
      <w:r w:rsidRPr="006579E3">
        <w:rPr>
          <w:i/>
          <w:iCs/>
        </w:rPr>
        <w:t>44</w:t>
      </w:r>
      <w:r w:rsidRPr="006579E3">
        <w:t xml:space="preserve">, 20140157. </w:t>
      </w:r>
    </w:p>
    <w:p w14:paraId="3E715764" w14:textId="7DB4CE72" w:rsidR="006579E3" w:rsidRPr="006579E3" w:rsidRDefault="006579E3" w:rsidP="00D2367A">
      <w:pPr>
        <w:numPr>
          <w:ilvl w:val="0"/>
          <w:numId w:val="2"/>
        </w:numPr>
        <w:spacing w:after="0"/>
      </w:pPr>
      <w:r w:rsidRPr="006579E3">
        <w:t>Schulze, R.K.; Berndt, D.; d’Hoedt, B. On cone-beam computed tomography artifacts induced by titanium implants. </w:t>
      </w:r>
      <w:r w:rsidRPr="006579E3">
        <w:rPr>
          <w:i/>
          <w:iCs/>
        </w:rPr>
        <w:t>Clin. Oral. Implant. Res.</w:t>
      </w:r>
      <w:r w:rsidRPr="006579E3">
        <w:t> </w:t>
      </w:r>
      <w:r w:rsidRPr="006579E3">
        <w:rPr>
          <w:b/>
          <w:bCs/>
        </w:rPr>
        <w:t>2010</w:t>
      </w:r>
      <w:r w:rsidRPr="006579E3">
        <w:t>, </w:t>
      </w:r>
      <w:r w:rsidRPr="006579E3">
        <w:rPr>
          <w:i/>
          <w:iCs/>
        </w:rPr>
        <w:t>21</w:t>
      </w:r>
      <w:r w:rsidRPr="006579E3">
        <w:t xml:space="preserve">, 100–107. </w:t>
      </w:r>
    </w:p>
    <w:p w14:paraId="1D326E2C" w14:textId="635584D8" w:rsidR="006579E3" w:rsidRPr="006579E3" w:rsidRDefault="006579E3" w:rsidP="00D2367A">
      <w:pPr>
        <w:numPr>
          <w:ilvl w:val="0"/>
          <w:numId w:val="2"/>
        </w:numPr>
        <w:spacing w:after="0"/>
      </w:pPr>
      <w:r w:rsidRPr="006579E3">
        <w:t>Robbins, J.W. Guidelines for the restoration of endodontically treated teeth. </w:t>
      </w:r>
      <w:r w:rsidRPr="006579E3">
        <w:rPr>
          <w:i/>
          <w:iCs/>
        </w:rPr>
        <w:t>J. Am. Dent. Assoc.</w:t>
      </w:r>
      <w:r w:rsidRPr="006579E3">
        <w:t> </w:t>
      </w:r>
      <w:r w:rsidRPr="006579E3">
        <w:rPr>
          <w:b/>
          <w:bCs/>
        </w:rPr>
        <w:t>1990</w:t>
      </w:r>
      <w:r w:rsidRPr="006579E3">
        <w:t>, </w:t>
      </w:r>
      <w:r w:rsidRPr="006579E3">
        <w:rPr>
          <w:i/>
          <w:iCs/>
        </w:rPr>
        <w:t>120</w:t>
      </w:r>
      <w:r w:rsidRPr="006579E3">
        <w:t xml:space="preserve">, 558–566. </w:t>
      </w:r>
    </w:p>
    <w:p w14:paraId="32B95578" w14:textId="7655806E" w:rsidR="006579E3" w:rsidRPr="006579E3" w:rsidRDefault="006579E3" w:rsidP="00D2367A">
      <w:pPr>
        <w:numPr>
          <w:ilvl w:val="0"/>
          <w:numId w:val="2"/>
        </w:numPr>
        <w:spacing w:after="0"/>
      </w:pPr>
      <w:r w:rsidRPr="006579E3">
        <w:t>Medigovic, I.; Antonijevic, D. In vitro radiographic density of dental posts measured by digital radiography. </w:t>
      </w:r>
      <w:r w:rsidRPr="006579E3">
        <w:rPr>
          <w:i/>
          <w:iCs/>
        </w:rPr>
        <w:t>Oral Radiol.</w:t>
      </w:r>
      <w:r w:rsidRPr="006579E3">
        <w:t> </w:t>
      </w:r>
      <w:r w:rsidRPr="006579E3">
        <w:rPr>
          <w:b/>
          <w:bCs/>
        </w:rPr>
        <w:t>2014</w:t>
      </w:r>
      <w:r w:rsidRPr="006579E3">
        <w:t>, </w:t>
      </w:r>
      <w:r w:rsidRPr="006579E3">
        <w:rPr>
          <w:i/>
          <w:iCs/>
        </w:rPr>
        <w:t>30</w:t>
      </w:r>
      <w:r w:rsidRPr="006579E3">
        <w:t xml:space="preserve">, 9–12. </w:t>
      </w:r>
    </w:p>
    <w:p w14:paraId="0B109B03" w14:textId="704E0E73" w:rsidR="006579E3" w:rsidRPr="006579E3" w:rsidRDefault="006579E3" w:rsidP="00D2367A">
      <w:pPr>
        <w:numPr>
          <w:ilvl w:val="0"/>
          <w:numId w:val="2"/>
        </w:numPr>
        <w:spacing w:after="0"/>
      </w:pPr>
      <w:r w:rsidRPr="006579E3">
        <w:t>Dias, D.R.; Iwaki, L.C.V.; de Oliveira, A.C.A.; Martinhao, F.S.; Rossi, R.M.; Araujo, M.G.; Hayacibara, R.M. Accuracy of high-resolution small-volume cone-beam computed tomography in the diagnosis of vertical root fracture: An in vivo analysis. </w:t>
      </w:r>
      <w:r w:rsidRPr="006579E3">
        <w:rPr>
          <w:i/>
          <w:iCs/>
        </w:rPr>
        <w:t>J. Endod.</w:t>
      </w:r>
      <w:r w:rsidRPr="006579E3">
        <w:t> </w:t>
      </w:r>
      <w:r w:rsidRPr="006579E3">
        <w:rPr>
          <w:b/>
          <w:bCs/>
        </w:rPr>
        <w:t>2020</w:t>
      </w:r>
      <w:r w:rsidRPr="006579E3">
        <w:t>, </w:t>
      </w:r>
      <w:r w:rsidRPr="006579E3">
        <w:rPr>
          <w:i/>
          <w:iCs/>
        </w:rPr>
        <w:t>46</w:t>
      </w:r>
      <w:r w:rsidRPr="006579E3">
        <w:t xml:space="preserve">, 1059–1066. </w:t>
      </w:r>
    </w:p>
    <w:p w14:paraId="17178155" w14:textId="15F66000" w:rsidR="006579E3" w:rsidRPr="006579E3" w:rsidRDefault="006579E3" w:rsidP="00D2367A">
      <w:pPr>
        <w:numPr>
          <w:ilvl w:val="0"/>
          <w:numId w:val="2"/>
        </w:numPr>
        <w:spacing w:after="0"/>
      </w:pPr>
      <w:r w:rsidRPr="006579E3">
        <w:t>Talwar, S.; Utneja, S.; Nawal, R.R.; Kaushik, A.; Srivastava, D.; Oberoy, S.S. Role of cone-beam computed tomography in diagnosis of vertical root fractures: A systematic review and meta-analysis. </w:t>
      </w:r>
      <w:r w:rsidRPr="006579E3">
        <w:rPr>
          <w:i/>
          <w:iCs/>
        </w:rPr>
        <w:t>J. Endod.</w:t>
      </w:r>
      <w:r w:rsidRPr="006579E3">
        <w:t> </w:t>
      </w:r>
      <w:r w:rsidRPr="006579E3">
        <w:rPr>
          <w:b/>
          <w:bCs/>
        </w:rPr>
        <w:t>2016</w:t>
      </w:r>
      <w:r w:rsidRPr="006579E3">
        <w:t>, </w:t>
      </w:r>
      <w:r w:rsidRPr="006579E3">
        <w:rPr>
          <w:i/>
          <w:iCs/>
        </w:rPr>
        <w:t>42</w:t>
      </w:r>
      <w:r w:rsidRPr="006579E3">
        <w:t xml:space="preserve">, 12–24. </w:t>
      </w:r>
    </w:p>
    <w:p w14:paraId="7BC9590A" w14:textId="65EC1597" w:rsidR="006579E3" w:rsidRPr="006579E3" w:rsidRDefault="006579E3" w:rsidP="00D2367A">
      <w:pPr>
        <w:numPr>
          <w:ilvl w:val="0"/>
          <w:numId w:val="2"/>
        </w:numPr>
        <w:spacing w:after="0"/>
      </w:pPr>
      <w:r w:rsidRPr="006579E3">
        <w:t>Lira de Farias Freitas, A.P.; Cavalcanti, Y.W.; Costa, F.C.M.; Peixoto, L.R.; Maia, A.M.A.; Rovaris, K.; Bento, P.M.; Melo, D.P. Assessment of artefacts produced by metal posts on CBCT images. </w:t>
      </w:r>
      <w:r w:rsidRPr="006579E3">
        <w:rPr>
          <w:i/>
          <w:iCs/>
        </w:rPr>
        <w:t>Int. Endod. J.</w:t>
      </w:r>
      <w:r w:rsidRPr="006579E3">
        <w:t> </w:t>
      </w:r>
      <w:r w:rsidRPr="006579E3">
        <w:rPr>
          <w:b/>
          <w:bCs/>
        </w:rPr>
        <w:t>2019</w:t>
      </w:r>
      <w:r w:rsidRPr="006579E3">
        <w:t>, </w:t>
      </w:r>
      <w:r w:rsidRPr="006579E3">
        <w:rPr>
          <w:i/>
          <w:iCs/>
        </w:rPr>
        <w:t>52</w:t>
      </w:r>
      <w:r w:rsidRPr="006579E3">
        <w:t xml:space="preserve">, 223–236. </w:t>
      </w:r>
    </w:p>
    <w:p w14:paraId="7669D98D" w14:textId="1BC0B7AC" w:rsidR="006579E3" w:rsidRPr="006579E3" w:rsidRDefault="006579E3" w:rsidP="00D2367A">
      <w:pPr>
        <w:numPr>
          <w:ilvl w:val="0"/>
          <w:numId w:val="2"/>
        </w:numPr>
        <w:spacing w:after="0"/>
      </w:pPr>
      <w:r w:rsidRPr="006579E3">
        <w:t>de Souza, F.C.P.; Pardini, L.C.; Cruvinel, D.R.; Hamida, H.M.; Garcia, L.F. In vitro comparison of the radiopacity of cavity lining materials with human dental structures. </w:t>
      </w:r>
      <w:r w:rsidRPr="006579E3">
        <w:rPr>
          <w:i/>
          <w:iCs/>
        </w:rPr>
        <w:t>J. Conserv. Dent.</w:t>
      </w:r>
      <w:r w:rsidRPr="006579E3">
        <w:t> </w:t>
      </w:r>
      <w:r w:rsidRPr="006579E3">
        <w:rPr>
          <w:b/>
          <w:bCs/>
        </w:rPr>
        <w:t>2010</w:t>
      </w:r>
      <w:r w:rsidRPr="006579E3">
        <w:t>, </w:t>
      </w:r>
      <w:r w:rsidRPr="006579E3">
        <w:rPr>
          <w:i/>
          <w:iCs/>
        </w:rPr>
        <w:t>13</w:t>
      </w:r>
      <w:r w:rsidRPr="006579E3">
        <w:t xml:space="preserve">, 65–70. </w:t>
      </w:r>
    </w:p>
    <w:p w14:paraId="55CBFF6A" w14:textId="465F1393" w:rsidR="006579E3" w:rsidRPr="006579E3" w:rsidRDefault="006579E3" w:rsidP="00D2367A">
      <w:pPr>
        <w:numPr>
          <w:ilvl w:val="0"/>
          <w:numId w:val="2"/>
        </w:numPr>
        <w:spacing w:after="0"/>
      </w:pPr>
      <w:r w:rsidRPr="006579E3">
        <w:t>Batista, W.O.; Navarro, M.V.; Maia, A.F. Effective doses in panoramic images from conventional and CBCT equipment. </w:t>
      </w:r>
      <w:r w:rsidRPr="006579E3">
        <w:rPr>
          <w:i/>
          <w:iCs/>
        </w:rPr>
        <w:t>Radiat. Prot. Dosim.</w:t>
      </w:r>
      <w:r w:rsidRPr="006579E3">
        <w:t> </w:t>
      </w:r>
      <w:r w:rsidRPr="006579E3">
        <w:rPr>
          <w:b/>
          <w:bCs/>
        </w:rPr>
        <w:t>2012</w:t>
      </w:r>
      <w:r w:rsidRPr="006579E3">
        <w:t>, </w:t>
      </w:r>
      <w:r w:rsidRPr="006579E3">
        <w:rPr>
          <w:i/>
          <w:iCs/>
        </w:rPr>
        <w:t>151</w:t>
      </w:r>
      <w:r w:rsidRPr="006579E3">
        <w:t xml:space="preserve">, 67–75. </w:t>
      </w:r>
    </w:p>
    <w:p w14:paraId="0E1275D4" w14:textId="0C7CC6E1" w:rsidR="006579E3" w:rsidRPr="006579E3" w:rsidRDefault="006579E3" w:rsidP="00D2367A">
      <w:pPr>
        <w:numPr>
          <w:ilvl w:val="0"/>
          <w:numId w:val="2"/>
        </w:numPr>
        <w:spacing w:after="0"/>
      </w:pPr>
      <w:r w:rsidRPr="006579E3">
        <w:t>Rodrigues Terrabuio, B.; Carvalho, C.G.; Peralta-Mamani, M.; da Silva Santos, P.S.; Rubira-Bullen, I.R.; Fischer Rubira, C.M. Cone-beam computed tomography artifacts in the presence of dental implants and associated factors: An integrative review. </w:t>
      </w:r>
      <w:r w:rsidRPr="006579E3">
        <w:rPr>
          <w:i/>
          <w:iCs/>
        </w:rPr>
        <w:t>Imaging Sci. Dent.</w:t>
      </w:r>
      <w:r w:rsidRPr="006579E3">
        <w:t> </w:t>
      </w:r>
      <w:r w:rsidRPr="006579E3">
        <w:rPr>
          <w:b/>
          <w:bCs/>
        </w:rPr>
        <w:t>2021</w:t>
      </w:r>
      <w:r w:rsidRPr="006579E3">
        <w:t>, </w:t>
      </w:r>
      <w:r w:rsidRPr="006579E3">
        <w:rPr>
          <w:i/>
          <w:iCs/>
        </w:rPr>
        <w:t>51</w:t>
      </w:r>
      <w:r w:rsidRPr="006579E3">
        <w:t>, 93–106. [</w:t>
      </w:r>
    </w:p>
    <w:p w14:paraId="753F0434" w14:textId="74A90D96" w:rsidR="006579E3" w:rsidRPr="006579E3" w:rsidRDefault="006579E3" w:rsidP="00D2367A">
      <w:pPr>
        <w:numPr>
          <w:ilvl w:val="0"/>
          <w:numId w:val="2"/>
        </w:numPr>
        <w:spacing w:after="0"/>
      </w:pPr>
      <w:r w:rsidRPr="006579E3">
        <w:t>Yeung, A.W.K.; Harper, B.; Zhang, C.; Neelakantan, P.; Bornstein, M. Do different cone beam computed tomography exposure protocols influence subjective image quality prior to and after root canal treatment? </w:t>
      </w:r>
      <w:r w:rsidRPr="006579E3">
        <w:rPr>
          <w:i/>
          <w:iCs/>
        </w:rPr>
        <w:t>Clin. Oral Investig.</w:t>
      </w:r>
      <w:r w:rsidRPr="006579E3">
        <w:t> </w:t>
      </w:r>
      <w:r w:rsidRPr="006579E3">
        <w:rPr>
          <w:b/>
          <w:bCs/>
        </w:rPr>
        <w:t>2021</w:t>
      </w:r>
      <w:r w:rsidRPr="006579E3">
        <w:t>, </w:t>
      </w:r>
      <w:r w:rsidRPr="006579E3">
        <w:rPr>
          <w:i/>
          <w:iCs/>
        </w:rPr>
        <w:t>25</w:t>
      </w:r>
      <w:r w:rsidRPr="006579E3">
        <w:t xml:space="preserve">, 2119–2127. </w:t>
      </w:r>
    </w:p>
    <w:p w14:paraId="0D9135F5" w14:textId="3398AA53" w:rsidR="006579E3" w:rsidRPr="006579E3" w:rsidRDefault="006579E3" w:rsidP="00D2367A">
      <w:pPr>
        <w:numPr>
          <w:ilvl w:val="0"/>
          <w:numId w:val="2"/>
        </w:numPr>
        <w:spacing w:after="0"/>
      </w:pPr>
      <w:r w:rsidRPr="006579E3">
        <w:t>Erik, A.A.; Erik, C.E.; Yıldırım, D. Experimental study of influence of composition on radiopacity of fiber post materials. </w:t>
      </w:r>
      <w:r w:rsidRPr="006579E3">
        <w:rPr>
          <w:i/>
          <w:iCs/>
        </w:rPr>
        <w:t>Microsc. Res. Tech.</w:t>
      </w:r>
      <w:r w:rsidRPr="006579E3">
        <w:t> </w:t>
      </w:r>
      <w:r w:rsidRPr="006579E3">
        <w:rPr>
          <w:b/>
          <w:bCs/>
        </w:rPr>
        <w:t>2019</w:t>
      </w:r>
      <w:r w:rsidRPr="006579E3">
        <w:t>, </w:t>
      </w:r>
      <w:r w:rsidRPr="006579E3">
        <w:rPr>
          <w:i/>
          <w:iCs/>
        </w:rPr>
        <w:t>82</w:t>
      </w:r>
      <w:r w:rsidRPr="006579E3">
        <w:t xml:space="preserve">, 1448–1454. </w:t>
      </w:r>
    </w:p>
    <w:p w14:paraId="16CF9D3F" w14:textId="790BD7A5" w:rsidR="006579E3" w:rsidRPr="006579E3" w:rsidRDefault="006579E3" w:rsidP="00D2367A">
      <w:pPr>
        <w:numPr>
          <w:ilvl w:val="0"/>
          <w:numId w:val="2"/>
        </w:numPr>
        <w:spacing w:after="0"/>
      </w:pPr>
      <w:r w:rsidRPr="006579E3">
        <w:t>Furtos, G.; Baldea, B.; Silaghi-Dumitrescu, L. Development of new radiopaque glass fiber posts. </w:t>
      </w:r>
      <w:r w:rsidRPr="006579E3">
        <w:rPr>
          <w:i/>
          <w:iCs/>
        </w:rPr>
        <w:t>Mater. Sci. Eng. C Mater. Biol. Appl.</w:t>
      </w:r>
      <w:r w:rsidRPr="006579E3">
        <w:t> </w:t>
      </w:r>
      <w:r w:rsidRPr="006579E3">
        <w:rPr>
          <w:b/>
          <w:bCs/>
        </w:rPr>
        <w:t>2016</w:t>
      </w:r>
      <w:r w:rsidRPr="006579E3">
        <w:t>, </w:t>
      </w:r>
      <w:r w:rsidRPr="006579E3">
        <w:rPr>
          <w:i/>
          <w:iCs/>
        </w:rPr>
        <w:t>59</w:t>
      </w:r>
      <w:r w:rsidRPr="006579E3">
        <w:t xml:space="preserve">, 855–862. </w:t>
      </w:r>
    </w:p>
    <w:p w14:paraId="35D037EE" w14:textId="2F3FA475" w:rsidR="006579E3" w:rsidRPr="006579E3" w:rsidRDefault="006579E3" w:rsidP="00D2367A">
      <w:pPr>
        <w:numPr>
          <w:ilvl w:val="0"/>
          <w:numId w:val="2"/>
        </w:numPr>
        <w:spacing w:after="0"/>
      </w:pPr>
      <w:r w:rsidRPr="006579E3">
        <w:t>De Rezende Barbosa, G.L.; Sousa Melo, S.L.; Alencar, P.N.B.; Nascimento, M.C.C.; Almeida, S.M. Performance of an artefact reduction algorithm in the diagnosis of in vitro vertical root fracture in four different root filling conditions on CBCT images. </w:t>
      </w:r>
      <w:r w:rsidRPr="006579E3">
        <w:rPr>
          <w:i/>
          <w:iCs/>
        </w:rPr>
        <w:t>Int. Endod. J.</w:t>
      </w:r>
      <w:r w:rsidRPr="006579E3">
        <w:t> </w:t>
      </w:r>
      <w:r w:rsidRPr="006579E3">
        <w:rPr>
          <w:b/>
          <w:bCs/>
        </w:rPr>
        <w:t>2016</w:t>
      </w:r>
      <w:r w:rsidRPr="006579E3">
        <w:t>, </w:t>
      </w:r>
      <w:r w:rsidRPr="006579E3">
        <w:rPr>
          <w:i/>
          <w:iCs/>
        </w:rPr>
        <w:t>49</w:t>
      </w:r>
      <w:r w:rsidRPr="006579E3">
        <w:t xml:space="preserve">, 500–508. </w:t>
      </w:r>
    </w:p>
    <w:p w14:paraId="0FFE683A" w14:textId="290D1D70" w:rsidR="006579E3" w:rsidRPr="006579E3" w:rsidRDefault="006579E3" w:rsidP="00D2367A">
      <w:pPr>
        <w:numPr>
          <w:ilvl w:val="0"/>
          <w:numId w:val="2"/>
        </w:numPr>
        <w:spacing w:after="0"/>
      </w:pPr>
      <w:r w:rsidRPr="006579E3">
        <w:t>Ferreira, R.I.; Bahrami, G.; Isidor, F.; Wenzel, A.; Haiter-Neto, F.; Groppo, F.C. Detection of vertical root fractures by cone-beam computerized tomography in endodontically treated teeth with fiber-resin and titanium posts: An in vitro study. </w:t>
      </w:r>
      <w:r w:rsidRPr="006579E3">
        <w:rPr>
          <w:i/>
          <w:iCs/>
        </w:rPr>
        <w:t>Oral Surg. Oral Med. Oral Pathol. Oral Radiol.</w:t>
      </w:r>
      <w:r w:rsidRPr="006579E3">
        <w:t> </w:t>
      </w:r>
      <w:r w:rsidRPr="006579E3">
        <w:rPr>
          <w:b/>
          <w:bCs/>
        </w:rPr>
        <w:t>2013</w:t>
      </w:r>
      <w:r w:rsidRPr="006579E3">
        <w:t>, </w:t>
      </w:r>
      <w:r w:rsidRPr="006579E3">
        <w:rPr>
          <w:i/>
          <w:iCs/>
        </w:rPr>
        <w:t>115</w:t>
      </w:r>
      <w:r w:rsidRPr="006579E3">
        <w:t xml:space="preserve">, e49–e57. </w:t>
      </w:r>
    </w:p>
    <w:p w14:paraId="2DF1267A" w14:textId="25195FD1" w:rsidR="006579E3" w:rsidRPr="006579E3" w:rsidRDefault="006579E3" w:rsidP="00D2367A">
      <w:pPr>
        <w:numPr>
          <w:ilvl w:val="0"/>
          <w:numId w:val="2"/>
        </w:numPr>
        <w:spacing w:after="0"/>
      </w:pPr>
      <w:r w:rsidRPr="006579E3">
        <w:t>De Martin, E.S.; Campos, C.N.; Pires Carvalho, A.C.; Devito, K.L. Diagnosis of mesiodistal vertical root fractures in teeth with metal posts: Influence of applying filters in cone-beam computed tomography images at different resolutions. </w:t>
      </w:r>
      <w:r w:rsidRPr="006579E3">
        <w:rPr>
          <w:i/>
          <w:iCs/>
        </w:rPr>
        <w:t>J. Endod.</w:t>
      </w:r>
      <w:r w:rsidRPr="006579E3">
        <w:t> </w:t>
      </w:r>
      <w:r w:rsidRPr="006579E3">
        <w:rPr>
          <w:b/>
          <w:bCs/>
        </w:rPr>
        <w:t>2018</w:t>
      </w:r>
      <w:r w:rsidRPr="006579E3">
        <w:t>, </w:t>
      </w:r>
      <w:r w:rsidRPr="006579E3">
        <w:rPr>
          <w:i/>
          <w:iCs/>
        </w:rPr>
        <w:t>44</w:t>
      </w:r>
      <w:r w:rsidRPr="006579E3">
        <w:t xml:space="preserve">, 470–474. </w:t>
      </w:r>
    </w:p>
    <w:p w14:paraId="175DF302" w14:textId="13321510" w:rsidR="006579E3" w:rsidRPr="006579E3" w:rsidRDefault="006579E3" w:rsidP="00D2367A">
      <w:pPr>
        <w:numPr>
          <w:ilvl w:val="0"/>
          <w:numId w:val="2"/>
        </w:numPr>
        <w:spacing w:after="0"/>
      </w:pPr>
      <w:r w:rsidRPr="006579E3">
        <w:t>Fontenele, R.C.; Farias Gomes, A.; Rosado, L.P.L.; Neves, F.S.; Freitas, D.Q. Mapping the expression of beam hardening artefacts produced by metal posts positioned in different regions of the dental arch. </w:t>
      </w:r>
      <w:r w:rsidRPr="006579E3">
        <w:rPr>
          <w:i/>
          <w:iCs/>
        </w:rPr>
        <w:t>Clin. Oral Investig.</w:t>
      </w:r>
      <w:r w:rsidRPr="006579E3">
        <w:t> </w:t>
      </w:r>
      <w:r w:rsidRPr="006579E3">
        <w:rPr>
          <w:b/>
          <w:bCs/>
        </w:rPr>
        <w:t>2020</w:t>
      </w:r>
      <w:r w:rsidRPr="006579E3">
        <w:t>, </w:t>
      </w:r>
      <w:r w:rsidRPr="006579E3">
        <w:rPr>
          <w:i/>
          <w:iCs/>
        </w:rPr>
        <w:t>25</w:t>
      </w:r>
      <w:r w:rsidRPr="006579E3">
        <w:t xml:space="preserve">, 571–579. </w:t>
      </w:r>
    </w:p>
    <w:p w14:paraId="0A4061A8" w14:textId="77777777" w:rsidR="006579E3" w:rsidRPr="006579E3" w:rsidRDefault="006579E3" w:rsidP="00D2367A">
      <w:pPr>
        <w:numPr>
          <w:ilvl w:val="0"/>
          <w:numId w:val="2"/>
        </w:numPr>
        <w:spacing w:after="0"/>
      </w:pPr>
      <w:r w:rsidRPr="006579E3">
        <w:t>Pinto, M.G.O.; Rabelo, K.A.; Sousa Melo, S.L.; Campos, P.S.F.; Oliveira, L.S.A.F.; Bento, P.M.; Melo, D.P. Influence of exposure parameters on the detection of simulated root fractures in the presence of various intracanal materials. </w:t>
      </w:r>
      <w:r w:rsidRPr="006579E3">
        <w:rPr>
          <w:i/>
          <w:iCs/>
        </w:rPr>
        <w:t>Int. Endod. J.</w:t>
      </w:r>
      <w:r w:rsidRPr="006579E3">
        <w:t> </w:t>
      </w:r>
      <w:r w:rsidRPr="006579E3">
        <w:rPr>
          <w:b/>
          <w:bCs/>
        </w:rPr>
        <w:t>2017</w:t>
      </w:r>
      <w:r w:rsidRPr="006579E3">
        <w:t>, </w:t>
      </w:r>
      <w:r w:rsidRPr="006579E3">
        <w:rPr>
          <w:i/>
          <w:iCs/>
        </w:rPr>
        <w:t>50</w:t>
      </w:r>
      <w:r w:rsidRPr="006579E3">
        <w:t>, 586–594. </w:t>
      </w:r>
    </w:p>
    <w:p w14:paraId="235A832F" w14:textId="77777777" w:rsidR="006579E3" w:rsidRPr="006579E3" w:rsidRDefault="006579E3" w:rsidP="006579E3"/>
    <w:p w14:paraId="16B6CE2C" w14:textId="77777777" w:rsidR="00414591" w:rsidRPr="006F33A4" w:rsidRDefault="00414591" w:rsidP="000A7622">
      <w:pPr>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661B4"/>
    <w:multiLevelType w:val="multilevel"/>
    <w:tmpl w:val="23EC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9265A8"/>
    <w:multiLevelType w:val="multilevel"/>
    <w:tmpl w:val="3DEAB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06165942">
    <w:abstractNumId w:val="0"/>
  </w:num>
  <w:num w:numId="2" w16cid:durableId="849681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hhUe21MwQnCLk8iyXuOPa8KW9HGSNJimrnrvgmQLz1nFVEVurNqDihKt32LR6Oht82T313BJySzPRJ3Eks4E6Q==" w:salt="d4Ofz5IaZTb3hwcb3sDpr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4FB8"/>
    <w:rsid w:val="0004637E"/>
    <w:rsid w:val="0004717F"/>
    <w:rsid w:val="000525F1"/>
    <w:rsid w:val="0005413F"/>
    <w:rsid w:val="00057D20"/>
    <w:rsid w:val="000606A8"/>
    <w:rsid w:val="00061102"/>
    <w:rsid w:val="00064ECB"/>
    <w:rsid w:val="00071537"/>
    <w:rsid w:val="00072612"/>
    <w:rsid w:val="000735D6"/>
    <w:rsid w:val="00074832"/>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3575"/>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56EE4"/>
    <w:rsid w:val="00160E1F"/>
    <w:rsid w:val="00161372"/>
    <w:rsid w:val="001622DB"/>
    <w:rsid w:val="00163F71"/>
    <w:rsid w:val="00173556"/>
    <w:rsid w:val="0018114F"/>
    <w:rsid w:val="00181ADF"/>
    <w:rsid w:val="00183A38"/>
    <w:rsid w:val="001854EA"/>
    <w:rsid w:val="00185C26"/>
    <w:rsid w:val="00196C7C"/>
    <w:rsid w:val="001A1C71"/>
    <w:rsid w:val="001A1DF4"/>
    <w:rsid w:val="001A1E12"/>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6C38"/>
    <w:rsid w:val="00224240"/>
    <w:rsid w:val="00226FA2"/>
    <w:rsid w:val="0024134B"/>
    <w:rsid w:val="00251132"/>
    <w:rsid w:val="002535DF"/>
    <w:rsid w:val="002558EB"/>
    <w:rsid w:val="00255B43"/>
    <w:rsid w:val="00255BDC"/>
    <w:rsid w:val="00255BEA"/>
    <w:rsid w:val="00261403"/>
    <w:rsid w:val="002617E6"/>
    <w:rsid w:val="00261F59"/>
    <w:rsid w:val="00272AF4"/>
    <w:rsid w:val="00276C06"/>
    <w:rsid w:val="00280198"/>
    <w:rsid w:val="00282094"/>
    <w:rsid w:val="002843BC"/>
    <w:rsid w:val="00284A84"/>
    <w:rsid w:val="0029129F"/>
    <w:rsid w:val="002949E3"/>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4710C"/>
    <w:rsid w:val="00450DB8"/>
    <w:rsid w:val="00453D2C"/>
    <w:rsid w:val="00454851"/>
    <w:rsid w:val="00456070"/>
    <w:rsid w:val="00456B26"/>
    <w:rsid w:val="004570E7"/>
    <w:rsid w:val="00460A1D"/>
    <w:rsid w:val="004613DF"/>
    <w:rsid w:val="00461BB2"/>
    <w:rsid w:val="00463F96"/>
    <w:rsid w:val="004660BE"/>
    <w:rsid w:val="0046696C"/>
    <w:rsid w:val="00466DD7"/>
    <w:rsid w:val="004675AA"/>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10C"/>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1961"/>
    <w:rsid w:val="005C30E9"/>
    <w:rsid w:val="005C663B"/>
    <w:rsid w:val="005D1C38"/>
    <w:rsid w:val="005D1ED6"/>
    <w:rsid w:val="005D767A"/>
    <w:rsid w:val="005E2628"/>
    <w:rsid w:val="005E53F4"/>
    <w:rsid w:val="005E5F66"/>
    <w:rsid w:val="005F03C3"/>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579E3"/>
    <w:rsid w:val="006621F0"/>
    <w:rsid w:val="006647E7"/>
    <w:rsid w:val="00666FD4"/>
    <w:rsid w:val="00667217"/>
    <w:rsid w:val="006702C6"/>
    <w:rsid w:val="006769E6"/>
    <w:rsid w:val="00676C63"/>
    <w:rsid w:val="00682333"/>
    <w:rsid w:val="006844CA"/>
    <w:rsid w:val="00684B3E"/>
    <w:rsid w:val="006871E0"/>
    <w:rsid w:val="00693B53"/>
    <w:rsid w:val="00697377"/>
    <w:rsid w:val="006A1F61"/>
    <w:rsid w:val="006A533C"/>
    <w:rsid w:val="006A5E52"/>
    <w:rsid w:val="006A712D"/>
    <w:rsid w:val="006A7B71"/>
    <w:rsid w:val="006B20FD"/>
    <w:rsid w:val="006B2986"/>
    <w:rsid w:val="006B3B2B"/>
    <w:rsid w:val="006C024E"/>
    <w:rsid w:val="006C7ED1"/>
    <w:rsid w:val="006D75E1"/>
    <w:rsid w:val="006D7670"/>
    <w:rsid w:val="006E10F4"/>
    <w:rsid w:val="006E10FD"/>
    <w:rsid w:val="006E2996"/>
    <w:rsid w:val="006E2EEC"/>
    <w:rsid w:val="006E471E"/>
    <w:rsid w:val="006E4859"/>
    <w:rsid w:val="006F24E3"/>
    <w:rsid w:val="007054CF"/>
    <w:rsid w:val="007065D3"/>
    <w:rsid w:val="007071B1"/>
    <w:rsid w:val="00707EC1"/>
    <w:rsid w:val="00710582"/>
    <w:rsid w:val="00714EE9"/>
    <w:rsid w:val="007246B0"/>
    <w:rsid w:val="007258CB"/>
    <w:rsid w:val="00730E29"/>
    <w:rsid w:val="00732FF6"/>
    <w:rsid w:val="0073536B"/>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B58"/>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A61B4"/>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13BA"/>
    <w:rsid w:val="00A231A4"/>
    <w:rsid w:val="00A24CBA"/>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588"/>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5CC"/>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0523"/>
    <w:rsid w:val="00CF53EE"/>
    <w:rsid w:val="00D01E5B"/>
    <w:rsid w:val="00D02378"/>
    <w:rsid w:val="00D02BE9"/>
    <w:rsid w:val="00D101DD"/>
    <w:rsid w:val="00D14423"/>
    <w:rsid w:val="00D15F27"/>
    <w:rsid w:val="00D162A6"/>
    <w:rsid w:val="00D17394"/>
    <w:rsid w:val="00D17B7F"/>
    <w:rsid w:val="00D21541"/>
    <w:rsid w:val="00D2367A"/>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334C"/>
    <w:rsid w:val="00DA5459"/>
    <w:rsid w:val="00DA619A"/>
    <w:rsid w:val="00DB357A"/>
    <w:rsid w:val="00DB4233"/>
    <w:rsid w:val="00DB5097"/>
    <w:rsid w:val="00DC06B2"/>
    <w:rsid w:val="00DC3597"/>
    <w:rsid w:val="00DC4F7C"/>
    <w:rsid w:val="00DC7134"/>
    <w:rsid w:val="00DC7C2C"/>
    <w:rsid w:val="00DD2256"/>
    <w:rsid w:val="00DD4B55"/>
    <w:rsid w:val="00DD5871"/>
    <w:rsid w:val="00DE2F66"/>
    <w:rsid w:val="00DE4173"/>
    <w:rsid w:val="00DE4592"/>
    <w:rsid w:val="00DE5AF6"/>
    <w:rsid w:val="00DF22E8"/>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634"/>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6704"/>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49E3"/>
    <w:rPr>
      <w:color w:val="0563C1" w:themeColor="hyperlink"/>
      <w:u w:val="single"/>
    </w:rPr>
  </w:style>
  <w:style w:type="character" w:styleId="UnresolvedMention">
    <w:name w:val="Unresolved Mention"/>
    <w:basedOn w:val="DefaultParagraphFont"/>
    <w:uiPriority w:val="99"/>
    <w:semiHidden/>
    <w:unhideWhenUsed/>
    <w:rsid w:val="002949E3"/>
    <w:rPr>
      <w:color w:val="605E5C"/>
      <w:shd w:val="clear" w:color="auto" w:fill="E1DFDD"/>
    </w:rPr>
  </w:style>
  <w:style w:type="character" w:styleId="FollowedHyperlink">
    <w:name w:val="FollowedHyperlink"/>
    <w:basedOn w:val="DefaultParagraphFont"/>
    <w:uiPriority w:val="99"/>
    <w:semiHidden/>
    <w:unhideWhenUsed/>
    <w:rsid w:val="002617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556172">
      <w:bodyDiv w:val="1"/>
      <w:marLeft w:val="0"/>
      <w:marRight w:val="0"/>
      <w:marTop w:val="0"/>
      <w:marBottom w:val="0"/>
      <w:divBdr>
        <w:top w:val="none" w:sz="0" w:space="0" w:color="auto"/>
        <w:left w:val="none" w:sz="0" w:space="0" w:color="auto"/>
        <w:bottom w:val="none" w:sz="0" w:space="0" w:color="auto"/>
        <w:right w:val="none" w:sz="0" w:space="0" w:color="auto"/>
      </w:divBdr>
      <w:divsChild>
        <w:div w:id="1779521625">
          <w:marLeft w:val="0"/>
          <w:marRight w:val="0"/>
          <w:marTop w:val="0"/>
          <w:marBottom w:val="0"/>
          <w:divBdr>
            <w:top w:val="none" w:sz="0" w:space="0" w:color="auto"/>
            <w:left w:val="none" w:sz="0" w:space="0" w:color="auto"/>
            <w:bottom w:val="none" w:sz="0" w:space="0" w:color="auto"/>
            <w:right w:val="none" w:sz="0" w:space="0" w:color="auto"/>
          </w:divBdr>
          <w:divsChild>
            <w:div w:id="1015613390">
              <w:marLeft w:val="0"/>
              <w:marRight w:val="0"/>
              <w:marTop w:val="0"/>
              <w:marBottom w:val="0"/>
              <w:divBdr>
                <w:top w:val="none" w:sz="0" w:space="0" w:color="auto"/>
                <w:left w:val="none" w:sz="0" w:space="0" w:color="auto"/>
                <w:bottom w:val="none" w:sz="0" w:space="0" w:color="auto"/>
                <w:right w:val="none" w:sz="0" w:space="0" w:color="auto"/>
              </w:divBdr>
              <w:divsChild>
                <w:div w:id="2074305335">
                  <w:marLeft w:val="0"/>
                  <w:marRight w:val="0"/>
                  <w:marTop w:val="0"/>
                  <w:marBottom w:val="0"/>
                  <w:divBdr>
                    <w:top w:val="none" w:sz="0" w:space="0" w:color="auto"/>
                    <w:left w:val="none" w:sz="0" w:space="0" w:color="auto"/>
                    <w:bottom w:val="none" w:sz="0" w:space="0" w:color="auto"/>
                    <w:right w:val="none" w:sz="0" w:space="0" w:color="auto"/>
                  </w:divBdr>
                </w:div>
                <w:div w:id="1790202427">
                  <w:marLeft w:val="0"/>
                  <w:marRight w:val="0"/>
                  <w:marTop w:val="75"/>
                  <w:marBottom w:val="0"/>
                  <w:divBdr>
                    <w:top w:val="none" w:sz="0" w:space="0" w:color="auto"/>
                    <w:left w:val="none" w:sz="0" w:space="0" w:color="auto"/>
                    <w:bottom w:val="none" w:sz="0" w:space="0" w:color="auto"/>
                    <w:right w:val="none" w:sz="0" w:space="0" w:color="auto"/>
                  </w:divBdr>
                  <w:divsChild>
                    <w:div w:id="714474405">
                      <w:marLeft w:val="0"/>
                      <w:marRight w:val="0"/>
                      <w:marTop w:val="0"/>
                      <w:marBottom w:val="120"/>
                      <w:divBdr>
                        <w:top w:val="none" w:sz="0" w:space="0" w:color="auto"/>
                        <w:left w:val="none" w:sz="0" w:space="0" w:color="auto"/>
                        <w:bottom w:val="none" w:sz="0" w:space="0" w:color="auto"/>
                        <w:right w:val="none" w:sz="0" w:space="0" w:color="auto"/>
                      </w:divBdr>
                      <w:divsChild>
                        <w:div w:id="138957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885513">
          <w:marLeft w:val="0"/>
          <w:marRight w:val="0"/>
          <w:marTop w:val="0"/>
          <w:marBottom w:val="0"/>
          <w:divBdr>
            <w:top w:val="none" w:sz="0" w:space="0" w:color="auto"/>
            <w:left w:val="none" w:sz="0" w:space="0" w:color="auto"/>
            <w:bottom w:val="none" w:sz="0" w:space="0" w:color="auto"/>
            <w:right w:val="none" w:sz="0" w:space="0" w:color="auto"/>
          </w:divBdr>
          <w:divsChild>
            <w:div w:id="452137021">
              <w:marLeft w:val="0"/>
              <w:marRight w:val="0"/>
              <w:marTop w:val="360"/>
              <w:marBottom w:val="0"/>
              <w:divBdr>
                <w:top w:val="none" w:sz="0" w:space="0" w:color="auto"/>
                <w:left w:val="none" w:sz="0" w:space="0" w:color="auto"/>
                <w:bottom w:val="none" w:sz="0" w:space="0" w:color="auto"/>
                <w:right w:val="none" w:sz="0" w:space="0" w:color="auto"/>
              </w:divBdr>
              <w:divsChild>
                <w:div w:id="1881700759">
                  <w:marLeft w:val="0"/>
                  <w:marRight w:val="0"/>
                  <w:marTop w:val="0"/>
                  <w:marBottom w:val="0"/>
                  <w:divBdr>
                    <w:top w:val="none" w:sz="0" w:space="0" w:color="auto"/>
                    <w:left w:val="none" w:sz="0" w:space="0" w:color="auto"/>
                    <w:bottom w:val="none" w:sz="0" w:space="0" w:color="auto"/>
                    <w:right w:val="none" w:sz="0" w:space="0" w:color="auto"/>
                  </w:divBdr>
                </w:div>
                <w:div w:id="1030956014">
                  <w:marLeft w:val="0"/>
                  <w:marRight w:val="0"/>
                  <w:marTop w:val="0"/>
                  <w:marBottom w:val="0"/>
                  <w:divBdr>
                    <w:top w:val="none" w:sz="0" w:space="0" w:color="auto"/>
                    <w:left w:val="none" w:sz="0" w:space="0" w:color="auto"/>
                    <w:bottom w:val="none" w:sz="0" w:space="0" w:color="auto"/>
                    <w:right w:val="none" w:sz="0" w:space="0" w:color="auto"/>
                  </w:divBdr>
                </w:div>
                <w:div w:id="1650013993">
                  <w:marLeft w:val="0"/>
                  <w:marRight w:val="0"/>
                  <w:marTop w:val="0"/>
                  <w:marBottom w:val="0"/>
                  <w:divBdr>
                    <w:top w:val="none" w:sz="0" w:space="0" w:color="auto"/>
                    <w:left w:val="none" w:sz="0" w:space="0" w:color="auto"/>
                    <w:bottom w:val="none" w:sz="0" w:space="0" w:color="auto"/>
                    <w:right w:val="none" w:sz="0" w:space="0" w:color="auto"/>
                  </w:divBdr>
                </w:div>
                <w:div w:id="979192144">
                  <w:marLeft w:val="0"/>
                  <w:marRight w:val="0"/>
                  <w:marTop w:val="0"/>
                  <w:marBottom w:val="0"/>
                  <w:divBdr>
                    <w:top w:val="none" w:sz="0" w:space="0" w:color="auto"/>
                    <w:left w:val="none" w:sz="0" w:space="0" w:color="auto"/>
                    <w:bottom w:val="none" w:sz="0" w:space="0" w:color="auto"/>
                    <w:right w:val="none" w:sz="0" w:space="0" w:color="auto"/>
                  </w:divBdr>
                </w:div>
                <w:div w:id="591472832">
                  <w:marLeft w:val="0"/>
                  <w:marRight w:val="0"/>
                  <w:marTop w:val="0"/>
                  <w:marBottom w:val="0"/>
                  <w:divBdr>
                    <w:top w:val="none" w:sz="0" w:space="0" w:color="auto"/>
                    <w:left w:val="none" w:sz="0" w:space="0" w:color="auto"/>
                    <w:bottom w:val="none" w:sz="0" w:space="0" w:color="auto"/>
                    <w:right w:val="none" w:sz="0" w:space="0" w:color="auto"/>
                  </w:divBdr>
                </w:div>
                <w:div w:id="1336490613">
                  <w:marLeft w:val="0"/>
                  <w:marRight w:val="0"/>
                  <w:marTop w:val="0"/>
                  <w:marBottom w:val="0"/>
                  <w:divBdr>
                    <w:top w:val="none" w:sz="0" w:space="0" w:color="auto"/>
                    <w:left w:val="none" w:sz="0" w:space="0" w:color="auto"/>
                    <w:bottom w:val="none" w:sz="0" w:space="0" w:color="auto"/>
                    <w:right w:val="none" w:sz="0" w:space="0" w:color="auto"/>
                  </w:divBdr>
                </w:div>
                <w:div w:id="813764986">
                  <w:marLeft w:val="0"/>
                  <w:marRight w:val="0"/>
                  <w:marTop w:val="0"/>
                  <w:marBottom w:val="0"/>
                  <w:divBdr>
                    <w:top w:val="none" w:sz="0" w:space="0" w:color="auto"/>
                    <w:left w:val="none" w:sz="0" w:space="0" w:color="auto"/>
                    <w:bottom w:val="none" w:sz="0" w:space="0" w:color="auto"/>
                    <w:right w:val="none" w:sz="0" w:space="0" w:color="auto"/>
                  </w:divBdr>
                </w:div>
                <w:div w:id="94444687">
                  <w:marLeft w:val="0"/>
                  <w:marRight w:val="0"/>
                  <w:marTop w:val="0"/>
                  <w:marBottom w:val="0"/>
                  <w:divBdr>
                    <w:top w:val="none" w:sz="0" w:space="0" w:color="auto"/>
                    <w:left w:val="none" w:sz="0" w:space="0" w:color="auto"/>
                    <w:bottom w:val="none" w:sz="0" w:space="0" w:color="auto"/>
                    <w:right w:val="none" w:sz="0" w:space="0" w:color="auto"/>
                  </w:divBdr>
                </w:div>
                <w:div w:id="731007560">
                  <w:marLeft w:val="0"/>
                  <w:marRight w:val="0"/>
                  <w:marTop w:val="0"/>
                  <w:marBottom w:val="0"/>
                  <w:divBdr>
                    <w:top w:val="none" w:sz="0" w:space="0" w:color="auto"/>
                    <w:left w:val="none" w:sz="0" w:space="0" w:color="auto"/>
                    <w:bottom w:val="none" w:sz="0" w:space="0" w:color="auto"/>
                    <w:right w:val="none" w:sz="0" w:space="0" w:color="auto"/>
                  </w:divBdr>
                </w:div>
                <w:div w:id="1302343119">
                  <w:marLeft w:val="0"/>
                  <w:marRight w:val="0"/>
                  <w:marTop w:val="0"/>
                  <w:marBottom w:val="0"/>
                  <w:divBdr>
                    <w:top w:val="none" w:sz="0" w:space="0" w:color="auto"/>
                    <w:left w:val="none" w:sz="0" w:space="0" w:color="auto"/>
                    <w:bottom w:val="none" w:sz="0" w:space="0" w:color="auto"/>
                    <w:right w:val="none" w:sz="0" w:space="0" w:color="auto"/>
                  </w:divBdr>
                </w:div>
                <w:div w:id="50463034">
                  <w:marLeft w:val="0"/>
                  <w:marRight w:val="0"/>
                  <w:marTop w:val="0"/>
                  <w:marBottom w:val="0"/>
                  <w:divBdr>
                    <w:top w:val="none" w:sz="0" w:space="0" w:color="auto"/>
                    <w:left w:val="none" w:sz="0" w:space="0" w:color="auto"/>
                    <w:bottom w:val="none" w:sz="0" w:space="0" w:color="auto"/>
                    <w:right w:val="none" w:sz="0" w:space="0" w:color="auto"/>
                  </w:divBdr>
                </w:div>
                <w:div w:id="426927821">
                  <w:marLeft w:val="0"/>
                  <w:marRight w:val="0"/>
                  <w:marTop w:val="0"/>
                  <w:marBottom w:val="0"/>
                  <w:divBdr>
                    <w:top w:val="none" w:sz="0" w:space="0" w:color="auto"/>
                    <w:left w:val="none" w:sz="0" w:space="0" w:color="auto"/>
                    <w:bottom w:val="none" w:sz="0" w:space="0" w:color="auto"/>
                    <w:right w:val="none" w:sz="0" w:space="0" w:color="auto"/>
                  </w:divBdr>
                </w:div>
                <w:div w:id="1634284988">
                  <w:marLeft w:val="0"/>
                  <w:marRight w:val="0"/>
                  <w:marTop w:val="0"/>
                  <w:marBottom w:val="0"/>
                  <w:divBdr>
                    <w:top w:val="none" w:sz="0" w:space="0" w:color="auto"/>
                    <w:left w:val="none" w:sz="0" w:space="0" w:color="auto"/>
                    <w:bottom w:val="none" w:sz="0" w:space="0" w:color="auto"/>
                    <w:right w:val="none" w:sz="0" w:space="0" w:color="auto"/>
                  </w:divBdr>
                </w:div>
                <w:div w:id="2007005736">
                  <w:marLeft w:val="0"/>
                  <w:marRight w:val="0"/>
                  <w:marTop w:val="0"/>
                  <w:marBottom w:val="0"/>
                  <w:divBdr>
                    <w:top w:val="none" w:sz="0" w:space="0" w:color="auto"/>
                    <w:left w:val="none" w:sz="0" w:space="0" w:color="auto"/>
                    <w:bottom w:val="none" w:sz="0" w:space="0" w:color="auto"/>
                    <w:right w:val="none" w:sz="0" w:space="0" w:color="auto"/>
                  </w:divBdr>
                </w:div>
                <w:div w:id="1779178166">
                  <w:marLeft w:val="0"/>
                  <w:marRight w:val="0"/>
                  <w:marTop w:val="0"/>
                  <w:marBottom w:val="0"/>
                  <w:divBdr>
                    <w:top w:val="none" w:sz="0" w:space="0" w:color="auto"/>
                    <w:left w:val="none" w:sz="0" w:space="0" w:color="auto"/>
                    <w:bottom w:val="none" w:sz="0" w:space="0" w:color="auto"/>
                    <w:right w:val="none" w:sz="0" w:space="0" w:color="auto"/>
                  </w:divBdr>
                </w:div>
                <w:div w:id="1209488647">
                  <w:marLeft w:val="0"/>
                  <w:marRight w:val="0"/>
                  <w:marTop w:val="0"/>
                  <w:marBottom w:val="0"/>
                  <w:divBdr>
                    <w:top w:val="none" w:sz="0" w:space="0" w:color="auto"/>
                    <w:left w:val="none" w:sz="0" w:space="0" w:color="auto"/>
                    <w:bottom w:val="none" w:sz="0" w:space="0" w:color="auto"/>
                    <w:right w:val="none" w:sz="0" w:space="0" w:color="auto"/>
                  </w:divBdr>
                </w:div>
                <w:div w:id="297299673">
                  <w:marLeft w:val="0"/>
                  <w:marRight w:val="0"/>
                  <w:marTop w:val="0"/>
                  <w:marBottom w:val="0"/>
                  <w:divBdr>
                    <w:top w:val="none" w:sz="0" w:space="0" w:color="auto"/>
                    <w:left w:val="none" w:sz="0" w:space="0" w:color="auto"/>
                    <w:bottom w:val="none" w:sz="0" w:space="0" w:color="auto"/>
                    <w:right w:val="none" w:sz="0" w:space="0" w:color="auto"/>
                  </w:divBdr>
                </w:div>
                <w:div w:id="795104217">
                  <w:marLeft w:val="0"/>
                  <w:marRight w:val="0"/>
                  <w:marTop w:val="0"/>
                  <w:marBottom w:val="0"/>
                  <w:divBdr>
                    <w:top w:val="none" w:sz="0" w:space="0" w:color="auto"/>
                    <w:left w:val="none" w:sz="0" w:space="0" w:color="auto"/>
                    <w:bottom w:val="none" w:sz="0" w:space="0" w:color="auto"/>
                    <w:right w:val="none" w:sz="0" w:space="0" w:color="auto"/>
                  </w:divBdr>
                </w:div>
                <w:div w:id="1042442462">
                  <w:marLeft w:val="0"/>
                  <w:marRight w:val="0"/>
                  <w:marTop w:val="240"/>
                  <w:marBottom w:val="240"/>
                  <w:divBdr>
                    <w:top w:val="none" w:sz="0" w:space="0" w:color="auto"/>
                    <w:left w:val="none" w:sz="0" w:space="0" w:color="auto"/>
                    <w:bottom w:val="none" w:sz="0" w:space="0" w:color="auto"/>
                    <w:right w:val="none" w:sz="0" w:space="0" w:color="auto"/>
                  </w:divBdr>
                  <w:divsChild>
                    <w:div w:id="704914349">
                      <w:marLeft w:val="98"/>
                      <w:marRight w:val="195"/>
                      <w:marTop w:val="240"/>
                      <w:marBottom w:val="240"/>
                      <w:divBdr>
                        <w:top w:val="none" w:sz="0" w:space="0" w:color="auto"/>
                        <w:left w:val="none" w:sz="0" w:space="0" w:color="auto"/>
                        <w:bottom w:val="none" w:sz="0" w:space="0" w:color="auto"/>
                        <w:right w:val="none" w:sz="0" w:space="0" w:color="auto"/>
                      </w:divBdr>
                      <w:divsChild>
                        <w:div w:id="159030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764123">
                  <w:marLeft w:val="0"/>
                  <w:marRight w:val="0"/>
                  <w:marTop w:val="0"/>
                  <w:marBottom w:val="0"/>
                  <w:divBdr>
                    <w:top w:val="none" w:sz="0" w:space="0" w:color="auto"/>
                    <w:left w:val="none" w:sz="0" w:space="0" w:color="auto"/>
                    <w:bottom w:val="none" w:sz="0" w:space="0" w:color="auto"/>
                    <w:right w:val="none" w:sz="0" w:space="0" w:color="auto"/>
                  </w:divBdr>
                </w:div>
                <w:div w:id="1724325011">
                  <w:marLeft w:val="0"/>
                  <w:marRight w:val="0"/>
                  <w:marTop w:val="0"/>
                  <w:marBottom w:val="0"/>
                  <w:divBdr>
                    <w:top w:val="none" w:sz="0" w:space="0" w:color="auto"/>
                    <w:left w:val="none" w:sz="0" w:space="0" w:color="auto"/>
                    <w:bottom w:val="none" w:sz="0" w:space="0" w:color="auto"/>
                    <w:right w:val="none" w:sz="0" w:space="0" w:color="auto"/>
                  </w:divBdr>
                </w:div>
                <w:div w:id="1803494943">
                  <w:marLeft w:val="0"/>
                  <w:marRight w:val="0"/>
                  <w:marTop w:val="240"/>
                  <w:marBottom w:val="240"/>
                  <w:divBdr>
                    <w:top w:val="none" w:sz="0" w:space="0" w:color="auto"/>
                    <w:left w:val="none" w:sz="0" w:space="0" w:color="auto"/>
                    <w:bottom w:val="none" w:sz="0" w:space="0" w:color="auto"/>
                    <w:right w:val="none" w:sz="0" w:space="0" w:color="auto"/>
                  </w:divBdr>
                  <w:divsChild>
                    <w:div w:id="456149377">
                      <w:marLeft w:val="98"/>
                      <w:marRight w:val="195"/>
                      <w:marTop w:val="240"/>
                      <w:marBottom w:val="240"/>
                      <w:divBdr>
                        <w:top w:val="none" w:sz="0" w:space="0" w:color="auto"/>
                        <w:left w:val="none" w:sz="0" w:space="0" w:color="auto"/>
                        <w:bottom w:val="none" w:sz="0" w:space="0" w:color="auto"/>
                        <w:right w:val="none" w:sz="0" w:space="0" w:color="auto"/>
                      </w:divBdr>
                      <w:divsChild>
                        <w:div w:id="85153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575782">
                  <w:marLeft w:val="0"/>
                  <w:marRight w:val="0"/>
                  <w:marTop w:val="0"/>
                  <w:marBottom w:val="0"/>
                  <w:divBdr>
                    <w:top w:val="none" w:sz="0" w:space="0" w:color="auto"/>
                    <w:left w:val="none" w:sz="0" w:space="0" w:color="auto"/>
                    <w:bottom w:val="none" w:sz="0" w:space="0" w:color="auto"/>
                    <w:right w:val="none" w:sz="0" w:space="0" w:color="auto"/>
                  </w:divBdr>
                </w:div>
                <w:div w:id="284390997">
                  <w:marLeft w:val="0"/>
                  <w:marRight w:val="0"/>
                  <w:marTop w:val="240"/>
                  <w:marBottom w:val="240"/>
                  <w:divBdr>
                    <w:top w:val="none" w:sz="0" w:space="0" w:color="auto"/>
                    <w:left w:val="none" w:sz="0" w:space="0" w:color="auto"/>
                    <w:bottom w:val="none" w:sz="0" w:space="0" w:color="auto"/>
                    <w:right w:val="none" w:sz="0" w:space="0" w:color="auto"/>
                  </w:divBdr>
                  <w:divsChild>
                    <w:div w:id="643968207">
                      <w:marLeft w:val="98"/>
                      <w:marRight w:val="195"/>
                      <w:marTop w:val="240"/>
                      <w:marBottom w:val="240"/>
                      <w:divBdr>
                        <w:top w:val="none" w:sz="0" w:space="0" w:color="auto"/>
                        <w:left w:val="none" w:sz="0" w:space="0" w:color="auto"/>
                        <w:bottom w:val="none" w:sz="0" w:space="0" w:color="auto"/>
                        <w:right w:val="none" w:sz="0" w:space="0" w:color="auto"/>
                      </w:divBdr>
                      <w:divsChild>
                        <w:div w:id="112080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082081">
                  <w:marLeft w:val="0"/>
                  <w:marRight w:val="0"/>
                  <w:marTop w:val="0"/>
                  <w:marBottom w:val="0"/>
                  <w:divBdr>
                    <w:top w:val="none" w:sz="0" w:space="0" w:color="auto"/>
                    <w:left w:val="none" w:sz="0" w:space="0" w:color="auto"/>
                    <w:bottom w:val="none" w:sz="0" w:space="0" w:color="auto"/>
                    <w:right w:val="none" w:sz="0" w:space="0" w:color="auto"/>
                  </w:divBdr>
                </w:div>
                <w:div w:id="731344581">
                  <w:marLeft w:val="0"/>
                  <w:marRight w:val="0"/>
                  <w:marTop w:val="0"/>
                  <w:marBottom w:val="0"/>
                  <w:divBdr>
                    <w:top w:val="none" w:sz="0" w:space="0" w:color="auto"/>
                    <w:left w:val="none" w:sz="0" w:space="0" w:color="auto"/>
                    <w:bottom w:val="none" w:sz="0" w:space="0" w:color="auto"/>
                    <w:right w:val="none" w:sz="0" w:space="0" w:color="auto"/>
                  </w:divBdr>
                </w:div>
                <w:div w:id="814565740">
                  <w:marLeft w:val="0"/>
                  <w:marRight w:val="0"/>
                  <w:marTop w:val="0"/>
                  <w:marBottom w:val="0"/>
                  <w:divBdr>
                    <w:top w:val="none" w:sz="0" w:space="0" w:color="auto"/>
                    <w:left w:val="none" w:sz="0" w:space="0" w:color="auto"/>
                    <w:bottom w:val="none" w:sz="0" w:space="0" w:color="auto"/>
                    <w:right w:val="none" w:sz="0" w:space="0" w:color="auto"/>
                  </w:divBdr>
                </w:div>
                <w:div w:id="1358576429">
                  <w:marLeft w:val="0"/>
                  <w:marRight w:val="0"/>
                  <w:marTop w:val="0"/>
                  <w:marBottom w:val="0"/>
                  <w:divBdr>
                    <w:top w:val="none" w:sz="0" w:space="0" w:color="auto"/>
                    <w:left w:val="none" w:sz="0" w:space="0" w:color="auto"/>
                    <w:bottom w:val="none" w:sz="0" w:space="0" w:color="auto"/>
                    <w:right w:val="none" w:sz="0" w:space="0" w:color="auto"/>
                  </w:divBdr>
                </w:div>
                <w:div w:id="594092348">
                  <w:marLeft w:val="0"/>
                  <w:marRight w:val="0"/>
                  <w:marTop w:val="240"/>
                  <w:marBottom w:val="240"/>
                  <w:divBdr>
                    <w:top w:val="none" w:sz="0" w:space="0" w:color="auto"/>
                    <w:left w:val="none" w:sz="0" w:space="0" w:color="auto"/>
                    <w:bottom w:val="none" w:sz="0" w:space="0" w:color="auto"/>
                    <w:right w:val="none" w:sz="0" w:space="0" w:color="auto"/>
                  </w:divBdr>
                  <w:divsChild>
                    <w:div w:id="1911692441">
                      <w:marLeft w:val="98"/>
                      <w:marRight w:val="195"/>
                      <w:marTop w:val="240"/>
                      <w:marBottom w:val="240"/>
                      <w:divBdr>
                        <w:top w:val="none" w:sz="0" w:space="0" w:color="auto"/>
                        <w:left w:val="none" w:sz="0" w:space="0" w:color="auto"/>
                        <w:bottom w:val="none" w:sz="0" w:space="0" w:color="auto"/>
                        <w:right w:val="none" w:sz="0" w:space="0" w:color="auto"/>
                      </w:divBdr>
                      <w:divsChild>
                        <w:div w:id="137122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71729">
                  <w:marLeft w:val="0"/>
                  <w:marRight w:val="0"/>
                  <w:marTop w:val="0"/>
                  <w:marBottom w:val="0"/>
                  <w:divBdr>
                    <w:top w:val="none" w:sz="0" w:space="0" w:color="auto"/>
                    <w:left w:val="none" w:sz="0" w:space="0" w:color="auto"/>
                    <w:bottom w:val="none" w:sz="0" w:space="0" w:color="auto"/>
                    <w:right w:val="none" w:sz="0" w:space="0" w:color="auto"/>
                  </w:divBdr>
                </w:div>
                <w:div w:id="1248420862">
                  <w:marLeft w:val="0"/>
                  <w:marRight w:val="0"/>
                  <w:marTop w:val="240"/>
                  <w:marBottom w:val="240"/>
                  <w:divBdr>
                    <w:top w:val="none" w:sz="0" w:space="0" w:color="auto"/>
                    <w:left w:val="none" w:sz="0" w:space="0" w:color="auto"/>
                    <w:bottom w:val="none" w:sz="0" w:space="0" w:color="auto"/>
                    <w:right w:val="none" w:sz="0" w:space="0" w:color="auto"/>
                  </w:divBdr>
                  <w:divsChild>
                    <w:div w:id="2074960301">
                      <w:marLeft w:val="98"/>
                      <w:marRight w:val="195"/>
                      <w:marTop w:val="240"/>
                      <w:marBottom w:val="240"/>
                      <w:divBdr>
                        <w:top w:val="none" w:sz="0" w:space="0" w:color="auto"/>
                        <w:left w:val="none" w:sz="0" w:space="0" w:color="auto"/>
                        <w:bottom w:val="none" w:sz="0" w:space="0" w:color="auto"/>
                        <w:right w:val="none" w:sz="0" w:space="0" w:color="auto"/>
                      </w:divBdr>
                      <w:divsChild>
                        <w:div w:id="130516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52905">
                  <w:marLeft w:val="0"/>
                  <w:marRight w:val="0"/>
                  <w:marTop w:val="240"/>
                  <w:marBottom w:val="240"/>
                  <w:divBdr>
                    <w:top w:val="none" w:sz="0" w:space="0" w:color="auto"/>
                    <w:left w:val="none" w:sz="0" w:space="0" w:color="auto"/>
                    <w:bottom w:val="none" w:sz="0" w:space="0" w:color="auto"/>
                    <w:right w:val="none" w:sz="0" w:space="0" w:color="auto"/>
                  </w:divBdr>
                  <w:divsChild>
                    <w:div w:id="213544349">
                      <w:marLeft w:val="98"/>
                      <w:marRight w:val="195"/>
                      <w:marTop w:val="240"/>
                      <w:marBottom w:val="240"/>
                      <w:divBdr>
                        <w:top w:val="none" w:sz="0" w:space="0" w:color="auto"/>
                        <w:left w:val="none" w:sz="0" w:space="0" w:color="auto"/>
                        <w:bottom w:val="none" w:sz="0" w:space="0" w:color="auto"/>
                        <w:right w:val="none" w:sz="0" w:space="0" w:color="auto"/>
                      </w:divBdr>
                      <w:divsChild>
                        <w:div w:id="77405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2618">
                  <w:marLeft w:val="0"/>
                  <w:marRight w:val="0"/>
                  <w:marTop w:val="0"/>
                  <w:marBottom w:val="0"/>
                  <w:divBdr>
                    <w:top w:val="none" w:sz="0" w:space="0" w:color="auto"/>
                    <w:left w:val="none" w:sz="0" w:space="0" w:color="auto"/>
                    <w:bottom w:val="none" w:sz="0" w:space="0" w:color="auto"/>
                    <w:right w:val="none" w:sz="0" w:space="0" w:color="auto"/>
                  </w:divBdr>
                </w:div>
                <w:div w:id="1693649364">
                  <w:marLeft w:val="0"/>
                  <w:marRight w:val="0"/>
                  <w:marTop w:val="0"/>
                  <w:marBottom w:val="0"/>
                  <w:divBdr>
                    <w:top w:val="none" w:sz="0" w:space="0" w:color="auto"/>
                    <w:left w:val="none" w:sz="0" w:space="0" w:color="auto"/>
                    <w:bottom w:val="none" w:sz="0" w:space="0" w:color="auto"/>
                    <w:right w:val="none" w:sz="0" w:space="0" w:color="auto"/>
                  </w:divBdr>
                </w:div>
                <w:div w:id="192816209">
                  <w:marLeft w:val="0"/>
                  <w:marRight w:val="0"/>
                  <w:marTop w:val="0"/>
                  <w:marBottom w:val="0"/>
                  <w:divBdr>
                    <w:top w:val="none" w:sz="0" w:space="0" w:color="auto"/>
                    <w:left w:val="none" w:sz="0" w:space="0" w:color="auto"/>
                    <w:bottom w:val="none" w:sz="0" w:space="0" w:color="auto"/>
                    <w:right w:val="none" w:sz="0" w:space="0" w:color="auto"/>
                  </w:divBdr>
                </w:div>
                <w:div w:id="1227572736">
                  <w:marLeft w:val="0"/>
                  <w:marRight w:val="0"/>
                  <w:marTop w:val="0"/>
                  <w:marBottom w:val="0"/>
                  <w:divBdr>
                    <w:top w:val="none" w:sz="0" w:space="0" w:color="auto"/>
                    <w:left w:val="none" w:sz="0" w:space="0" w:color="auto"/>
                    <w:bottom w:val="none" w:sz="0" w:space="0" w:color="auto"/>
                    <w:right w:val="none" w:sz="0" w:space="0" w:color="auto"/>
                  </w:divBdr>
                </w:div>
                <w:div w:id="107051662">
                  <w:marLeft w:val="0"/>
                  <w:marRight w:val="0"/>
                  <w:marTop w:val="0"/>
                  <w:marBottom w:val="0"/>
                  <w:divBdr>
                    <w:top w:val="none" w:sz="0" w:space="0" w:color="auto"/>
                    <w:left w:val="none" w:sz="0" w:space="0" w:color="auto"/>
                    <w:bottom w:val="none" w:sz="0" w:space="0" w:color="auto"/>
                    <w:right w:val="none" w:sz="0" w:space="0" w:color="auto"/>
                  </w:divBdr>
                </w:div>
                <w:div w:id="1370259036">
                  <w:marLeft w:val="0"/>
                  <w:marRight w:val="0"/>
                  <w:marTop w:val="0"/>
                  <w:marBottom w:val="0"/>
                  <w:divBdr>
                    <w:top w:val="none" w:sz="0" w:space="0" w:color="auto"/>
                    <w:left w:val="none" w:sz="0" w:space="0" w:color="auto"/>
                    <w:bottom w:val="none" w:sz="0" w:space="0" w:color="auto"/>
                    <w:right w:val="none" w:sz="0" w:space="0" w:color="auto"/>
                  </w:divBdr>
                </w:div>
                <w:div w:id="882209220">
                  <w:marLeft w:val="0"/>
                  <w:marRight w:val="0"/>
                  <w:marTop w:val="0"/>
                  <w:marBottom w:val="0"/>
                  <w:divBdr>
                    <w:top w:val="none" w:sz="0" w:space="0" w:color="auto"/>
                    <w:left w:val="none" w:sz="0" w:space="0" w:color="auto"/>
                    <w:bottom w:val="none" w:sz="0" w:space="0" w:color="auto"/>
                    <w:right w:val="none" w:sz="0" w:space="0" w:color="auto"/>
                  </w:divBdr>
                </w:div>
                <w:div w:id="112987160">
                  <w:marLeft w:val="0"/>
                  <w:marRight w:val="0"/>
                  <w:marTop w:val="0"/>
                  <w:marBottom w:val="0"/>
                  <w:divBdr>
                    <w:top w:val="none" w:sz="0" w:space="0" w:color="auto"/>
                    <w:left w:val="none" w:sz="0" w:space="0" w:color="auto"/>
                    <w:bottom w:val="none" w:sz="0" w:space="0" w:color="auto"/>
                    <w:right w:val="none" w:sz="0" w:space="0" w:color="auto"/>
                  </w:divBdr>
                </w:div>
                <w:div w:id="1943801751">
                  <w:marLeft w:val="0"/>
                  <w:marRight w:val="0"/>
                  <w:marTop w:val="0"/>
                  <w:marBottom w:val="0"/>
                  <w:divBdr>
                    <w:top w:val="none" w:sz="0" w:space="0" w:color="auto"/>
                    <w:left w:val="none" w:sz="0" w:space="0" w:color="auto"/>
                    <w:bottom w:val="none" w:sz="0" w:space="0" w:color="auto"/>
                    <w:right w:val="none" w:sz="0" w:space="0" w:color="auto"/>
                  </w:divBdr>
                </w:div>
                <w:div w:id="826869838">
                  <w:marLeft w:val="0"/>
                  <w:marRight w:val="0"/>
                  <w:marTop w:val="0"/>
                  <w:marBottom w:val="0"/>
                  <w:divBdr>
                    <w:top w:val="none" w:sz="0" w:space="0" w:color="auto"/>
                    <w:left w:val="none" w:sz="0" w:space="0" w:color="auto"/>
                    <w:bottom w:val="none" w:sz="0" w:space="0" w:color="auto"/>
                    <w:right w:val="none" w:sz="0" w:space="0" w:color="auto"/>
                  </w:divBdr>
                </w:div>
                <w:div w:id="594479411">
                  <w:marLeft w:val="0"/>
                  <w:marRight w:val="0"/>
                  <w:marTop w:val="0"/>
                  <w:marBottom w:val="0"/>
                  <w:divBdr>
                    <w:top w:val="none" w:sz="0" w:space="0" w:color="auto"/>
                    <w:left w:val="none" w:sz="0" w:space="0" w:color="auto"/>
                    <w:bottom w:val="none" w:sz="0" w:space="0" w:color="auto"/>
                    <w:right w:val="none" w:sz="0" w:space="0" w:color="auto"/>
                  </w:divBdr>
                </w:div>
                <w:div w:id="1993099173">
                  <w:marLeft w:val="0"/>
                  <w:marRight w:val="0"/>
                  <w:marTop w:val="0"/>
                  <w:marBottom w:val="0"/>
                  <w:divBdr>
                    <w:top w:val="none" w:sz="0" w:space="0" w:color="auto"/>
                    <w:left w:val="none" w:sz="0" w:space="0" w:color="auto"/>
                    <w:bottom w:val="none" w:sz="0" w:space="0" w:color="auto"/>
                    <w:right w:val="none" w:sz="0" w:space="0" w:color="auto"/>
                  </w:divBdr>
                </w:div>
                <w:div w:id="506557927">
                  <w:marLeft w:val="0"/>
                  <w:marRight w:val="0"/>
                  <w:marTop w:val="0"/>
                  <w:marBottom w:val="0"/>
                  <w:divBdr>
                    <w:top w:val="none" w:sz="0" w:space="0" w:color="auto"/>
                    <w:left w:val="none" w:sz="0" w:space="0" w:color="auto"/>
                    <w:bottom w:val="none" w:sz="0" w:space="0" w:color="auto"/>
                    <w:right w:val="none" w:sz="0" w:space="0" w:color="auto"/>
                  </w:divBdr>
                </w:div>
                <w:div w:id="1287657046">
                  <w:marLeft w:val="0"/>
                  <w:marRight w:val="0"/>
                  <w:marTop w:val="0"/>
                  <w:marBottom w:val="0"/>
                  <w:divBdr>
                    <w:top w:val="none" w:sz="0" w:space="0" w:color="auto"/>
                    <w:left w:val="none" w:sz="0" w:space="0" w:color="auto"/>
                    <w:bottom w:val="none" w:sz="0" w:space="0" w:color="auto"/>
                    <w:right w:val="none" w:sz="0" w:space="0" w:color="auto"/>
                  </w:divBdr>
                </w:div>
                <w:div w:id="20709814">
                  <w:marLeft w:val="0"/>
                  <w:marRight w:val="0"/>
                  <w:marTop w:val="0"/>
                  <w:marBottom w:val="0"/>
                  <w:divBdr>
                    <w:top w:val="none" w:sz="0" w:space="0" w:color="auto"/>
                    <w:left w:val="none" w:sz="0" w:space="0" w:color="auto"/>
                    <w:bottom w:val="none" w:sz="0" w:space="0" w:color="auto"/>
                    <w:right w:val="none" w:sz="0" w:space="0" w:color="auto"/>
                  </w:divBdr>
                </w:div>
                <w:div w:id="1930186982">
                  <w:marLeft w:val="0"/>
                  <w:marRight w:val="0"/>
                  <w:marTop w:val="0"/>
                  <w:marBottom w:val="0"/>
                  <w:divBdr>
                    <w:top w:val="none" w:sz="0" w:space="0" w:color="auto"/>
                    <w:left w:val="none" w:sz="0" w:space="0" w:color="auto"/>
                    <w:bottom w:val="none" w:sz="0" w:space="0" w:color="auto"/>
                    <w:right w:val="none" w:sz="0" w:space="0" w:color="auto"/>
                  </w:divBdr>
                  <w:divsChild>
                    <w:div w:id="699743729">
                      <w:marLeft w:val="0"/>
                      <w:marRight w:val="0"/>
                      <w:marTop w:val="120"/>
                      <w:marBottom w:val="120"/>
                      <w:divBdr>
                        <w:top w:val="none" w:sz="0" w:space="0" w:color="auto"/>
                        <w:left w:val="none" w:sz="0" w:space="0" w:color="auto"/>
                        <w:bottom w:val="none" w:sz="0" w:space="0" w:color="auto"/>
                        <w:right w:val="none" w:sz="0" w:space="0" w:color="auto"/>
                      </w:divBdr>
                      <w:divsChild>
                        <w:div w:id="44454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968215">
                  <w:marLeft w:val="0"/>
                  <w:marRight w:val="0"/>
                  <w:marTop w:val="0"/>
                  <w:marBottom w:val="0"/>
                  <w:divBdr>
                    <w:top w:val="none" w:sz="0" w:space="0" w:color="auto"/>
                    <w:left w:val="none" w:sz="0" w:space="0" w:color="auto"/>
                    <w:bottom w:val="none" w:sz="0" w:space="0" w:color="auto"/>
                    <w:right w:val="none" w:sz="0" w:space="0" w:color="auto"/>
                  </w:divBdr>
                </w:div>
                <w:div w:id="1529172303">
                  <w:marLeft w:val="0"/>
                  <w:marRight w:val="0"/>
                  <w:marTop w:val="0"/>
                  <w:marBottom w:val="0"/>
                  <w:divBdr>
                    <w:top w:val="none" w:sz="0" w:space="0" w:color="auto"/>
                    <w:left w:val="none" w:sz="0" w:space="0" w:color="auto"/>
                    <w:bottom w:val="none" w:sz="0" w:space="0" w:color="auto"/>
                    <w:right w:val="none" w:sz="0" w:space="0" w:color="auto"/>
                  </w:divBdr>
                </w:div>
                <w:div w:id="1706641374">
                  <w:marLeft w:val="0"/>
                  <w:marRight w:val="0"/>
                  <w:marTop w:val="0"/>
                  <w:marBottom w:val="0"/>
                  <w:divBdr>
                    <w:top w:val="none" w:sz="0" w:space="0" w:color="auto"/>
                    <w:left w:val="none" w:sz="0" w:space="0" w:color="auto"/>
                    <w:bottom w:val="none" w:sz="0" w:space="0" w:color="auto"/>
                    <w:right w:val="none" w:sz="0" w:space="0" w:color="auto"/>
                  </w:divBdr>
                </w:div>
              </w:divsChild>
            </w:div>
            <w:div w:id="127357110">
              <w:marLeft w:val="0"/>
              <w:marRight w:val="0"/>
              <w:marTop w:val="0"/>
              <w:marBottom w:val="0"/>
              <w:divBdr>
                <w:top w:val="none" w:sz="0" w:space="0" w:color="auto"/>
                <w:left w:val="none" w:sz="0" w:space="0" w:color="auto"/>
                <w:bottom w:val="none" w:sz="0" w:space="0" w:color="auto"/>
                <w:right w:val="none" w:sz="0" w:space="0" w:color="auto"/>
              </w:divBdr>
              <w:divsChild>
                <w:div w:id="1971595992">
                  <w:marLeft w:val="0"/>
                  <w:marRight w:val="0"/>
                  <w:marTop w:val="0"/>
                  <w:marBottom w:val="0"/>
                  <w:divBdr>
                    <w:top w:val="none" w:sz="0" w:space="0" w:color="auto"/>
                    <w:left w:val="none" w:sz="0" w:space="0" w:color="auto"/>
                    <w:bottom w:val="none" w:sz="0" w:space="0" w:color="auto"/>
                    <w:right w:val="none" w:sz="0" w:space="0" w:color="auto"/>
                  </w:divBdr>
                </w:div>
                <w:div w:id="611061085">
                  <w:marLeft w:val="0"/>
                  <w:marRight w:val="0"/>
                  <w:marTop w:val="0"/>
                  <w:marBottom w:val="0"/>
                  <w:divBdr>
                    <w:top w:val="none" w:sz="0" w:space="0" w:color="auto"/>
                    <w:left w:val="none" w:sz="0" w:space="0" w:color="auto"/>
                    <w:bottom w:val="none" w:sz="0" w:space="0" w:color="auto"/>
                    <w:right w:val="none" w:sz="0" w:space="0" w:color="auto"/>
                  </w:divBdr>
                </w:div>
                <w:div w:id="690880822">
                  <w:marLeft w:val="0"/>
                  <w:marRight w:val="0"/>
                  <w:marTop w:val="0"/>
                  <w:marBottom w:val="0"/>
                  <w:divBdr>
                    <w:top w:val="none" w:sz="0" w:space="0" w:color="auto"/>
                    <w:left w:val="none" w:sz="0" w:space="0" w:color="auto"/>
                    <w:bottom w:val="none" w:sz="0" w:space="0" w:color="auto"/>
                    <w:right w:val="none" w:sz="0" w:space="0" w:color="auto"/>
                  </w:divBdr>
                </w:div>
                <w:div w:id="1943687906">
                  <w:marLeft w:val="0"/>
                  <w:marRight w:val="0"/>
                  <w:marTop w:val="0"/>
                  <w:marBottom w:val="0"/>
                  <w:divBdr>
                    <w:top w:val="none" w:sz="0" w:space="0" w:color="auto"/>
                    <w:left w:val="none" w:sz="0" w:space="0" w:color="auto"/>
                    <w:bottom w:val="none" w:sz="0" w:space="0" w:color="auto"/>
                    <w:right w:val="none" w:sz="0" w:space="0" w:color="auto"/>
                  </w:divBdr>
                </w:div>
                <w:div w:id="993067368">
                  <w:marLeft w:val="0"/>
                  <w:marRight w:val="0"/>
                  <w:marTop w:val="0"/>
                  <w:marBottom w:val="0"/>
                  <w:divBdr>
                    <w:top w:val="none" w:sz="0" w:space="0" w:color="auto"/>
                    <w:left w:val="none" w:sz="0" w:space="0" w:color="auto"/>
                    <w:bottom w:val="none" w:sz="0" w:space="0" w:color="auto"/>
                    <w:right w:val="none" w:sz="0" w:space="0" w:color="auto"/>
                  </w:divBdr>
                </w:div>
                <w:div w:id="851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139696">
      <w:bodyDiv w:val="1"/>
      <w:marLeft w:val="0"/>
      <w:marRight w:val="0"/>
      <w:marTop w:val="0"/>
      <w:marBottom w:val="0"/>
      <w:divBdr>
        <w:top w:val="none" w:sz="0" w:space="0" w:color="auto"/>
        <w:left w:val="none" w:sz="0" w:space="0" w:color="auto"/>
        <w:bottom w:val="none" w:sz="0" w:space="0" w:color="auto"/>
        <w:right w:val="none" w:sz="0" w:space="0" w:color="auto"/>
      </w:divBdr>
    </w:div>
    <w:div w:id="2067487179">
      <w:bodyDiv w:val="1"/>
      <w:marLeft w:val="0"/>
      <w:marRight w:val="0"/>
      <w:marTop w:val="0"/>
      <w:marBottom w:val="0"/>
      <w:divBdr>
        <w:top w:val="none" w:sz="0" w:space="0" w:color="auto"/>
        <w:left w:val="none" w:sz="0" w:space="0" w:color="auto"/>
        <w:bottom w:val="none" w:sz="0" w:space="0" w:color="auto"/>
        <w:right w:val="none" w:sz="0" w:space="0" w:color="auto"/>
      </w:divBdr>
      <w:divsChild>
        <w:div w:id="1506435841">
          <w:marLeft w:val="0"/>
          <w:marRight w:val="0"/>
          <w:marTop w:val="0"/>
          <w:marBottom w:val="0"/>
          <w:divBdr>
            <w:top w:val="none" w:sz="0" w:space="0" w:color="auto"/>
            <w:left w:val="none" w:sz="0" w:space="0" w:color="auto"/>
            <w:bottom w:val="none" w:sz="0" w:space="0" w:color="auto"/>
            <w:right w:val="none" w:sz="0" w:space="0" w:color="auto"/>
          </w:divBdr>
        </w:div>
        <w:div w:id="1429234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tomography8060245"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A6F5975D-527C-459E-95EC-8955FADB01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4459</Words>
  <Characters>25422</Characters>
  <Application>Microsoft Office Word</Application>
  <DocSecurity>8</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33</cp:revision>
  <dcterms:created xsi:type="dcterms:W3CDTF">2023-02-17T20:30:00Z</dcterms:created>
  <dcterms:modified xsi:type="dcterms:W3CDTF">2023-04-10T17:11:00Z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