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D6172" w14:textId="77777777" w:rsidR="007A0293" w:rsidRPr="00925D63" w:rsidRDefault="007A0293" w:rsidP="007A0293">
      <w:pPr>
        <w:autoSpaceDE w:val="0"/>
        <w:autoSpaceDN w:val="0"/>
        <w:adjustRightInd w:val="0"/>
        <w:rPr>
          <w:rFonts w:cstheme="minorHAnsi"/>
          <w:b/>
          <w:bCs/>
          <w:color w:val="316192"/>
          <w:sz w:val="28"/>
          <w:szCs w:val="26"/>
        </w:rPr>
      </w:pPr>
      <w:bookmarkStart w:id="0" w:name="_Hlk505159787"/>
      <w:bookmarkStart w:id="1" w:name="_GoBack"/>
      <w:bookmarkEnd w:id="1"/>
      <w:r w:rsidRPr="00925D63">
        <w:rPr>
          <w:rFonts w:cstheme="minorHAnsi"/>
          <w:b/>
          <w:bCs/>
          <w:color w:val="316192"/>
          <w:sz w:val="28"/>
          <w:szCs w:val="26"/>
        </w:rPr>
        <w:t>Marquette University</w:t>
      </w:r>
    </w:p>
    <w:p w14:paraId="2D10526E" w14:textId="77777777" w:rsidR="007A0293" w:rsidRPr="00925D63" w:rsidRDefault="007A0293" w:rsidP="007A0293">
      <w:pPr>
        <w:autoSpaceDE w:val="0"/>
        <w:autoSpaceDN w:val="0"/>
        <w:adjustRightInd w:val="0"/>
        <w:rPr>
          <w:rFonts w:cstheme="minorHAnsi"/>
          <w:b/>
          <w:bCs/>
          <w:color w:val="316192"/>
          <w:sz w:val="40"/>
          <w:szCs w:val="36"/>
        </w:rPr>
      </w:pPr>
      <w:proofErr w:type="spellStart"/>
      <w:r w:rsidRPr="00925D63">
        <w:rPr>
          <w:rFonts w:cstheme="minorHAnsi"/>
          <w:b/>
          <w:bCs/>
          <w:color w:val="316192"/>
          <w:sz w:val="40"/>
          <w:szCs w:val="36"/>
        </w:rPr>
        <w:t>e-Publications@Marquette</w:t>
      </w:r>
      <w:proofErr w:type="spellEnd"/>
    </w:p>
    <w:p w14:paraId="6637196E" w14:textId="77777777" w:rsidR="007A0293" w:rsidRPr="00925D63" w:rsidRDefault="007A0293" w:rsidP="007A0293">
      <w:pPr>
        <w:autoSpaceDE w:val="0"/>
        <w:autoSpaceDN w:val="0"/>
        <w:adjustRightInd w:val="0"/>
        <w:rPr>
          <w:rFonts w:cstheme="minorHAnsi"/>
          <w:b/>
          <w:bCs/>
          <w:i/>
          <w:iCs/>
        </w:rPr>
      </w:pPr>
    </w:p>
    <w:p w14:paraId="6AD77823" w14:textId="3DDC8A5C" w:rsidR="007A0293" w:rsidRPr="00925D63" w:rsidRDefault="007A0293" w:rsidP="007A0293">
      <w:pPr>
        <w:autoSpaceDE w:val="0"/>
        <w:autoSpaceDN w:val="0"/>
        <w:adjustRightInd w:val="0"/>
        <w:rPr>
          <w:rFonts w:cstheme="minorHAnsi"/>
          <w:b/>
          <w:bCs/>
          <w:i/>
          <w:iCs/>
          <w:sz w:val="32"/>
          <w:szCs w:val="32"/>
        </w:rPr>
      </w:pPr>
      <w:r>
        <w:rPr>
          <w:rFonts w:cstheme="minorHAnsi"/>
          <w:b/>
          <w:bCs/>
          <w:i/>
          <w:iCs/>
          <w:sz w:val="32"/>
          <w:szCs w:val="32"/>
        </w:rPr>
        <w:t>Chemistry</w:t>
      </w:r>
      <w:r w:rsidRPr="00925D63">
        <w:rPr>
          <w:rFonts w:cstheme="minorHAnsi"/>
          <w:b/>
          <w:bCs/>
          <w:i/>
          <w:iCs/>
          <w:sz w:val="32"/>
          <w:szCs w:val="32"/>
        </w:rPr>
        <w:t xml:space="preserve"> Faculty Research and Publications/</w:t>
      </w:r>
      <w:r>
        <w:rPr>
          <w:rFonts w:cstheme="minorHAnsi"/>
          <w:b/>
          <w:bCs/>
          <w:i/>
          <w:iCs/>
          <w:sz w:val="32"/>
          <w:szCs w:val="32"/>
        </w:rPr>
        <w:t>College of Arts and Science</w:t>
      </w:r>
    </w:p>
    <w:bookmarkEnd w:id="0"/>
    <w:p w14:paraId="6728B51F" w14:textId="77777777" w:rsidR="007A0293" w:rsidRPr="00925D63" w:rsidRDefault="007A0293" w:rsidP="007A0293">
      <w:pPr>
        <w:jc w:val="center"/>
        <w:rPr>
          <w:rFonts w:cstheme="minorHAnsi"/>
          <w:b/>
          <w:bCs/>
          <w:i/>
          <w:iCs/>
        </w:rPr>
      </w:pPr>
    </w:p>
    <w:p w14:paraId="1FB9615F" w14:textId="77777777" w:rsidR="007A0293" w:rsidRPr="00925D63" w:rsidRDefault="007A0293" w:rsidP="007A0293">
      <w:pPr>
        <w:jc w:val="center"/>
        <w:rPr>
          <w:rFonts w:cstheme="minorHAnsi"/>
          <w:sz w:val="24"/>
          <w:szCs w:val="24"/>
        </w:rPr>
      </w:pPr>
      <w:r w:rsidRPr="00925D63">
        <w:rPr>
          <w:rFonts w:cstheme="minorHAnsi"/>
          <w:b/>
          <w:bCs/>
          <w:i/>
          <w:iCs/>
          <w:sz w:val="24"/>
          <w:szCs w:val="24"/>
        </w:rPr>
        <w:t xml:space="preserve">This paper is NOT THE PUBLISHED VERSION; </w:t>
      </w:r>
      <w:r w:rsidRPr="00925D63">
        <w:rPr>
          <w:rFonts w:cstheme="minorHAnsi"/>
          <w:b/>
          <w:bCs/>
          <w:sz w:val="24"/>
          <w:szCs w:val="24"/>
        </w:rPr>
        <w:t xml:space="preserve">but the author’s final, peer-reviewed manuscript. </w:t>
      </w:r>
      <w:r w:rsidRPr="00925D63">
        <w:rPr>
          <w:rFonts w:cstheme="minorHAnsi"/>
          <w:sz w:val="24"/>
          <w:szCs w:val="24"/>
        </w:rPr>
        <w:t>The published version may be accessed by following the link in the citation below.</w:t>
      </w:r>
    </w:p>
    <w:p w14:paraId="25D93DB3" w14:textId="77777777" w:rsidR="007A0293" w:rsidRPr="00925D63" w:rsidRDefault="007A0293" w:rsidP="007A0293">
      <w:pPr>
        <w:jc w:val="center"/>
        <w:rPr>
          <w:rFonts w:cstheme="minorHAnsi"/>
          <w:sz w:val="24"/>
          <w:szCs w:val="24"/>
        </w:rPr>
      </w:pPr>
    </w:p>
    <w:p w14:paraId="1A20BABF" w14:textId="31C0F01D" w:rsidR="007A0293" w:rsidRDefault="00C0023D" w:rsidP="007A0293">
      <w:pPr>
        <w:rPr>
          <w:rFonts w:cstheme="minorHAnsi"/>
          <w:sz w:val="24"/>
          <w:szCs w:val="24"/>
        </w:rPr>
      </w:pPr>
      <w:r>
        <w:rPr>
          <w:rFonts w:cstheme="minorHAnsi"/>
          <w:i/>
          <w:sz w:val="24"/>
          <w:szCs w:val="24"/>
        </w:rPr>
        <w:t>ACS Medicinal Chemistry Letters</w:t>
      </w:r>
      <w:r w:rsidR="007A0293" w:rsidRPr="00925D63">
        <w:rPr>
          <w:rFonts w:cstheme="minorHAnsi"/>
          <w:sz w:val="24"/>
          <w:szCs w:val="24"/>
        </w:rPr>
        <w:t xml:space="preserve">, Vol. </w:t>
      </w:r>
      <w:r w:rsidR="007A0293">
        <w:rPr>
          <w:rFonts w:cstheme="minorHAnsi"/>
          <w:sz w:val="24"/>
          <w:szCs w:val="24"/>
        </w:rPr>
        <w:t>1</w:t>
      </w:r>
      <w:r>
        <w:rPr>
          <w:rFonts w:cstheme="minorHAnsi"/>
          <w:sz w:val="24"/>
          <w:szCs w:val="24"/>
        </w:rPr>
        <w:t>0, No. 1</w:t>
      </w:r>
      <w:r w:rsidR="007A0293" w:rsidRPr="00925D63">
        <w:rPr>
          <w:rFonts w:cstheme="minorHAnsi"/>
          <w:sz w:val="24"/>
          <w:szCs w:val="24"/>
        </w:rPr>
        <w:t xml:space="preserve"> (201</w:t>
      </w:r>
      <w:r>
        <w:rPr>
          <w:rFonts w:cstheme="minorHAnsi"/>
          <w:sz w:val="24"/>
          <w:szCs w:val="24"/>
        </w:rPr>
        <w:t>9</w:t>
      </w:r>
      <w:r w:rsidR="007A0293" w:rsidRPr="00925D63">
        <w:rPr>
          <w:rFonts w:cstheme="minorHAnsi"/>
          <w:sz w:val="24"/>
          <w:szCs w:val="24"/>
        </w:rPr>
        <w:t xml:space="preserve">): </w:t>
      </w:r>
      <w:r>
        <w:rPr>
          <w:rFonts w:cstheme="minorHAnsi"/>
          <w:sz w:val="24"/>
          <w:szCs w:val="24"/>
        </w:rPr>
        <w:t>121-126</w:t>
      </w:r>
      <w:r w:rsidR="007A0293" w:rsidRPr="00925D63">
        <w:rPr>
          <w:rFonts w:cstheme="minorHAnsi"/>
          <w:sz w:val="24"/>
          <w:szCs w:val="24"/>
        </w:rPr>
        <w:t xml:space="preserve">. </w:t>
      </w:r>
      <w:hyperlink r:id="rId9" w:history="1">
        <w:r w:rsidR="007A0293" w:rsidRPr="00925D63">
          <w:rPr>
            <w:rFonts w:cstheme="minorHAnsi"/>
            <w:color w:val="0563C1" w:themeColor="hyperlink"/>
            <w:sz w:val="24"/>
            <w:szCs w:val="24"/>
            <w:u w:val="single"/>
          </w:rPr>
          <w:t>DOI</w:t>
        </w:r>
      </w:hyperlink>
      <w:r w:rsidR="007A0293" w:rsidRPr="00925D63">
        <w:rPr>
          <w:rFonts w:cstheme="minorHAnsi"/>
          <w:sz w:val="24"/>
          <w:szCs w:val="24"/>
        </w:rPr>
        <w:t xml:space="preserve">. This article is © </w:t>
      </w:r>
      <w:r>
        <w:rPr>
          <w:rFonts w:cstheme="minorHAnsi"/>
          <w:sz w:val="24"/>
          <w:szCs w:val="24"/>
        </w:rPr>
        <w:t>American Chemical Society</w:t>
      </w:r>
      <w:r w:rsidR="007A0293">
        <w:rPr>
          <w:rFonts w:cstheme="minorHAnsi"/>
          <w:sz w:val="24"/>
          <w:szCs w:val="24"/>
        </w:rPr>
        <w:t xml:space="preserve"> </w:t>
      </w:r>
      <w:r w:rsidR="007A0293" w:rsidRPr="00925D63">
        <w:rPr>
          <w:rFonts w:cstheme="minorHAnsi"/>
          <w:sz w:val="24"/>
          <w:szCs w:val="24"/>
        </w:rPr>
        <w:t xml:space="preserve">and </w:t>
      </w:r>
      <w:r>
        <w:rPr>
          <w:rFonts w:cstheme="minorHAnsi"/>
          <w:sz w:val="24"/>
          <w:szCs w:val="24"/>
        </w:rPr>
        <w:t>p</w:t>
      </w:r>
      <w:r w:rsidR="007A0293" w:rsidRPr="00925D63">
        <w:rPr>
          <w:rFonts w:cstheme="minorHAnsi"/>
          <w:sz w:val="24"/>
          <w:szCs w:val="24"/>
        </w:rPr>
        <w:t xml:space="preserve">ermission has been granted for this version to appear in </w:t>
      </w:r>
      <w:hyperlink r:id="rId10" w:history="1">
        <w:proofErr w:type="spellStart"/>
        <w:r w:rsidR="007A0293" w:rsidRPr="00925D63">
          <w:rPr>
            <w:rFonts w:cstheme="minorHAnsi"/>
            <w:color w:val="0563C1" w:themeColor="hyperlink"/>
            <w:sz w:val="24"/>
            <w:szCs w:val="24"/>
            <w:u w:val="single"/>
          </w:rPr>
          <w:t>e-Publications@Marquette</w:t>
        </w:r>
        <w:proofErr w:type="spellEnd"/>
      </w:hyperlink>
      <w:r w:rsidR="007A0293" w:rsidRPr="00925D63">
        <w:rPr>
          <w:rFonts w:cstheme="minorHAnsi"/>
          <w:sz w:val="24"/>
          <w:szCs w:val="24"/>
        </w:rPr>
        <w:t xml:space="preserve">. </w:t>
      </w:r>
      <w:r>
        <w:rPr>
          <w:rFonts w:cstheme="minorHAnsi"/>
          <w:sz w:val="24"/>
          <w:szCs w:val="24"/>
        </w:rPr>
        <w:t>American Chemical Society</w:t>
      </w:r>
      <w:r w:rsidR="007A0293" w:rsidRPr="00925D63">
        <w:rPr>
          <w:rFonts w:cstheme="minorHAnsi"/>
          <w:sz w:val="24"/>
          <w:szCs w:val="24"/>
        </w:rPr>
        <w:t xml:space="preserve"> does not grant permission for this article to be further copied/distributed or hosted elsewhere without the express permission from </w:t>
      </w:r>
      <w:r>
        <w:rPr>
          <w:rFonts w:cstheme="minorHAnsi"/>
          <w:sz w:val="24"/>
          <w:szCs w:val="24"/>
        </w:rPr>
        <w:t>American Chemical Society</w:t>
      </w:r>
      <w:r w:rsidR="007A0293" w:rsidRPr="00925D63">
        <w:rPr>
          <w:rFonts w:cstheme="minorHAnsi"/>
          <w:sz w:val="24"/>
          <w:szCs w:val="24"/>
        </w:rPr>
        <w:t>.</w:t>
      </w:r>
    </w:p>
    <w:p w14:paraId="51C85A48" w14:textId="77777777" w:rsidR="00F46F9B" w:rsidRDefault="00F46F9B" w:rsidP="007A0293">
      <w:pPr>
        <w:rPr>
          <w:rFonts w:cstheme="minorHAnsi"/>
          <w:sz w:val="24"/>
          <w:szCs w:val="24"/>
        </w:rPr>
      </w:pPr>
    </w:p>
    <w:p w14:paraId="7B7288AC" w14:textId="77777777" w:rsidR="007A0293" w:rsidRPr="007A0293" w:rsidRDefault="007A0293" w:rsidP="007A0293">
      <w:pPr>
        <w:pStyle w:val="Title"/>
      </w:pPr>
      <w:r w:rsidRPr="007A0293">
        <w:rPr>
          <w:rStyle w:val="hlfld-title"/>
        </w:rPr>
        <w:t xml:space="preserve">Design and Evaluation of </w:t>
      </w:r>
      <w:proofErr w:type="spellStart"/>
      <w:r w:rsidRPr="007A0293">
        <w:rPr>
          <w:rStyle w:val="hlfld-title"/>
        </w:rPr>
        <w:t>Heterobivalent</w:t>
      </w:r>
      <w:proofErr w:type="spellEnd"/>
      <w:r w:rsidRPr="007A0293">
        <w:rPr>
          <w:rStyle w:val="hlfld-title"/>
        </w:rPr>
        <w:t xml:space="preserve"> PAR1–PAR2 Ligands as Antagonists of Calcium Mobilization</w:t>
      </w:r>
    </w:p>
    <w:p w14:paraId="71165637" w14:textId="75D762EC" w:rsidR="00767B55" w:rsidRDefault="00767B55"/>
    <w:p w14:paraId="62FAE7D3" w14:textId="04531B5C" w:rsidR="007A0293" w:rsidRPr="00F46F9B" w:rsidRDefault="007A0293" w:rsidP="00F46F9B">
      <w:pPr>
        <w:pStyle w:val="NoSpacing"/>
        <w:rPr>
          <w:sz w:val="32"/>
        </w:rPr>
      </w:pPr>
      <w:r w:rsidRPr="00F46F9B">
        <w:rPr>
          <w:sz w:val="32"/>
        </w:rPr>
        <w:t>Mark W. Majewski</w:t>
      </w:r>
    </w:p>
    <w:p w14:paraId="034D4323" w14:textId="74341BC1" w:rsidR="007A0293" w:rsidRPr="00F46F9B" w:rsidRDefault="00AC67A8" w:rsidP="00F46F9B">
      <w:pPr>
        <w:pStyle w:val="NoSpacing"/>
      </w:pPr>
      <w:r w:rsidRPr="00F46F9B">
        <w:t>Department of Chemistry, Marquette University, Milwaukee, WI</w:t>
      </w:r>
    </w:p>
    <w:p w14:paraId="6566782B" w14:textId="0E19A331" w:rsidR="007A0293" w:rsidRPr="00F46F9B" w:rsidRDefault="007A0293" w:rsidP="00F46F9B">
      <w:pPr>
        <w:pStyle w:val="NoSpacing"/>
        <w:rPr>
          <w:sz w:val="32"/>
        </w:rPr>
      </w:pPr>
      <w:r w:rsidRPr="00F46F9B">
        <w:rPr>
          <w:sz w:val="32"/>
        </w:rPr>
        <w:t>Disha M. Gandhi</w:t>
      </w:r>
    </w:p>
    <w:p w14:paraId="08964DD2" w14:textId="55513E36" w:rsidR="00AC67A8" w:rsidRPr="00F46F9B" w:rsidRDefault="00AC67A8" w:rsidP="00F46F9B">
      <w:pPr>
        <w:pStyle w:val="NoSpacing"/>
      </w:pPr>
      <w:r w:rsidRPr="00F46F9B">
        <w:t>Department of Chemistry, Marquette University, Milwaukee, WI</w:t>
      </w:r>
    </w:p>
    <w:p w14:paraId="3DA73DEF" w14:textId="28CC8A7D" w:rsidR="007A0293" w:rsidRPr="00F46F9B" w:rsidRDefault="007A0293" w:rsidP="00F46F9B">
      <w:pPr>
        <w:pStyle w:val="NoSpacing"/>
        <w:rPr>
          <w:sz w:val="32"/>
        </w:rPr>
      </w:pPr>
      <w:r w:rsidRPr="00F46F9B">
        <w:rPr>
          <w:sz w:val="32"/>
        </w:rPr>
        <w:t xml:space="preserve">Ricardo </w:t>
      </w:r>
      <w:proofErr w:type="spellStart"/>
      <w:r w:rsidRPr="00F46F9B">
        <w:rPr>
          <w:sz w:val="32"/>
        </w:rPr>
        <w:t>Roasas</w:t>
      </w:r>
      <w:proofErr w:type="spellEnd"/>
      <w:r w:rsidRPr="00F46F9B">
        <w:rPr>
          <w:sz w:val="32"/>
        </w:rPr>
        <w:t>, Jr.</w:t>
      </w:r>
    </w:p>
    <w:p w14:paraId="49E9B454" w14:textId="16A58C64" w:rsidR="00AC67A8" w:rsidRPr="00F46F9B" w:rsidRDefault="00AC67A8" w:rsidP="00F46F9B">
      <w:pPr>
        <w:pStyle w:val="NoSpacing"/>
      </w:pPr>
      <w:r w:rsidRPr="00F46F9B">
        <w:t>Department of Chemistry, Marquette University, Milwaukee, WI</w:t>
      </w:r>
    </w:p>
    <w:p w14:paraId="1B1C9AEA" w14:textId="680797F1" w:rsidR="007A0293" w:rsidRPr="00F46F9B" w:rsidRDefault="007A0293" w:rsidP="00F46F9B">
      <w:pPr>
        <w:pStyle w:val="NoSpacing"/>
        <w:rPr>
          <w:sz w:val="32"/>
        </w:rPr>
      </w:pPr>
      <w:r w:rsidRPr="00F46F9B">
        <w:rPr>
          <w:sz w:val="32"/>
        </w:rPr>
        <w:t xml:space="preserve">Revathi </w:t>
      </w:r>
      <w:proofErr w:type="spellStart"/>
      <w:r w:rsidRPr="00F46F9B">
        <w:rPr>
          <w:sz w:val="32"/>
        </w:rPr>
        <w:t>Kodali</w:t>
      </w:r>
      <w:proofErr w:type="spellEnd"/>
    </w:p>
    <w:p w14:paraId="2D4A5A3D" w14:textId="187490FB" w:rsidR="00AC67A8" w:rsidRPr="00F46F9B" w:rsidRDefault="00AC67A8" w:rsidP="00F46F9B">
      <w:pPr>
        <w:pStyle w:val="NoSpacing"/>
      </w:pPr>
      <w:r w:rsidRPr="00F46F9B">
        <w:t>Department of Chemistry and Biochemistry, Milwaukee Institute for Drug Discovery, University of Wisconsin-Milwaukee, WI</w:t>
      </w:r>
    </w:p>
    <w:p w14:paraId="256C673C" w14:textId="4AEAB736" w:rsidR="007A0293" w:rsidRPr="00F46F9B" w:rsidRDefault="007A0293" w:rsidP="00F46F9B">
      <w:pPr>
        <w:pStyle w:val="NoSpacing"/>
        <w:rPr>
          <w:sz w:val="32"/>
        </w:rPr>
      </w:pPr>
      <w:r w:rsidRPr="00F46F9B">
        <w:rPr>
          <w:sz w:val="32"/>
        </w:rPr>
        <w:t>Leggy. A. Arnold</w:t>
      </w:r>
    </w:p>
    <w:p w14:paraId="29837E24" w14:textId="7A2397ED" w:rsidR="00AC67A8" w:rsidRPr="00F46F9B" w:rsidRDefault="004242A8" w:rsidP="00F46F9B">
      <w:pPr>
        <w:pStyle w:val="NoSpacing"/>
      </w:pPr>
      <w:r w:rsidRPr="00F46F9B">
        <w:t>Department of Chemistry and Biochemistry, Milwaukee Institute for Drug Discovery, University of Wisconsin-Milwaukee, WI</w:t>
      </w:r>
    </w:p>
    <w:p w14:paraId="47A3066A" w14:textId="42886A2A" w:rsidR="007A0293" w:rsidRPr="00F46F9B" w:rsidRDefault="007A0293" w:rsidP="00F46F9B">
      <w:pPr>
        <w:pStyle w:val="NoSpacing"/>
        <w:rPr>
          <w:sz w:val="32"/>
        </w:rPr>
      </w:pPr>
      <w:r w:rsidRPr="00F46F9B">
        <w:rPr>
          <w:sz w:val="32"/>
        </w:rPr>
        <w:lastRenderedPageBreak/>
        <w:t>Chris Dockendorff</w:t>
      </w:r>
    </w:p>
    <w:p w14:paraId="33FBAD82" w14:textId="77777777" w:rsidR="004242A8" w:rsidRPr="00F46F9B" w:rsidRDefault="004242A8" w:rsidP="00F46F9B">
      <w:pPr>
        <w:pStyle w:val="NoSpacing"/>
      </w:pPr>
      <w:r w:rsidRPr="00F46F9B">
        <w:t>Department of Chemistry, Marquette University, Milwaukee, WI</w:t>
      </w:r>
    </w:p>
    <w:p w14:paraId="065DABE5" w14:textId="593C1410" w:rsidR="004242A8" w:rsidRDefault="004242A8">
      <w:pPr>
        <w:rPr>
          <w:rFonts w:asciiTheme="majorHAnsi" w:hAnsiTheme="majorHAnsi" w:cstheme="majorHAnsi"/>
          <w:sz w:val="28"/>
        </w:rPr>
      </w:pPr>
    </w:p>
    <w:p w14:paraId="4E997E39" w14:textId="77777777" w:rsidR="004242A8" w:rsidRDefault="004242A8" w:rsidP="004242A8">
      <w:pPr>
        <w:pStyle w:val="Heading1"/>
      </w:pPr>
      <w:r>
        <w:t>Abstract</w:t>
      </w:r>
    </w:p>
    <w:p w14:paraId="70DAA0B9" w14:textId="5A69F6D4" w:rsidR="004242A8" w:rsidRDefault="004242A8">
      <w:pPr>
        <w:rPr>
          <w:rFonts w:asciiTheme="majorHAnsi" w:hAnsiTheme="majorHAnsi" w:cstheme="majorHAnsi"/>
          <w:sz w:val="28"/>
        </w:rPr>
      </w:pPr>
      <w:r>
        <w:rPr>
          <w:noProof/>
        </w:rPr>
        <w:drawing>
          <wp:inline distT="0" distB="0" distL="0" distR="0" wp14:anchorId="6609441E" wp14:editId="0E3C5C84">
            <wp:extent cx="3657600" cy="2039112"/>
            <wp:effectExtent l="0" t="0" r="0" b="0"/>
            <wp:docPr id="1" name="Picture 1" descr="Abstract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stract Ima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039112"/>
                    </a:xfrm>
                    <a:prstGeom prst="rect">
                      <a:avLst/>
                    </a:prstGeom>
                    <a:noFill/>
                    <a:ln>
                      <a:noFill/>
                    </a:ln>
                  </pic:spPr>
                </pic:pic>
              </a:graphicData>
            </a:graphic>
          </wp:inline>
        </w:drawing>
      </w:r>
    </w:p>
    <w:p w14:paraId="2E2F0BEB" w14:textId="44E42DA6" w:rsidR="004242A8" w:rsidRDefault="004242A8" w:rsidP="004242A8">
      <w:r w:rsidRPr="004242A8">
        <w:t xml:space="preserve">A novel class of bivalent ligands targeting putative protease-activated receptor (PAR) </w:t>
      </w:r>
      <w:proofErr w:type="spellStart"/>
      <w:r w:rsidRPr="004242A8">
        <w:t>heteromers</w:t>
      </w:r>
      <w:proofErr w:type="spellEnd"/>
      <w:r w:rsidRPr="004242A8">
        <w:t xml:space="preserve"> has been prepared based upon reported antagonists for the subtypes PAR1 and PAR2. Modified versions of the PAR1 antagonist RWJ-58259 containing alkyne adapters were connected via cycloaddition reactions to </w:t>
      </w:r>
      <w:proofErr w:type="spellStart"/>
      <w:r w:rsidRPr="004242A8">
        <w:t>azide</w:t>
      </w:r>
      <w:proofErr w:type="spellEnd"/>
      <w:r w:rsidRPr="004242A8">
        <w:t xml:space="preserve">-capped polyethylene glycol (PEG) spacers attached to </w:t>
      </w:r>
      <w:proofErr w:type="spellStart"/>
      <w:r w:rsidRPr="004242A8">
        <w:t>imidazopyridazine</w:t>
      </w:r>
      <w:proofErr w:type="spellEnd"/>
      <w:r w:rsidRPr="004242A8">
        <w:t>-based PAR2 antagonists. Initial studies of the PAR1–PAR2 antagonists indicated that they inhibited G alpha q-mediated calcium mobilization in endothelial and cancer cells driven by both PAR1 and PAR2 agonists. Compounds of this novel class hold promise for the prevention of restenosis, cancer cell metastasis, and other proliferative disorders.</w:t>
      </w:r>
    </w:p>
    <w:p w14:paraId="11D96D52" w14:textId="77777777" w:rsidR="004242A8" w:rsidRPr="004242A8" w:rsidRDefault="004242A8" w:rsidP="004242A8">
      <w:pPr>
        <w:rPr>
          <w:b/>
          <w:bCs/>
        </w:rPr>
      </w:pPr>
      <w:r w:rsidRPr="004242A8">
        <w:rPr>
          <w:b/>
          <w:bCs/>
        </w:rPr>
        <w:t>Keywords: </w:t>
      </w:r>
    </w:p>
    <w:p w14:paraId="00B807FC" w14:textId="0AA0AC1D" w:rsidR="004242A8" w:rsidRDefault="00AE1F85" w:rsidP="004242A8">
      <w:hyperlink r:id="rId12" w:history="1">
        <w:r w:rsidR="004242A8" w:rsidRPr="004242A8">
          <w:rPr>
            <w:rStyle w:val="Hyperlink"/>
            <w:b/>
            <w:bCs/>
          </w:rPr>
          <w:t>Bivalent ligand</w:t>
        </w:r>
      </w:hyperlink>
      <w:r w:rsidR="004242A8" w:rsidRPr="004242A8">
        <w:t>; </w:t>
      </w:r>
      <w:hyperlink r:id="rId13" w:history="1">
        <w:r w:rsidR="004242A8" w:rsidRPr="004242A8">
          <w:rPr>
            <w:rStyle w:val="Hyperlink"/>
            <w:b/>
            <w:bCs/>
          </w:rPr>
          <w:t>calcium mobilization</w:t>
        </w:r>
      </w:hyperlink>
      <w:r w:rsidR="004242A8" w:rsidRPr="004242A8">
        <w:t>; </w:t>
      </w:r>
      <w:hyperlink r:id="rId14" w:history="1">
        <w:r w:rsidR="004242A8" w:rsidRPr="004242A8">
          <w:rPr>
            <w:rStyle w:val="Hyperlink"/>
            <w:b/>
            <w:bCs/>
          </w:rPr>
          <w:t>metastasis</w:t>
        </w:r>
      </w:hyperlink>
      <w:r w:rsidR="004242A8" w:rsidRPr="004242A8">
        <w:t>; </w:t>
      </w:r>
      <w:hyperlink r:id="rId15" w:history="1">
        <w:r w:rsidR="004242A8" w:rsidRPr="004242A8">
          <w:rPr>
            <w:rStyle w:val="Hyperlink"/>
            <w:b/>
            <w:bCs/>
          </w:rPr>
          <w:t>PAR1 antagonist</w:t>
        </w:r>
      </w:hyperlink>
      <w:r w:rsidR="004242A8" w:rsidRPr="004242A8">
        <w:t>; </w:t>
      </w:r>
      <w:hyperlink r:id="rId16" w:history="1">
        <w:r w:rsidR="004242A8" w:rsidRPr="004242A8">
          <w:rPr>
            <w:rStyle w:val="Hyperlink"/>
            <w:b/>
            <w:bCs/>
          </w:rPr>
          <w:t>PAR2 antagonist</w:t>
        </w:r>
      </w:hyperlink>
      <w:r w:rsidR="004242A8" w:rsidRPr="004242A8">
        <w:t>; </w:t>
      </w:r>
      <w:hyperlink r:id="rId17" w:history="1">
        <w:r w:rsidR="004242A8" w:rsidRPr="004242A8">
          <w:rPr>
            <w:rStyle w:val="Hyperlink"/>
            <w:b/>
            <w:bCs/>
          </w:rPr>
          <w:t>protease-activated receptor</w:t>
        </w:r>
      </w:hyperlink>
      <w:r w:rsidR="004242A8" w:rsidRPr="004242A8">
        <w:t>; </w:t>
      </w:r>
      <w:hyperlink r:id="rId18" w:history="1">
        <w:r w:rsidR="004242A8" w:rsidRPr="004242A8">
          <w:rPr>
            <w:rStyle w:val="Hyperlink"/>
            <w:b/>
            <w:bCs/>
          </w:rPr>
          <w:t>restenosis</w:t>
        </w:r>
      </w:hyperlink>
    </w:p>
    <w:p w14:paraId="2A38346B" w14:textId="77777777" w:rsidR="004242A8" w:rsidRPr="004242A8" w:rsidRDefault="004242A8" w:rsidP="00A56E38">
      <w:pPr>
        <w:ind w:firstLine="720"/>
      </w:pPr>
      <w:r w:rsidRPr="004242A8">
        <w:t>Protease-activated receptors (PARs) are a unique family of class A G-protein-coupled receptors (GPCRs) that are activated by extracellular proteases, which reveal a tethered ligand at the N-terminus.</w:t>
      </w:r>
      <w:hyperlink r:id="rId19" w:history="1">
        <w:r w:rsidRPr="00A56E38">
          <w:rPr>
            <w:rStyle w:val="Hyperlink"/>
            <w:vertAlign w:val="superscript"/>
          </w:rPr>
          <w:t>(1,2)</w:t>
        </w:r>
      </w:hyperlink>
      <w:r w:rsidRPr="004242A8">
        <w:t> Self-activation of PARs by their tethered ligand agonists leads to a wide range of cellular responses, in part due to the fact that PARs are highly expressed in different tissues with varying signaling components; they can also be activated by different proteases that cleave at different locations on the N-terminus.</w:t>
      </w:r>
      <w:hyperlink r:id="rId20" w:history="1">
        <w:r w:rsidRPr="00A56E38">
          <w:rPr>
            <w:rStyle w:val="Hyperlink"/>
            <w:vertAlign w:val="superscript"/>
          </w:rPr>
          <w:t>(3)</w:t>
        </w:r>
      </w:hyperlink>
      <w:r w:rsidRPr="004242A8">
        <w:t xml:space="preserve"> The unusual complexity of PAR-mediated signaling is further increased by the potential for PARs and other GPCRs to form </w:t>
      </w:r>
      <w:proofErr w:type="spellStart"/>
      <w:r w:rsidRPr="004242A8">
        <w:t>multireceptor</w:t>
      </w:r>
      <w:proofErr w:type="spellEnd"/>
      <w:r w:rsidRPr="004242A8">
        <w:t xml:space="preserve"> complexes in cell membranes.</w:t>
      </w:r>
      <w:hyperlink r:id="rId21" w:history="1">
        <w:r w:rsidRPr="00A56E38">
          <w:rPr>
            <w:rStyle w:val="Hyperlink"/>
            <w:vertAlign w:val="superscript"/>
          </w:rPr>
          <w:t>(4)</w:t>
        </w:r>
      </w:hyperlink>
      <w:r w:rsidRPr="004242A8">
        <w:t> More specifically, evidence has emerged in recent years that PARs form homomeric and heteromeric complexes among the four different PAR subtypes, and the signals mediated by these complexes are distinct from those of the monomers.</w:t>
      </w:r>
      <w:hyperlink r:id="rId22" w:history="1">
        <w:r w:rsidRPr="00A56E38">
          <w:rPr>
            <w:rStyle w:val="Hyperlink"/>
            <w:vertAlign w:val="superscript"/>
          </w:rPr>
          <w:t>(5−7)</w:t>
        </w:r>
      </w:hyperlink>
      <w:r w:rsidRPr="004242A8">
        <w:t> Additionally, the N-terminus of one PAR subtype can directly activate a neighboring PAR.</w:t>
      </w:r>
      <w:hyperlink r:id="rId23" w:history="1">
        <w:r w:rsidRPr="00A56E38">
          <w:rPr>
            <w:rStyle w:val="Hyperlink"/>
            <w:vertAlign w:val="superscript"/>
          </w:rPr>
          <w:t>(8)</w:t>
        </w:r>
      </w:hyperlink>
    </w:p>
    <w:p w14:paraId="493FC476" w14:textId="77777777" w:rsidR="004242A8" w:rsidRPr="004242A8" w:rsidRDefault="004242A8" w:rsidP="00A56E38">
      <w:pPr>
        <w:ind w:firstLine="720"/>
      </w:pPr>
      <w:r w:rsidRPr="004242A8">
        <w:t>The range of productive and pathological signaling for which PARs have been implicated has prompted their study as potential targets for numerous indications, including thrombosis, inflammation, stroke, kidney disease, reperfusion injury, and cancer cell metastasis (vide infra). Despite their therapeutic promise, to our knowledge only a few PAR modulators have thus far reached clinical stages, all as antithrombotic agents inhibiting platelet activation.</w:t>
      </w:r>
      <w:hyperlink r:id="rId24" w:history="1">
        <w:r w:rsidRPr="00A56E38">
          <w:rPr>
            <w:rStyle w:val="Hyperlink"/>
            <w:vertAlign w:val="superscript"/>
          </w:rPr>
          <w:t>(9−12)</w:t>
        </w:r>
      </w:hyperlink>
    </w:p>
    <w:p w14:paraId="2E60C9AC" w14:textId="77777777" w:rsidR="004242A8" w:rsidRPr="004242A8" w:rsidRDefault="004242A8" w:rsidP="00A56E38">
      <w:pPr>
        <w:ind w:firstLine="720"/>
      </w:pPr>
      <w:r w:rsidRPr="004242A8">
        <w:t>The present lack of clinical PAR modulators for other indications may reflect in part the pleiotropic signaling of PARs, which may complicate the selective inhibition of pathological signals without adversely affecting normal signaling. For example, PAR1 antagonists may prevent thrombosis via inhibition of PAR1 on platelets, while concurrently interfering with endothelial barrier integrity by inhibiting normal PAR1 signaling in endothelium. This has inspired our recent efforts to identify biased ligands that may inhibit or activate only a subset of PAR1-mediated signaling pathways.</w:t>
      </w:r>
      <w:hyperlink r:id="rId25" w:history="1">
        <w:r w:rsidRPr="00A56E38">
          <w:rPr>
            <w:rStyle w:val="Hyperlink"/>
            <w:vertAlign w:val="superscript"/>
          </w:rPr>
          <w:t>(13−15)</w:t>
        </w:r>
      </w:hyperlink>
    </w:p>
    <w:p w14:paraId="5225870D" w14:textId="77777777" w:rsidR="004242A8" w:rsidRPr="004242A8" w:rsidRDefault="004242A8" w:rsidP="00A56E38">
      <w:pPr>
        <w:ind w:firstLine="720"/>
      </w:pPr>
      <w:r w:rsidRPr="004242A8">
        <w:t xml:space="preserve">An alternative therapeutic approach could utilize </w:t>
      </w:r>
      <w:proofErr w:type="spellStart"/>
      <w:r w:rsidRPr="004242A8">
        <w:t>heterobivalent</w:t>
      </w:r>
      <w:proofErr w:type="spellEnd"/>
      <w:r w:rsidRPr="004242A8">
        <w:t xml:space="preserve"> ligands to selectively target the differential signaling mediated by PAR heteromeric complexes (</w:t>
      </w:r>
      <w:hyperlink r:id="rId26" w:anchor="fig1" w:history="1">
        <w:r w:rsidRPr="004242A8">
          <w:rPr>
            <w:rStyle w:val="Hyperlink"/>
          </w:rPr>
          <w:t>Figure </w:t>
        </w:r>
      </w:hyperlink>
      <w:hyperlink r:id="rId27" w:anchor="fig1" w:history="1">
        <w:r w:rsidRPr="004242A8">
          <w:rPr>
            <w:rStyle w:val="Hyperlink"/>
          </w:rPr>
          <w:t>1</w:t>
        </w:r>
      </w:hyperlink>
      <w:r w:rsidRPr="004242A8">
        <w:t xml:space="preserve">). To our knowledge, no ligands selective for PAR </w:t>
      </w:r>
      <w:proofErr w:type="spellStart"/>
      <w:r w:rsidRPr="004242A8">
        <w:t>heteromers</w:t>
      </w:r>
      <w:proofErr w:type="spellEnd"/>
      <w:r w:rsidRPr="004242A8">
        <w:t xml:space="preserve"> have been reported. Evidence has been accumulating in recent years that GPCRs frequently form oligomers in vitro, but the in vivo relevance of these oligomers has been harder to quantify, in part due to a lack of adequate chemical tools.</w:t>
      </w:r>
      <w:hyperlink r:id="rId28" w:history="1">
        <w:r w:rsidRPr="00A56E38">
          <w:rPr>
            <w:rStyle w:val="Hyperlink"/>
            <w:vertAlign w:val="superscript"/>
          </w:rPr>
          <w:t>(4)</w:t>
        </w:r>
      </w:hyperlink>
      <w:r w:rsidRPr="004242A8">
        <w:t xml:space="preserve"> The concept of bivalent ligands for multimeric GPCRs was pioneered by </w:t>
      </w:r>
      <w:proofErr w:type="spellStart"/>
      <w:r w:rsidRPr="004242A8">
        <w:t>Portoghese</w:t>
      </w:r>
      <w:proofErr w:type="spellEnd"/>
      <w:r w:rsidRPr="004242A8">
        <w:t xml:space="preserve"> nearly 40 years ago,</w:t>
      </w:r>
      <w:hyperlink r:id="rId29" w:history="1">
        <w:r w:rsidRPr="00A56E38">
          <w:rPr>
            <w:rStyle w:val="Hyperlink"/>
            <w:vertAlign w:val="superscript"/>
          </w:rPr>
          <w:t>(16)</w:t>
        </w:r>
      </w:hyperlink>
      <w:r w:rsidRPr="004242A8">
        <w:t> and this strategy has been used to generate compounds primarily for the study of CNS GPCRs.</w:t>
      </w:r>
      <w:hyperlink r:id="rId30" w:history="1">
        <w:r w:rsidRPr="00A56E38">
          <w:rPr>
            <w:rStyle w:val="Hyperlink"/>
            <w:vertAlign w:val="superscript"/>
          </w:rPr>
          <w:t>(17,18)</w:t>
        </w:r>
      </w:hyperlink>
      <w:r w:rsidRPr="004242A8">
        <w:t> Recently, promising in vivo data have been obtained that suggest that bivalent ligands can modulate GPCRs in a manner distinct from that of their monovalent counterparts.</w:t>
      </w:r>
      <w:hyperlink r:id="rId31" w:history="1">
        <w:r w:rsidRPr="00A56E38">
          <w:rPr>
            <w:rStyle w:val="Hyperlink"/>
            <w:vertAlign w:val="superscript"/>
          </w:rPr>
          <w:t>(19−22)</w:t>
        </w:r>
      </w:hyperlink>
      <w:r w:rsidRPr="004242A8">
        <w:t xml:space="preserve"> This approach holds particular promise for PARs, as the differential tissue expression of PAR subtypes could permit tissue-selective targeting of PAR </w:t>
      </w:r>
      <w:proofErr w:type="spellStart"/>
      <w:r w:rsidRPr="004242A8">
        <w:t>heteromers</w:t>
      </w:r>
      <w:proofErr w:type="spellEnd"/>
      <w:r w:rsidRPr="004242A8">
        <w:t xml:space="preserve"> using </w:t>
      </w:r>
      <w:proofErr w:type="spellStart"/>
      <w:r w:rsidRPr="004242A8">
        <w:t>heterobivalent</w:t>
      </w:r>
      <w:proofErr w:type="spellEnd"/>
      <w:r w:rsidRPr="004242A8">
        <w:t xml:space="preserve"> ligands. This is best exemplified by the fact that PAR2 is not expressed on human platelets; therefore, we reasoned that PAR2-directed </w:t>
      </w:r>
      <w:proofErr w:type="spellStart"/>
      <w:r w:rsidRPr="004242A8">
        <w:t>heterobivalent</w:t>
      </w:r>
      <w:proofErr w:type="spellEnd"/>
      <w:r w:rsidRPr="004242A8">
        <w:t xml:space="preserve"> ligands could permit the selective modulation of signaling by PAR2-containing </w:t>
      </w:r>
      <w:proofErr w:type="spellStart"/>
      <w:r w:rsidRPr="004242A8">
        <w:t>heteromers</w:t>
      </w:r>
      <w:proofErr w:type="spellEnd"/>
      <w:r w:rsidRPr="004242A8">
        <w:t xml:space="preserve"> in vascular tissues without adversely affecting platelet activation and hemostasis.</w:t>
      </w:r>
    </w:p>
    <w:p w14:paraId="50F78F34" w14:textId="1B1E4CF0" w:rsidR="004242A8" w:rsidRDefault="004242A8" w:rsidP="00A56E38">
      <w:pPr>
        <w:spacing w:after="0"/>
      </w:pPr>
      <w:r>
        <w:rPr>
          <w:noProof/>
        </w:rPr>
        <w:drawing>
          <wp:inline distT="0" distB="0" distL="0" distR="0" wp14:anchorId="1154FF63" wp14:editId="644894C4">
            <wp:extent cx="3657600" cy="2011680"/>
            <wp:effectExtent l="0" t="0" r="0" b="7620"/>
            <wp:docPr id="3" name="Picture 3" descr="Figure 1. Proposed heterobivalent PAR liga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657600" cy="2011680"/>
                    </a:xfrm>
                    <a:prstGeom prst="rect">
                      <a:avLst/>
                    </a:prstGeom>
                    <a:noFill/>
                    <a:ln>
                      <a:noFill/>
                    </a:ln>
                  </pic:spPr>
                </pic:pic>
              </a:graphicData>
            </a:graphic>
          </wp:inline>
        </w:drawing>
      </w:r>
    </w:p>
    <w:p w14:paraId="747A62E9" w14:textId="6C8D78E8" w:rsidR="004242A8" w:rsidRDefault="004242A8" w:rsidP="004242A8">
      <w:r w:rsidRPr="004242A8">
        <w:t xml:space="preserve">Figure 1. Proposed </w:t>
      </w:r>
      <w:proofErr w:type="spellStart"/>
      <w:r w:rsidRPr="004242A8">
        <w:t>heterobivalent</w:t>
      </w:r>
      <w:proofErr w:type="spellEnd"/>
      <w:r w:rsidRPr="004242A8">
        <w:t xml:space="preserve"> PAR ligands.</w:t>
      </w:r>
    </w:p>
    <w:p w14:paraId="7CACB5E4" w14:textId="77777777" w:rsidR="004242A8" w:rsidRPr="004242A8" w:rsidRDefault="004242A8" w:rsidP="00A56E38">
      <w:pPr>
        <w:ind w:firstLine="720"/>
      </w:pPr>
      <w:r w:rsidRPr="004242A8">
        <w:t>Mueller and colleagues presented evidence that thrombin-enhanced migration of melanoma cells is driven by PAR1 and PAR2, in a manner consistent with the “direct transactivation” of PAR2 by thrombin-activated PAR1.</w:t>
      </w:r>
      <w:hyperlink r:id="rId33" w:history="1">
        <w:r w:rsidRPr="00A56E38">
          <w:rPr>
            <w:rStyle w:val="Hyperlink"/>
            <w:vertAlign w:val="superscript"/>
          </w:rPr>
          <w:t>(23)</w:t>
        </w:r>
      </w:hyperlink>
      <w:r w:rsidRPr="004242A8">
        <w:t> Bar-</w:t>
      </w:r>
      <w:proofErr w:type="spellStart"/>
      <w:r w:rsidRPr="004242A8">
        <w:t>Shavit</w:t>
      </w:r>
      <w:proofErr w:type="spellEnd"/>
      <w:r w:rsidRPr="004242A8">
        <w:t xml:space="preserve"> has also reported synergistic effects of PAR1 and PAR2 activation in tumor development</w:t>
      </w:r>
      <w:hyperlink r:id="rId34" w:history="1">
        <w:r w:rsidRPr="00A56E38">
          <w:rPr>
            <w:rStyle w:val="Hyperlink"/>
            <w:vertAlign w:val="superscript"/>
          </w:rPr>
          <w:t>(24,25)</w:t>
        </w:r>
      </w:hyperlink>
      <w:r w:rsidRPr="004242A8">
        <w:t> </w:t>
      </w:r>
      <w:proofErr w:type="spellStart"/>
      <w:r w:rsidRPr="004242A8">
        <w:t>Kuliopulos</w:t>
      </w:r>
      <w:proofErr w:type="spellEnd"/>
      <w:r w:rsidRPr="004242A8">
        <w:t xml:space="preserve"> reported that signaling by PAR1–PAR2 </w:t>
      </w:r>
      <w:proofErr w:type="spellStart"/>
      <w:r w:rsidRPr="004242A8">
        <w:t>heteromers</w:t>
      </w:r>
      <w:proofErr w:type="spellEnd"/>
      <w:r w:rsidRPr="004242A8">
        <w:t xml:space="preserve"> may be implicated in restenosis, the dangerous narrowing of blood vessels which occurs in a significant fraction of patients after percutaneous interventions (PCIs).</w:t>
      </w:r>
      <w:hyperlink r:id="rId35" w:history="1">
        <w:r w:rsidRPr="00A56E38">
          <w:rPr>
            <w:rStyle w:val="Hyperlink"/>
            <w:vertAlign w:val="superscript"/>
          </w:rPr>
          <w:t>(26)</w:t>
        </w:r>
      </w:hyperlink>
    </w:p>
    <w:p w14:paraId="08CAF806" w14:textId="00964D12" w:rsidR="004242A8" w:rsidRPr="004242A8" w:rsidRDefault="004242A8" w:rsidP="00A56E38">
      <w:pPr>
        <w:ind w:firstLine="720"/>
      </w:pPr>
      <w:r w:rsidRPr="004242A8">
        <w:t xml:space="preserve">We hypothesize that </w:t>
      </w:r>
      <w:proofErr w:type="spellStart"/>
      <w:r w:rsidRPr="004242A8">
        <w:t>heterobivalent</w:t>
      </w:r>
      <w:proofErr w:type="spellEnd"/>
      <w:r w:rsidRPr="004242A8">
        <w:t xml:space="preserve"> antagonists may act selectively at putative PAR1–PAR2 </w:t>
      </w:r>
      <w:proofErr w:type="spellStart"/>
      <w:r w:rsidRPr="004242A8">
        <w:t>heteromers</w:t>
      </w:r>
      <w:proofErr w:type="spellEnd"/>
      <w:r w:rsidRPr="004242A8">
        <w:t xml:space="preserve"> and thus may act to inhibit cancer cell metastasis and proliferative processes such as restenosis, while minimizing impacts on normal PAR signaling. PAR1 antagonists have been investigated for restenosis in animal models,</w:t>
      </w:r>
      <w:hyperlink r:id="rId36" w:history="1">
        <w:r w:rsidRPr="00A56E38">
          <w:rPr>
            <w:rStyle w:val="Hyperlink"/>
            <w:vertAlign w:val="superscript"/>
          </w:rPr>
          <w:t>(27,28)</w:t>
        </w:r>
      </w:hyperlink>
      <w:r w:rsidRPr="004242A8">
        <w:t> and individual PAR1</w:t>
      </w:r>
      <w:hyperlink r:id="rId37" w:history="1">
        <w:r w:rsidRPr="00A56E38">
          <w:rPr>
            <w:rStyle w:val="Hyperlink"/>
            <w:vertAlign w:val="superscript"/>
          </w:rPr>
          <w:t>(29,30)</w:t>
        </w:r>
      </w:hyperlink>
      <w:r w:rsidRPr="004242A8">
        <w:t> and PAR2</w:t>
      </w:r>
      <w:r w:rsidR="00A56E38">
        <w:t xml:space="preserve"> </w:t>
      </w:r>
      <w:hyperlink r:id="rId38" w:history="1">
        <w:r w:rsidRPr="00A56E38">
          <w:rPr>
            <w:rStyle w:val="Hyperlink"/>
            <w:vertAlign w:val="superscript"/>
          </w:rPr>
          <w:t>(31)</w:t>
        </w:r>
      </w:hyperlink>
      <w:r w:rsidR="00A56E38">
        <w:rPr>
          <w:rStyle w:val="Hyperlink"/>
          <w:vertAlign w:val="superscript"/>
        </w:rPr>
        <w:t xml:space="preserve"> </w:t>
      </w:r>
      <w:r w:rsidRPr="004242A8">
        <w:t>antagonists have been studied in cancer cell metastasis and invasion. To our knowledge, however, none of these studies has progressed to clinical stages for these indications. One complication may arise from the fact that the tethered ligand of PAR1 can directly transactivate a neighboring PAR2 receptor, which could possibly happen even in the presence of a PAR1 antagonist.</w:t>
      </w:r>
      <w:hyperlink r:id="rId39" w:history="1">
        <w:r w:rsidRPr="00A56E38">
          <w:rPr>
            <w:rStyle w:val="Hyperlink"/>
            <w:vertAlign w:val="superscript"/>
          </w:rPr>
          <w:t>(8)</w:t>
        </w:r>
      </w:hyperlink>
      <w:r w:rsidRPr="004242A8">
        <w:t xml:space="preserve"> Together, these observations make the preparation of multivalent PAR ligands an attractive strategy with benefits that may extend beyond the administration of multiple separate ligands. Herein we describe our initial efforts toward the synthesis and study of </w:t>
      </w:r>
      <w:proofErr w:type="spellStart"/>
      <w:r w:rsidRPr="004242A8">
        <w:t>heterobivalent</w:t>
      </w:r>
      <w:proofErr w:type="spellEnd"/>
      <w:r w:rsidRPr="004242A8">
        <w:t xml:space="preserve"> ligands targeting PAR1 and PAR2.</w:t>
      </w:r>
    </w:p>
    <w:p w14:paraId="6D99ABF5" w14:textId="211763E3" w:rsidR="004242A8" w:rsidRPr="004242A8" w:rsidRDefault="004242A8" w:rsidP="00A56E38">
      <w:pPr>
        <w:ind w:firstLine="720"/>
      </w:pPr>
      <w:r w:rsidRPr="004242A8">
        <w:t xml:space="preserve">The primary considerations for the design of </w:t>
      </w:r>
      <w:proofErr w:type="spellStart"/>
      <w:r w:rsidRPr="004242A8">
        <w:t>heterobivalent</w:t>
      </w:r>
      <w:proofErr w:type="spellEnd"/>
      <w:r w:rsidRPr="004242A8">
        <w:t xml:space="preserve"> ligands are as follows: 1. What monovalent ligands should be used? 2. What spacers should be used to connect them? 3. Where should the spacer be attached to each ligand? Based on its published SAR data and potential for diverse modifications, we elected to utilize the PAR1 antagonist RWJ-58259 as the first PAR1 scaffold for our bivalent ligands</w:t>
      </w:r>
      <w:hyperlink r:id="rId40" w:history="1">
        <w:r w:rsidRPr="00A56E38">
          <w:rPr>
            <w:rStyle w:val="Hyperlink"/>
            <w:vertAlign w:val="superscript"/>
          </w:rPr>
          <w:t>(27,32)</w:t>
        </w:r>
      </w:hyperlink>
      <w:r w:rsidRPr="004242A8">
        <w:t xml:space="preserve"> and an </w:t>
      </w:r>
      <w:proofErr w:type="spellStart"/>
      <w:r w:rsidRPr="004242A8">
        <w:t>imidazopyridazine</w:t>
      </w:r>
      <w:proofErr w:type="spellEnd"/>
      <w:r w:rsidRPr="004242A8">
        <w:t xml:space="preserve"> scaffold reported by Vertex as the PAR2 antagonist.</w:t>
      </w:r>
      <w:hyperlink r:id="rId41" w:history="1">
        <w:r w:rsidRPr="00A56E38">
          <w:rPr>
            <w:rStyle w:val="Hyperlink"/>
            <w:vertAlign w:val="superscript"/>
          </w:rPr>
          <w:t>(33)</w:t>
        </w:r>
      </w:hyperlink>
      <w:r w:rsidRPr="004242A8">
        <w:t> To connect the ligands, we elected to first utilize commercially available polyethylene glycol (PEG)-based spacers with a variety of lengths, particularly for their beneficial physicochemical properties, especially increased water solubility. Also beneficial is the fact that bivalent ligands with PEG spacers with excess “slack” may pay less of an entropic penalty upon binding relative to those with more hydrophobic spacers,</w:t>
      </w:r>
      <w:hyperlink r:id="rId42" w:history="1">
        <w:r w:rsidRPr="00A56E38">
          <w:rPr>
            <w:rStyle w:val="Hyperlink"/>
            <w:vertAlign w:val="superscript"/>
          </w:rPr>
          <w:t>(34)</w:t>
        </w:r>
      </w:hyperlink>
      <w:r w:rsidRPr="004242A8">
        <w:t> presumably because hydrophilic PEGs can maintain flexibility in water and do not require highly ordered solvation shells. The use of commercially available amino-PEG-</w:t>
      </w:r>
      <w:proofErr w:type="spellStart"/>
      <w:r w:rsidRPr="004242A8">
        <w:t>azide</w:t>
      </w:r>
      <w:proofErr w:type="spellEnd"/>
      <w:r w:rsidRPr="004242A8">
        <w:t xml:space="preserve"> spacers permits convenient copper-catalyzed alkyne/</w:t>
      </w:r>
      <w:proofErr w:type="spellStart"/>
      <w:r w:rsidRPr="004242A8">
        <w:t>azide</w:t>
      </w:r>
      <w:proofErr w:type="spellEnd"/>
      <w:r w:rsidRPr="004242A8">
        <w:t xml:space="preserve"> cycloadditions (</w:t>
      </w:r>
      <w:proofErr w:type="spellStart"/>
      <w:r w:rsidRPr="004242A8">
        <w:t>CuAAC</w:t>
      </w:r>
      <w:proofErr w:type="spellEnd"/>
      <w:r w:rsidRPr="004242A8">
        <w:t>), suitable for the connection of two appropriately functionalized ligands via the PEG spacer under diverse conditions.</w:t>
      </w:r>
      <w:hyperlink r:id="rId43" w:history="1">
        <w:r w:rsidRPr="00A56E38">
          <w:rPr>
            <w:rStyle w:val="Hyperlink"/>
            <w:vertAlign w:val="superscript"/>
          </w:rPr>
          <w:t>(35)</w:t>
        </w:r>
      </w:hyperlink>
      <w:r w:rsidRPr="004242A8">
        <w:t> We recently reported the synthesis of an alkyne-tethered version of RWJ-58259, which retained significant potency at PAR1.</w:t>
      </w:r>
      <w:hyperlink r:id="rId44" w:history="1">
        <w:r w:rsidRPr="00A56E38">
          <w:rPr>
            <w:rStyle w:val="Hyperlink"/>
            <w:vertAlign w:val="superscript"/>
          </w:rPr>
          <w:t>(15)</w:t>
        </w:r>
      </w:hyperlink>
      <w:r w:rsidRPr="004242A8">
        <w:t xml:space="preserve"> Based on the SARs published for the </w:t>
      </w:r>
      <w:proofErr w:type="spellStart"/>
      <w:r w:rsidRPr="004242A8">
        <w:t>imidazopyridazine</w:t>
      </w:r>
      <w:proofErr w:type="spellEnd"/>
      <w:r w:rsidRPr="004242A8">
        <w:t xml:space="preserve"> reported by Vertex, we elected to prepare carboxyl-substituted versions of these PAR2 antagonists using the reported synthetic route (</w:t>
      </w:r>
      <w:hyperlink r:id="rId45" w:anchor="sch1" w:history="1">
        <w:r w:rsidRPr="004242A8">
          <w:rPr>
            <w:rStyle w:val="Hyperlink"/>
          </w:rPr>
          <w:t>Scheme </w:t>
        </w:r>
      </w:hyperlink>
      <w:hyperlink r:id="rId46" w:anchor="sch1" w:history="1">
        <w:r w:rsidRPr="004242A8">
          <w:rPr>
            <w:rStyle w:val="Hyperlink"/>
          </w:rPr>
          <w:t>1</w:t>
        </w:r>
      </w:hyperlink>
      <w:r w:rsidRPr="004242A8">
        <w:t>).</w:t>
      </w:r>
      <w:hyperlink r:id="rId47" w:history="1">
        <w:r w:rsidRPr="00A56E38">
          <w:rPr>
            <w:rStyle w:val="Hyperlink"/>
            <w:vertAlign w:val="superscript"/>
          </w:rPr>
          <w:t>(33)</w:t>
        </w:r>
      </w:hyperlink>
      <w:r w:rsidRPr="004242A8">
        <w:t> 3-Amino-6-chloropyridazine (</w:t>
      </w:r>
      <w:r w:rsidRPr="004242A8">
        <w:rPr>
          <w:b/>
          <w:bCs/>
        </w:rPr>
        <w:t>1</w:t>
      </w:r>
      <w:r w:rsidRPr="004242A8">
        <w:t xml:space="preserve">) was subjected to Suzuki coupling with 4-fluorophenylboronic acid to yield the </w:t>
      </w:r>
      <w:proofErr w:type="spellStart"/>
      <w:r w:rsidRPr="004242A8">
        <w:t>biarylamine</w:t>
      </w:r>
      <w:proofErr w:type="spellEnd"/>
      <w:r w:rsidRPr="004242A8">
        <w:t> </w:t>
      </w:r>
      <w:r w:rsidRPr="004242A8">
        <w:rPr>
          <w:b/>
          <w:bCs/>
        </w:rPr>
        <w:t>2</w:t>
      </w:r>
      <w:r w:rsidRPr="004242A8">
        <w:t xml:space="preserve">. </w:t>
      </w:r>
      <w:proofErr w:type="spellStart"/>
      <w:r w:rsidRPr="004242A8">
        <w:t>Bromination</w:t>
      </w:r>
      <w:proofErr w:type="spellEnd"/>
      <w:r w:rsidRPr="004242A8">
        <w:t xml:space="preserve"> followed by alkylation with </w:t>
      </w:r>
      <w:proofErr w:type="spellStart"/>
      <w:r w:rsidRPr="004242A8">
        <w:t>bromomethylpyruvate</w:t>
      </w:r>
      <w:proofErr w:type="spellEnd"/>
      <w:r w:rsidRPr="004242A8">
        <w:t xml:space="preserve"> yielded the </w:t>
      </w:r>
      <w:proofErr w:type="spellStart"/>
      <w:r w:rsidRPr="004242A8">
        <w:t>imidazopyridazine</w:t>
      </w:r>
      <w:proofErr w:type="spellEnd"/>
      <w:r w:rsidRPr="004242A8">
        <w:t> </w:t>
      </w:r>
      <w:r w:rsidRPr="004242A8">
        <w:rPr>
          <w:b/>
          <w:bCs/>
        </w:rPr>
        <w:t>4</w:t>
      </w:r>
      <w:r w:rsidRPr="004242A8">
        <w:t xml:space="preserve">. Suzuki coupling with the </w:t>
      </w:r>
      <w:proofErr w:type="spellStart"/>
      <w:r w:rsidRPr="004242A8">
        <w:t>propenylboronic</w:t>
      </w:r>
      <w:proofErr w:type="spellEnd"/>
      <w:r w:rsidRPr="004242A8">
        <w:t xml:space="preserve"> ester A gave </w:t>
      </w:r>
      <w:r w:rsidRPr="004242A8">
        <w:rPr>
          <w:b/>
          <w:bCs/>
        </w:rPr>
        <w:t>5</w:t>
      </w:r>
      <w:r w:rsidRPr="004242A8">
        <w:t>, and hydrogenation provided the ester </w:t>
      </w:r>
      <w:r w:rsidRPr="004242A8">
        <w:rPr>
          <w:b/>
          <w:bCs/>
        </w:rPr>
        <w:t>6</w:t>
      </w:r>
      <w:r w:rsidRPr="004242A8">
        <w:t>. Hydrolysis followed by coupling with piperazine B yielded amide </w:t>
      </w:r>
      <w:r w:rsidRPr="004242A8">
        <w:rPr>
          <w:b/>
          <w:bCs/>
        </w:rPr>
        <w:t>8</w:t>
      </w:r>
      <w:r w:rsidRPr="004242A8">
        <w:t xml:space="preserve">. Removal of the </w:t>
      </w:r>
      <w:proofErr w:type="spellStart"/>
      <w:r w:rsidRPr="004242A8">
        <w:t>Boc</w:t>
      </w:r>
      <w:proofErr w:type="spellEnd"/>
      <w:r w:rsidRPr="004242A8">
        <w:t xml:space="preserve"> group, coupling with succinic acid monomethyl ester, and hydrolysis of the resulting ester gave carboxylic acid </w:t>
      </w:r>
      <w:r w:rsidRPr="004242A8">
        <w:rPr>
          <w:b/>
          <w:bCs/>
        </w:rPr>
        <w:t>10a</w:t>
      </w:r>
      <w:r w:rsidRPr="004242A8">
        <w:t xml:space="preserve">. PAR2 antagonists containing an </w:t>
      </w:r>
      <w:proofErr w:type="spellStart"/>
      <w:r w:rsidRPr="004242A8">
        <w:t>arene</w:t>
      </w:r>
      <w:proofErr w:type="spellEnd"/>
      <w:r w:rsidRPr="004242A8">
        <w:t xml:space="preserve"> substituent in place of the isopropyl group of </w:t>
      </w:r>
      <w:r w:rsidRPr="004242A8">
        <w:rPr>
          <w:b/>
          <w:bCs/>
        </w:rPr>
        <w:t>10a</w:t>
      </w:r>
      <w:r w:rsidRPr="004242A8">
        <w:t> and a cyclohexyl carboxylic acid in place of the eastern ethylene group were among numerous analogs previously reported;</w:t>
      </w:r>
      <w:hyperlink r:id="rId48" w:history="1">
        <w:r w:rsidRPr="00A56E38">
          <w:rPr>
            <w:rStyle w:val="Hyperlink"/>
            <w:vertAlign w:val="superscript"/>
          </w:rPr>
          <w:t>(33)</w:t>
        </w:r>
      </w:hyperlink>
      <w:r w:rsidR="00A56E38">
        <w:rPr>
          <w:rStyle w:val="Hyperlink"/>
          <w:vertAlign w:val="superscript"/>
        </w:rPr>
        <w:t xml:space="preserve"> </w:t>
      </w:r>
      <w:r w:rsidRPr="004242A8">
        <w:t>therefore, carboxylic acid </w:t>
      </w:r>
      <w:r w:rsidRPr="004242A8">
        <w:rPr>
          <w:b/>
          <w:bCs/>
        </w:rPr>
        <w:t>10b</w:t>
      </w:r>
      <w:r w:rsidRPr="004242A8">
        <w:t> was additionally prepared (</w:t>
      </w:r>
      <w:hyperlink r:id="rId49" w:history="1">
        <w:r w:rsidRPr="004242A8">
          <w:rPr>
            <w:rStyle w:val="Hyperlink"/>
          </w:rPr>
          <w:t>Scheme S1</w:t>
        </w:r>
      </w:hyperlink>
      <w:r w:rsidRPr="004242A8">
        <w:t>). Both of the carboxylic acids </w:t>
      </w:r>
      <w:r w:rsidRPr="004242A8">
        <w:rPr>
          <w:b/>
          <w:bCs/>
        </w:rPr>
        <w:t>10a</w:t>
      </w:r>
      <w:r w:rsidRPr="004242A8">
        <w:t> and </w:t>
      </w:r>
      <w:r w:rsidRPr="004242A8">
        <w:rPr>
          <w:b/>
          <w:bCs/>
        </w:rPr>
        <w:t>10b</w:t>
      </w:r>
      <w:r w:rsidRPr="004242A8">
        <w:t> were confirmed to be highly potent antagonists of PAR2 (vide infra), so we proceeded to couple them to a variety of PEG-based spacers (</w:t>
      </w:r>
      <w:hyperlink r:id="rId50" w:anchor="sch2" w:history="1">
        <w:r w:rsidRPr="004242A8">
          <w:rPr>
            <w:rStyle w:val="Hyperlink"/>
          </w:rPr>
          <w:t>Schemes </w:t>
        </w:r>
      </w:hyperlink>
      <w:hyperlink r:id="rId51" w:anchor="sch2" w:history="1">
        <w:r w:rsidRPr="004242A8">
          <w:rPr>
            <w:rStyle w:val="Hyperlink"/>
          </w:rPr>
          <w:t>2</w:t>
        </w:r>
      </w:hyperlink>
      <w:r w:rsidRPr="004242A8">
        <w:t> and </w:t>
      </w:r>
      <w:hyperlink r:id="rId52" w:history="1">
        <w:r w:rsidRPr="004242A8">
          <w:rPr>
            <w:rStyle w:val="Hyperlink"/>
          </w:rPr>
          <w:t>S2</w:t>
        </w:r>
      </w:hyperlink>
      <w:r w:rsidRPr="004242A8">
        <w:t>). Amide coupling with amino(PEG)</w:t>
      </w:r>
      <w:proofErr w:type="spellStart"/>
      <w:r w:rsidRPr="004242A8">
        <w:t>azides</w:t>
      </w:r>
      <w:proofErr w:type="spellEnd"/>
      <w:r w:rsidRPr="004242A8">
        <w:t xml:space="preserve">, followed by </w:t>
      </w:r>
      <w:proofErr w:type="spellStart"/>
      <w:r w:rsidRPr="004242A8">
        <w:t>CuAAC</w:t>
      </w:r>
      <w:proofErr w:type="spellEnd"/>
      <w:r w:rsidRPr="00A56E38">
        <w:rPr>
          <w:vertAlign w:val="superscript"/>
        </w:rPr>
        <w:fldChar w:fldCharType="begin"/>
      </w:r>
      <w:r w:rsidRPr="00A56E38">
        <w:rPr>
          <w:vertAlign w:val="superscript"/>
        </w:rPr>
        <w:instrText xml:space="preserve"> HYPERLINK "javascript:void(0);" </w:instrText>
      </w:r>
      <w:r w:rsidRPr="00A56E38">
        <w:rPr>
          <w:vertAlign w:val="superscript"/>
        </w:rPr>
        <w:fldChar w:fldCharType="separate"/>
      </w:r>
      <w:r w:rsidRPr="00A56E38">
        <w:rPr>
          <w:rStyle w:val="Hyperlink"/>
          <w:vertAlign w:val="superscript"/>
        </w:rPr>
        <w:t>(36)</w:t>
      </w:r>
      <w:r w:rsidRPr="00A56E38">
        <w:rPr>
          <w:vertAlign w:val="superscript"/>
        </w:rPr>
        <w:fldChar w:fldCharType="end"/>
      </w:r>
      <w:r w:rsidRPr="004242A8">
        <w:t> with the previously synthesized RWJ-58259-based alkyne </w:t>
      </w:r>
      <w:r w:rsidRPr="004242A8">
        <w:rPr>
          <w:b/>
          <w:bCs/>
        </w:rPr>
        <w:t>DG-207</w:t>
      </w:r>
      <w:r w:rsidRPr="004242A8">
        <w:t>,</w:t>
      </w:r>
      <w:hyperlink r:id="rId53" w:history="1">
        <w:r w:rsidRPr="00A56E38">
          <w:rPr>
            <w:rStyle w:val="Hyperlink"/>
            <w:vertAlign w:val="superscript"/>
          </w:rPr>
          <w:t>(15)</w:t>
        </w:r>
      </w:hyperlink>
      <w:r w:rsidRPr="004242A8">
        <w:t xml:space="preserve"> yielded </w:t>
      </w:r>
      <w:proofErr w:type="spellStart"/>
      <w:r w:rsidRPr="004242A8">
        <w:t>heterobivalent</w:t>
      </w:r>
      <w:proofErr w:type="spellEnd"/>
      <w:r w:rsidRPr="004242A8">
        <w:t xml:space="preserve"> ligands </w:t>
      </w:r>
      <w:r w:rsidRPr="004242A8">
        <w:rPr>
          <w:b/>
          <w:bCs/>
        </w:rPr>
        <w:t>13a</w:t>
      </w:r>
      <w:r w:rsidRPr="004242A8">
        <w:t>–</w:t>
      </w:r>
      <w:r w:rsidRPr="004242A8">
        <w:rPr>
          <w:b/>
          <w:bCs/>
        </w:rPr>
        <w:t>d</w:t>
      </w:r>
      <w:r w:rsidRPr="004242A8">
        <w:t>. Control compounds </w:t>
      </w:r>
      <w:r w:rsidRPr="004242A8">
        <w:rPr>
          <w:b/>
          <w:bCs/>
        </w:rPr>
        <w:t>15</w:t>
      </w:r>
      <w:r w:rsidRPr="004242A8">
        <w:t>–</w:t>
      </w:r>
      <w:r w:rsidRPr="004242A8">
        <w:rPr>
          <w:b/>
          <w:bCs/>
        </w:rPr>
        <w:t>18</w:t>
      </w:r>
      <w:r w:rsidRPr="004242A8">
        <w:t> composed of the monovalent ligands with attached PEG spacers are depicted in </w:t>
      </w:r>
      <w:hyperlink r:id="rId54" w:history="1">
        <w:r w:rsidRPr="004242A8">
          <w:rPr>
            <w:rStyle w:val="Hyperlink"/>
          </w:rPr>
          <w:t>Figure S1</w:t>
        </w:r>
      </w:hyperlink>
      <w:r w:rsidRPr="004242A8">
        <w:t>.</w:t>
      </w:r>
    </w:p>
    <w:p w14:paraId="0A6446E8" w14:textId="17B49A8F" w:rsidR="004242A8" w:rsidRDefault="004242A8" w:rsidP="00A56E38">
      <w:pPr>
        <w:spacing w:after="0"/>
      </w:pPr>
      <w:r>
        <w:rPr>
          <w:noProof/>
        </w:rPr>
        <w:drawing>
          <wp:inline distT="0" distB="0" distL="0" distR="0" wp14:anchorId="4BB48054" wp14:editId="0802EF96">
            <wp:extent cx="4328606" cy="3990975"/>
            <wp:effectExtent l="0" t="0" r="0" b="0"/>
            <wp:docPr id="4" name="Picture 4" descr="Scheme 1. Synthesis of PAR2 Antagonist with Carboxylic Acid Adapter Based on Reported Imidazolopyridaz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333259" cy="3995266"/>
                    </a:xfrm>
                    <a:prstGeom prst="rect">
                      <a:avLst/>
                    </a:prstGeom>
                    <a:noFill/>
                    <a:ln>
                      <a:noFill/>
                    </a:ln>
                  </pic:spPr>
                </pic:pic>
              </a:graphicData>
            </a:graphic>
          </wp:inline>
        </w:drawing>
      </w:r>
    </w:p>
    <w:p w14:paraId="069A0CD6" w14:textId="65BE77F4" w:rsidR="004242A8" w:rsidRDefault="004242A8" w:rsidP="004242A8">
      <w:pPr>
        <w:rPr>
          <w:b/>
          <w:bCs/>
        </w:rPr>
      </w:pPr>
      <w:r w:rsidRPr="004242A8">
        <w:rPr>
          <w:b/>
          <w:bCs/>
        </w:rPr>
        <w:t xml:space="preserve">Scheme 1. Synthesis of PAR2 Antagonist with Carboxylic Acid Adapter Based on Reported </w:t>
      </w:r>
      <w:proofErr w:type="spellStart"/>
      <w:r w:rsidRPr="004242A8">
        <w:rPr>
          <w:b/>
          <w:bCs/>
        </w:rPr>
        <w:t>Imidazolopyridazines</w:t>
      </w:r>
      <w:proofErr w:type="spellEnd"/>
    </w:p>
    <w:p w14:paraId="570CB31E" w14:textId="77777777" w:rsidR="004242A8" w:rsidRDefault="004242A8" w:rsidP="004242A8">
      <w:pPr>
        <w:rPr>
          <w:b/>
          <w:bCs/>
        </w:rPr>
      </w:pPr>
    </w:p>
    <w:p w14:paraId="129259E8" w14:textId="1D4059D2" w:rsidR="004242A8" w:rsidRDefault="004242A8" w:rsidP="00A56E38">
      <w:pPr>
        <w:spacing w:after="0"/>
      </w:pPr>
      <w:r>
        <w:rPr>
          <w:noProof/>
        </w:rPr>
        <w:drawing>
          <wp:inline distT="0" distB="0" distL="0" distR="0" wp14:anchorId="03476BB0" wp14:editId="009CFA31">
            <wp:extent cx="3657600" cy="1161288"/>
            <wp:effectExtent l="0" t="0" r="0" b="1270"/>
            <wp:docPr id="5" name="Picture 5" descr="Scheme 2. Assembly of Heterobivalent PAR1–PAR2 Antagonis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ure"/>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3657600" cy="1161288"/>
                    </a:xfrm>
                    <a:prstGeom prst="rect">
                      <a:avLst/>
                    </a:prstGeom>
                    <a:noFill/>
                    <a:ln>
                      <a:noFill/>
                    </a:ln>
                  </pic:spPr>
                </pic:pic>
              </a:graphicData>
            </a:graphic>
          </wp:inline>
        </w:drawing>
      </w:r>
    </w:p>
    <w:p w14:paraId="48C2918C" w14:textId="50B2E864" w:rsidR="004242A8" w:rsidRDefault="004242A8" w:rsidP="004242A8">
      <w:pPr>
        <w:rPr>
          <w:b/>
          <w:bCs/>
        </w:rPr>
      </w:pPr>
      <w:r w:rsidRPr="004242A8">
        <w:rPr>
          <w:b/>
          <w:bCs/>
        </w:rPr>
        <w:t xml:space="preserve">Scheme 2. Assembly of </w:t>
      </w:r>
      <w:proofErr w:type="spellStart"/>
      <w:r w:rsidRPr="004242A8">
        <w:rPr>
          <w:b/>
          <w:bCs/>
        </w:rPr>
        <w:t>Heterobivalent</w:t>
      </w:r>
      <w:proofErr w:type="spellEnd"/>
      <w:r w:rsidRPr="004242A8">
        <w:rPr>
          <w:b/>
          <w:bCs/>
        </w:rPr>
        <w:t xml:space="preserve"> PAR1–PAR2 Antagonists</w:t>
      </w:r>
    </w:p>
    <w:p w14:paraId="7A8A2CDA" w14:textId="293A9F72" w:rsidR="004242A8" w:rsidRDefault="004242A8" w:rsidP="00A56E38">
      <w:pPr>
        <w:ind w:firstLine="720"/>
      </w:pPr>
      <w:r w:rsidRPr="004242A8">
        <w:t>During the course of our studies, Marshall and colleagues reported several X-ray crystal structures of modified PAR2, including a cocrystal of PAR2 with the inhibitor AZ3451 at an allosteric site at the side of the receptor.</w:t>
      </w:r>
      <w:hyperlink r:id="rId57" w:history="1">
        <w:r w:rsidRPr="00A56E38">
          <w:rPr>
            <w:rStyle w:val="Hyperlink"/>
            <w:vertAlign w:val="superscript"/>
          </w:rPr>
          <w:t>(37)</w:t>
        </w:r>
      </w:hyperlink>
      <w:r w:rsidRPr="004242A8">
        <w:t> The structural similarities between </w:t>
      </w:r>
      <w:r w:rsidRPr="004242A8">
        <w:rPr>
          <w:b/>
          <w:bCs/>
        </w:rPr>
        <w:t>10a</w:t>
      </w:r>
      <w:r w:rsidRPr="004242A8">
        <w:t> and AZ3451 led us to hypothesize that they may share a binding site on PAR2, which was supported by rigid protein docking studies (</w:t>
      </w:r>
      <w:hyperlink r:id="rId58" w:anchor="fig2" w:history="1">
        <w:r w:rsidRPr="004242A8">
          <w:rPr>
            <w:rStyle w:val="Hyperlink"/>
          </w:rPr>
          <w:t>Figure </w:t>
        </w:r>
      </w:hyperlink>
      <w:hyperlink r:id="rId59" w:anchor="fig2" w:history="1">
        <w:r w:rsidRPr="004242A8">
          <w:rPr>
            <w:rStyle w:val="Hyperlink"/>
          </w:rPr>
          <w:t>2</w:t>
        </w:r>
      </w:hyperlink>
      <w:r w:rsidRPr="004242A8">
        <w:t>a)</w:t>
      </w:r>
      <w:hyperlink r:id="rId60" w:history="1">
        <w:r w:rsidRPr="00A56E38">
          <w:rPr>
            <w:rStyle w:val="Hyperlink"/>
            <w:vertAlign w:val="superscript"/>
          </w:rPr>
          <w:t>(38)</w:t>
        </w:r>
      </w:hyperlink>
      <w:r w:rsidRPr="004242A8">
        <w:t xml:space="preserve"> and is consistent with the allosteric mode of inhibition recently reported by </w:t>
      </w:r>
      <w:proofErr w:type="spellStart"/>
      <w:r w:rsidRPr="004242A8">
        <w:t>Fairlie</w:t>
      </w:r>
      <w:proofErr w:type="spellEnd"/>
      <w:r w:rsidRPr="004242A8">
        <w:t xml:space="preserve"> for the Vertex</w:t>
      </w:r>
      <w:hyperlink r:id="rId61" w:history="1">
        <w:r w:rsidRPr="00A56E38">
          <w:rPr>
            <w:rStyle w:val="Hyperlink"/>
            <w:vertAlign w:val="superscript"/>
          </w:rPr>
          <w:t>(33)</w:t>
        </w:r>
      </w:hyperlink>
      <w:r w:rsidRPr="004242A8">
        <w:t> </w:t>
      </w:r>
      <w:proofErr w:type="spellStart"/>
      <w:r w:rsidRPr="004242A8">
        <w:t>imidazopyridazine</w:t>
      </w:r>
      <w:proofErr w:type="spellEnd"/>
      <w:r w:rsidRPr="004242A8">
        <w:t xml:space="preserve"> I-191.</w:t>
      </w:r>
      <w:hyperlink r:id="rId62" w:history="1">
        <w:r w:rsidRPr="00A56E38">
          <w:rPr>
            <w:rStyle w:val="Hyperlink"/>
            <w:vertAlign w:val="superscript"/>
          </w:rPr>
          <w:t>(39)</w:t>
        </w:r>
      </w:hyperlink>
      <w:r w:rsidRPr="004242A8">
        <w:t> Compound </w:t>
      </w:r>
      <w:r w:rsidRPr="004242A8">
        <w:rPr>
          <w:b/>
          <w:bCs/>
        </w:rPr>
        <w:t>10a</w:t>
      </w:r>
      <w:r w:rsidRPr="004242A8">
        <w:t> docks into the lipophilic pocket at the side of PAR2 in a similar pose to AZ3451, with both molecules possessing a heterocyclic nitrogen capable of accepting a hydrogen bond from Tyr210.</w:t>
      </w:r>
    </w:p>
    <w:p w14:paraId="4903B134" w14:textId="1A9EB2D2" w:rsidR="004242A8" w:rsidRDefault="004242A8" w:rsidP="00A56E38">
      <w:pPr>
        <w:spacing w:after="0"/>
      </w:pPr>
      <w:r>
        <w:rPr>
          <w:noProof/>
        </w:rPr>
        <w:drawing>
          <wp:inline distT="0" distB="0" distL="0" distR="0" wp14:anchorId="69EC7EFF" wp14:editId="29B60125">
            <wp:extent cx="3657600" cy="3310128"/>
            <wp:effectExtent l="0" t="0" r="0" b="5080"/>
            <wp:docPr id="6" name="Picture 6" descr="Figure 2. (A) X-ray structure of modified PAR2 with bound allosteric ligand AZ3451 (green) and docked ligand 10a (pink). (B) Novel bivalent ligand 20 and control compound 19 possessing a PEG-aminoalkylamide 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ure"/>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3657600" cy="3310128"/>
                    </a:xfrm>
                    <a:prstGeom prst="rect">
                      <a:avLst/>
                    </a:prstGeom>
                    <a:noFill/>
                    <a:ln>
                      <a:noFill/>
                    </a:ln>
                  </pic:spPr>
                </pic:pic>
              </a:graphicData>
            </a:graphic>
          </wp:inline>
        </w:drawing>
      </w:r>
    </w:p>
    <w:p w14:paraId="553ED22B" w14:textId="546A24EE" w:rsidR="004242A8" w:rsidRDefault="004242A8" w:rsidP="004242A8">
      <w:r w:rsidRPr="004242A8">
        <w:t>Figure 2. (A) X-ray structure of modified PAR2 with bound allosteric ligand AZ3451 (green) and docked ligand </w:t>
      </w:r>
      <w:r w:rsidRPr="004242A8">
        <w:rPr>
          <w:b/>
          <w:bCs/>
        </w:rPr>
        <w:t>10a</w:t>
      </w:r>
      <w:r w:rsidRPr="004242A8">
        <w:t> (pink). (B) Novel bivalent ligand </w:t>
      </w:r>
      <w:r w:rsidRPr="004242A8">
        <w:rPr>
          <w:b/>
          <w:bCs/>
        </w:rPr>
        <w:t>20</w:t>
      </w:r>
      <w:r w:rsidRPr="004242A8">
        <w:t> and control compound </w:t>
      </w:r>
      <w:r w:rsidRPr="004242A8">
        <w:rPr>
          <w:b/>
          <w:bCs/>
        </w:rPr>
        <w:t>19</w:t>
      </w:r>
      <w:r w:rsidRPr="004242A8">
        <w:t> possessing a PEG-</w:t>
      </w:r>
      <w:proofErr w:type="spellStart"/>
      <w:r w:rsidRPr="004242A8">
        <w:t>aminoalkylamide</w:t>
      </w:r>
      <w:proofErr w:type="spellEnd"/>
      <w:r w:rsidRPr="004242A8">
        <w:t xml:space="preserve"> spacer.</w:t>
      </w:r>
    </w:p>
    <w:p w14:paraId="64FE0EA0" w14:textId="77777777" w:rsidR="0062315B" w:rsidRPr="0062315B" w:rsidRDefault="0062315B" w:rsidP="00A56E38">
      <w:pPr>
        <w:ind w:firstLine="720"/>
      </w:pPr>
      <w:r w:rsidRPr="0062315B">
        <w:t xml:space="preserve">The position of this binding site within the cell membrane suggests that the hydrophilic PEG spacer may be counterproductive and could explain the greatly decreased potency at PAR2 of our PEG-linked PAR2 antagonists. We addressed this potential issue by synthesizing modified spacers containing a terminal </w:t>
      </w:r>
      <w:proofErr w:type="spellStart"/>
      <w:r w:rsidRPr="0062315B">
        <w:t>aminoalkylamide</w:t>
      </w:r>
      <w:proofErr w:type="spellEnd"/>
      <w:r w:rsidRPr="0062315B">
        <w:t xml:space="preserve"> that could possess a higher affinity for the cell membrane above the putative PAR2 binding site (</w:t>
      </w:r>
      <w:hyperlink r:id="rId64" w:anchor="fig2" w:history="1">
        <w:r w:rsidRPr="0062315B">
          <w:rPr>
            <w:rStyle w:val="Hyperlink"/>
          </w:rPr>
          <w:t>Figure </w:t>
        </w:r>
      </w:hyperlink>
      <w:hyperlink r:id="rId65" w:anchor="fig2" w:history="1">
        <w:r w:rsidRPr="0062315B">
          <w:rPr>
            <w:rStyle w:val="Hyperlink"/>
          </w:rPr>
          <w:t>2</w:t>
        </w:r>
      </w:hyperlink>
      <w:r w:rsidRPr="0062315B">
        <w:t>b and </w:t>
      </w:r>
      <w:hyperlink r:id="rId66" w:history="1">
        <w:r w:rsidRPr="0062315B">
          <w:rPr>
            <w:rStyle w:val="Hyperlink"/>
          </w:rPr>
          <w:t>Scheme S3</w:t>
        </w:r>
      </w:hyperlink>
      <w:r w:rsidRPr="0062315B">
        <w:t>).</w:t>
      </w:r>
    </w:p>
    <w:p w14:paraId="0183F415" w14:textId="77777777" w:rsidR="0062315B" w:rsidRPr="0062315B" w:rsidRDefault="0062315B" w:rsidP="00A56E38">
      <w:pPr>
        <w:ind w:firstLine="720"/>
      </w:pPr>
      <w:r w:rsidRPr="0062315B">
        <w:t>The ligands were tested in our intracellular calcium mobilization assay (</w:t>
      </w:r>
      <w:r w:rsidRPr="0062315B">
        <w:rPr>
          <w:i/>
          <w:iCs/>
        </w:rPr>
        <w:t>i</w:t>
      </w:r>
      <w:r w:rsidRPr="0062315B">
        <w:t>Ca</w:t>
      </w:r>
      <w:r w:rsidRPr="0062315B">
        <w:rPr>
          <w:vertAlign w:val="superscript"/>
        </w:rPr>
        <w:t>2+</w:t>
      </w:r>
      <w:r w:rsidRPr="0062315B">
        <w:t xml:space="preserve">) using the transformed human endothelial cell line </w:t>
      </w:r>
      <w:proofErr w:type="gramStart"/>
      <w:r w:rsidRPr="0062315B">
        <w:t>EA.hy</w:t>
      </w:r>
      <w:proofErr w:type="gramEnd"/>
      <w:r w:rsidRPr="0062315B">
        <w:t xml:space="preserve">926, and this assay was also suitable for studying the signaling of the breast cancer cell line MDA-MB-231, which expresses both PAR1 and PAR2. Adherent cells were cultured in 96-well plates to confluence over </w:t>
      </w:r>
      <w:r w:rsidRPr="0062315B">
        <w:rPr>
          <w:rFonts w:ascii="Cambria Math" w:hAnsi="Cambria Math" w:cs="Cambria Math"/>
        </w:rPr>
        <w:t>∼</w:t>
      </w:r>
      <w:r w:rsidRPr="0062315B">
        <w:t>48 h, then loaded with the fluorescent calcium binding dye Fluo-4/AM, according to our reported protocol.</w:t>
      </w:r>
      <w:hyperlink r:id="rId67" w:history="1">
        <w:r w:rsidRPr="00A56E38">
          <w:rPr>
            <w:rStyle w:val="Hyperlink"/>
            <w:vertAlign w:val="superscript"/>
          </w:rPr>
          <w:t>(15)</w:t>
        </w:r>
      </w:hyperlink>
      <w:r w:rsidRPr="0062315B">
        <w:t> Addition of the antagonists, followed by the relevant PAR peptide agonists TFLLRN-NH</w:t>
      </w:r>
      <w:r w:rsidRPr="0062315B">
        <w:rPr>
          <w:vertAlign w:val="subscript"/>
        </w:rPr>
        <w:t>2</w:t>
      </w:r>
      <w:r w:rsidRPr="0062315B">
        <w:t> (PAR1), SLIGKV-NH</w:t>
      </w:r>
      <w:r w:rsidRPr="0062315B">
        <w:rPr>
          <w:vertAlign w:val="subscript"/>
        </w:rPr>
        <w:t>2</w:t>
      </w:r>
      <w:r w:rsidRPr="0062315B">
        <w:t>(PAR2), or SFLLRN-NH</w:t>
      </w:r>
      <w:r w:rsidRPr="0062315B">
        <w:rPr>
          <w:vertAlign w:val="subscript"/>
        </w:rPr>
        <w:t>2</w:t>
      </w:r>
      <w:r w:rsidRPr="0062315B">
        <w:t xml:space="preserve"> (PAR1/2), permitted the measurement of inhibition of </w:t>
      </w:r>
      <w:proofErr w:type="spellStart"/>
      <w:r w:rsidRPr="0062315B">
        <w:t>Gq</w:t>
      </w:r>
      <w:proofErr w:type="spellEnd"/>
      <w:r w:rsidRPr="0062315B">
        <w:t>-driven signaling from both PAR1 and PAR2. All concentration–response curves show data from </w:t>
      </w:r>
      <w:r w:rsidRPr="0062315B">
        <w:rPr>
          <w:i/>
          <w:iCs/>
        </w:rPr>
        <w:t>N</w:t>
      </w:r>
      <w:r w:rsidRPr="0062315B">
        <w:t> = 3 on a single plate, fitted using four-variable nonlinear regression with GraphPad Prism v. 5. Error bars represent standard error of the mean (SEM) for the three measurements at each concentration.</w:t>
      </w:r>
    </w:p>
    <w:p w14:paraId="3E3788F2" w14:textId="77777777" w:rsidR="0062315B" w:rsidRPr="0062315B" w:rsidRDefault="0062315B" w:rsidP="00A56E38">
      <w:pPr>
        <w:ind w:firstLine="720"/>
      </w:pPr>
      <w:r w:rsidRPr="0062315B">
        <w:t>The attachment of PEG spacers to the PAR1 antagonist RWJ-58259 and the PAR2 antagonist </w:t>
      </w:r>
      <w:r w:rsidRPr="0062315B">
        <w:rPr>
          <w:b/>
          <w:bCs/>
        </w:rPr>
        <w:t>10a</w:t>
      </w:r>
      <w:r w:rsidRPr="0062315B">
        <w:t>was tolerated, albeit with 5- to 70-fold decreases in potency. Half-maximal inhibitory concentration (IC</w:t>
      </w:r>
      <w:r w:rsidRPr="0062315B">
        <w:rPr>
          <w:vertAlign w:val="subscript"/>
        </w:rPr>
        <w:t>50</w:t>
      </w:r>
      <w:r w:rsidRPr="0062315B">
        <w:t>) for the inhibition of TFLLRN-NH</w:t>
      </w:r>
      <w:r w:rsidRPr="0062315B">
        <w:rPr>
          <w:vertAlign w:val="subscript"/>
        </w:rPr>
        <w:t>2</w:t>
      </w:r>
      <w:r w:rsidRPr="0062315B">
        <w:t xml:space="preserve"> (5 </w:t>
      </w:r>
      <w:proofErr w:type="spellStart"/>
      <w:r w:rsidRPr="0062315B">
        <w:t>μM</w:t>
      </w:r>
      <w:proofErr w:type="spellEnd"/>
      <w:r w:rsidRPr="0062315B">
        <w:t>) PAR1-mediated </w:t>
      </w:r>
      <w:r w:rsidRPr="0062315B">
        <w:rPr>
          <w:i/>
          <w:iCs/>
        </w:rPr>
        <w:t>i</w:t>
      </w:r>
      <w:r w:rsidRPr="0062315B">
        <w:t>Ca</w:t>
      </w:r>
      <w:r w:rsidRPr="0062315B">
        <w:rPr>
          <w:vertAlign w:val="superscript"/>
        </w:rPr>
        <w:t>2+</w:t>
      </w:r>
      <w:r w:rsidRPr="0062315B">
        <w:t xml:space="preserve"> mobilization increased from 0.02 to 0.1 </w:t>
      </w:r>
      <w:proofErr w:type="spellStart"/>
      <w:r w:rsidRPr="0062315B">
        <w:t>μM</w:t>
      </w:r>
      <w:proofErr w:type="spellEnd"/>
      <w:r w:rsidRPr="0062315B">
        <w:t xml:space="preserve"> for the PEG spacer-linked control </w:t>
      </w:r>
      <w:r w:rsidRPr="0062315B">
        <w:rPr>
          <w:b/>
          <w:bCs/>
        </w:rPr>
        <w:t>17</w:t>
      </w:r>
      <w:r w:rsidRPr="0062315B">
        <w:t> (</w:t>
      </w:r>
      <w:hyperlink r:id="rId68" w:anchor="fig3" w:history="1">
        <w:r w:rsidRPr="0062315B">
          <w:rPr>
            <w:rStyle w:val="Hyperlink"/>
          </w:rPr>
          <w:t>Figure </w:t>
        </w:r>
      </w:hyperlink>
      <w:hyperlink r:id="rId69" w:anchor="fig3" w:history="1">
        <w:r w:rsidRPr="0062315B">
          <w:rPr>
            <w:rStyle w:val="Hyperlink"/>
          </w:rPr>
          <w:t>3</w:t>
        </w:r>
      </w:hyperlink>
      <w:r w:rsidRPr="0062315B">
        <w:t>a). Compound </w:t>
      </w:r>
      <w:r w:rsidRPr="0062315B">
        <w:rPr>
          <w:b/>
          <w:bCs/>
        </w:rPr>
        <w:t>10a</w:t>
      </w:r>
      <w:r w:rsidRPr="0062315B">
        <w:t> inhibited SLIGKV-NH</w:t>
      </w:r>
      <w:r w:rsidRPr="0062315B">
        <w:rPr>
          <w:vertAlign w:val="subscript"/>
        </w:rPr>
        <w:t>2</w:t>
      </w:r>
      <w:r w:rsidRPr="0062315B">
        <w:t xml:space="preserve"> (5 </w:t>
      </w:r>
      <w:proofErr w:type="spellStart"/>
      <w:r w:rsidRPr="0062315B">
        <w:t>μM</w:t>
      </w:r>
      <w:proofErr w:type="spellEnd"/>
      <w:r w:rsidRPr="0062315B">
        <w:t>) PAR2-mediated </w:t>
      </w:r>
      <w:r w:rsidRPr="0062315B">
        <w:rPr>
          <w:i/>
          <w:iCs/>
        </w:rPr>
        <w:t>i</w:t>
      </w:r>
      <w:r w:rsidRPr="0062315B">
        <w:t>Ca</w:t>
      </w:r>
      <w:r w:rsidRPr="0062315B">
        <w:rPr>
          <w:vertAlign w:val="superscript"/>
        </w:rPr>
        <w:t>2+</w:t>
      </w:r>
      <w:r w:rsidRPr="0062315B">
        <w:t> mobilization with an IC</w:t>
      </w:r>
      <w:r w:rsidRPr="0062315B">
        <w:rPr>
          <w:vertAlign w:val="subscript"/>
        </w:rPr>
        <w:t>50</w:t>
      </w:r>
      <w:r w:rsidRPr="0062315B">
        <w:t xml:space="preserve"> of 0.1 </w:t>
      </w:r>
      <w:proofErr w:type="spellStart"/>
      <w:r w:rsidRPr="0062315B">
        <w:t>μM</w:t>
      </w:r>
      <w:proofErr w:type="spellEnd"/>
      <w:r w:rsidRPr="0062315B">
        <w:t>, and the PEG spacer-linked control </w:t>
      </w:r>
      <w:r w:rsidRPr="0062315B">
        <w:rPr>
          <w:b/>
          <w:bCs/>
        </w:rPr>
        <w:t>15</w:t>
      </w:r>
      <w:r w:rsidRPr="0062315B">
        <w:t> was significantly less potent (IC</w:t>
      </w:r>
      <w:r w:rsidRPr="0062315B">
        <w:rPr>
          <w:vertAlign w:val="subscript"/>
        </w:rPr>
        <w:t>50</w:t>
      </w:r>
      <w:r w:rsidRPr="0062315B">
        <w:t xml:space="preserve"> = 7 </w:t>
      </w:r>
      <w:proofErr w:type="spellStart"/>
      <w:r w:rsidRPr="0062315B">
        <w:t>μM</w:t>
      </w:r>
      <w:proofErr w:type="spellEnd"/>
      <w:r w:rsidRPr="0062315B">
        <w:t>, </w:t>
      </w:r>
      <w:hyperlink r:id="rId70" w:anchor="fig3" w:history="1">
        <w:r w:rsidRPr="0062315B">
          <w:rPr>
            <w:rStyle w:val="Hyperlink"/>
          </w:rPr>
          <w:t>Figure </w:t>
        </w:r>
      </w:hyperlink>
      <w:hyperlink r:id="rId71" w:anchor="fig3" w:history="1">
        <w:r w:rsidRPr="0062315B">
          <w:rPr>
            <w:rStyle w:val="Hyperlink"/>
          </w:rPr>
          <w:t>3</w:t>
        </w:r>
      </w:hyperlink>
      <w:r w:rsidRPr="0062315B">
        <w:t xml:space="preserve">b). This is consistent with a report from </w:t>
      </w:r>
      <w:proofErr w:type="spellStart"/>
      <w:r w:rsidRPr="0062315B">
        <w:t>Bunnett</w:t>
      </w:r>
      <w:proofErr w:type="spellEnd"/>
      <w:r w:rsidRPr="0062315B">
        <w:t xml:space="preserve"> (published during revision of this manuscript) that describes an </w:t>
      </w:r>
      <w:proofErr w:type="spellStart"/>
      <w:r w:rsidRPr="0062315B">
        <w:t>imidazopyridazine</w:t>
      </w:r>
      <w:proofErr w:type="spellEnd"/>
      <w:r w:rsidRPr="0062315B">
        <w:t xml:space="preserve"> PAR2 antagonist that suffers an approximately 1000-fold drop in potency upon attachment of a PEG tether at a similar site.</w:t>
      </w:r>
      <w:hyperlink r:id="rId72" w:history="1">
        <w:r w:rsidRPr="00A56E38">
          <w:rPr>
            <w:rStyle w:val="Hyperlink"/>
            <w:vertAlign w:val="superscript"/>
          </w:rPr>
          <w:t>(40)</w:t>
        </w:r>
      </w:hyperlink>
      <w:r w:rsidRPr="0062315B">
        <w:t> These compounds also showed good potencies in analogous assays with MDA-MB-231 cancer cells (</w:t>
      </w:r>
      <w:hyperlink r:id="rId73" w:anchor="fig3" w:history="1">
        <w:r w:rsidRPr="0062315B">
          <w:rPr>
            <w:rStyle w:val="Hyperlink"/>
          </w:rPr>
          <w:t>Figures </w:t>
        </w:r>
      </w:hyperlink>
      <w:hyperlink r:id="rId74" w:anchor="fig3" w:history="1">
        <w:r w:rsidRPr="0062315B">
          <w:rPr>
            <w:rStyle w:val="Hyperlink"/>
          </w:rPr>
          <w:t>3</w:t>
        </w:r>
      </w:hyperlink>
      <w:r w:rsidRPr="0062315B">
        <w:t>c,d).</w:t>
      </w:r>
    </w:p>
    <w:p w14:paraId="0717A44B" w14:textId="733E2F50" w:rsidR="004242A8" w:rsidRDefault="0062315B" w:rsidP="00A56E38">
      <w:pPr>
        <w:spacing w:after="0"/>
      </w:pPr>
      <w:r>
        <w:rPr>
          <w:noProof/>
        </w:rPr>
        <w:drawing>
          <wp:inline distT="0" distB="0" distL="0" distR="0" wp14:anchorId="6A055951" wp14:editId="22C76D4A">
            <wp:extent cx="3657600" cy="3493008"/>
            <wp:effectExtent l="0" t="0" r="0" b="0"/>
            <wp:docPr id="7" name="Picture 7" descr="Figure 3. Inhibition of TFLLRN-NH2 (5 μM) PAR1-mediated iCa2+ mobilization by monovalent PAR1 ligand RWJ-58259 and spacer-linked control 17 (A) in EA.hy926 endothelial cells and (C) in MDA-MB-231 cancer cells; inhibition of SLIGKV-NH2 (5 μM) PAR2-mediated iCa2+ mobilization by monovalent PAR2 ligand 10a and spacer-linked control 15 (B) in EA.hy926 endothelial cells and (D) in MDA-MB-231 cancer 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ure"/>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3657600" cy="3493008"/>
                    </a:xfrm>
                    <a:prstGeom prst="rect">
                      <a:avLst/>
                    </a:prstGeom>
                    <a:noFill/>
                    <a:ln>
                      <a:noFill/>
                    </a:ln>
                  </pic:spPr>
                </pic:pic>
              </a:graphicData>
            </a:graphic>
          </wp:inline>
        </w:drawing>
      </w:r>
    </w:p>
    <w:p w14:paraId="33A9FAD6" w14:textId="21166A0E" w:rsidR="0062315B" w:rsidRDefault="0062315B" w:rsidP="004242A8">
      <w:r w:rsidRPr="0062315B">
        <w:t>Figure 3. Inhibition of TFLLRN-NH</w:t>
      </w:r>
      <w:r w:rsidRPr="0062315B">
        <w:rPr>
          <w:vertAlign w:val="subscript"/>
        </w:rPr>
        <w:t>2</w:t>
      </w:r>
      <w:r w:rsidRPr="0062315B">
        <w:t xml:space="preserve"> (5 </w:t>
      </w:r>
      <w:proofErr w:type="spellStart"/>
      <w:r w:rsidRPr="0062315B">
        <w:t>μM</w:t>
      </w:r>
      <w:proofErr w:type="spellEnd"/>
      <w:r w:rsidRPr="0062315B">
        <w:t>) PAR1-mediated </w:t>
      </w:r>
      <w:r w:rsidRPr="0062315B">
        <w:rPr>
          <w:i/>
          <w:iCs/>
        </w:rPr>
        <w:t>i</w:t>
      </w:r>
      <w:r w:rsidRPr="0062315B">
        <w:t>Ca</w:t>
      </w:r>
      <w:r w:rsidRPr="0062315B">
        <w:rPr>
          <w:vertAlign w:val="superscript"/>
        </w:rPr>
        <w:t>2+</w:t>
      </w:r>
      <w:r w:rsidRPr="0062315B">
        <w:t> mobilization by monovalent PAR1 ligand RWJ-58259 and spacer-linked control </w:t>
      </w:r>
      <w:r w:rsidRPr="0062315B">
        <w:rPr>
          <w:b/>
          <w:bCs/>
        </w:rPr>
        <w:t>17</w:t>
      </w:r>
      <w:r w:rsidRPr="0062315B">
        <w:t> (A) in EA.hy926 endothelial cells and (C) in MDA-MB-231 cancer cells; inhibition of SLIGKV-NH</w:t>
      </w:r>
      <w:r w:rsidRPr="0062315B">
        <w:rPr>
          <w:vertAlign w:val="subscript"/>
        </w:rPr>
        <w:t>2</w:t>
      </w:r>
      <w:r w:rsidRPr="0062315B">
        <w:t xml:space="preserve"> (5 </w:t>
      </w:r>
      <w:proofErr w:type="spellStart"/>
      <w:r w:rsidRPr="0062315B">
        <w:t>μM</w:t>
      </w:r>
      <w:proofErr w:type="spellEnd"/>
      <w:r w:rsidRPr="0062315B">
        <w:t>) PAR2-mediated </w:t>
      </w:r>
      <w:r w:rsidRPr="0062315B">
        <w:rPr>
          <w:i/>
          <w:iCs/>
        </w:rPr>
        <w:t>i</w:t>
      </w:r>
      <w:r w:rsidRPr="0062315B">
        <w:t>Ca</w:t>
      </w:r>
      <w:r w:rsidRPr="0062315B">
        <w:rPr>
          <w:vertAlign w:val="superscript"/>
        </w:rPr>
        <w:t>2+</w:t>
      </w:r>
      <w:r w:rsidRPr="0062315B">
        <w:t> mobilization by monovalent PAR2 ligand </w:t>
      </w:r>
      <w:r w:rsidRPr="0062315B">
        <w:rPr>
          <w:b/>
          <w:bCs/>
        </w:rPr>
        <w:t>10a</w:t>
      </w:r>
      <w:r w:rsidRPr="0062315B">
        <w:t> and spacer-linked control </w:t>
      </w:r>
      <w:r w:rsidRPr="0062315B">
        <w:rPr>
          <w:b/>
          <w:bCs/>
        </w:rPr>
        <w:t>15</w:t>
      </w:r>
      <w:r w:rsidRPr="0062315B">
        <w:t> (B) in EA.hy926 endothelial cells and (D) in MDA-MB-231 cancer cells.</w:t>
      </w:r>
    </w:p>
    <w:p w14:paraId="73EF5753" w14:textId="578CD36B" w:rsidR="0062315B" w:rsidRDefault="0062315B" w:rsidP="00A56E38">
      <w:pPr>
        <w:ind w:firstLine="720"/>
      </w:pPr>
      <w:r w:rsidRPr="0062315B">
        <w:t>As described above, we proceeded to prepare bivalent ligands possessing spacers of different lengths, from shortest (21 atoms, </w:t>
      </w:r>
      <w:r w:rsidRPr="0062315B">
        <w:rPr>
          <w:b/>
          <w:bCs/>
        </w:rPr>
        <w:t>13a</w:t>
      </w:r>
      <w:r w:rsidRPr="0062315B">
        <w:t>) to longest (72 atoms, </w:t>
      </w:r>
      <w:r w:rsidRPr="0062315B">
        <w:rPr>
          <w:b/>
          <w:bCs/>
        </w:rPr>
        <w:t>13d</w:t>
      </w:r>
      <w:r w:rsidRPr="0062315B">
        <w:t>). To support their potential utility for future in vivo experiments, the stability of </w:t>
      </w:r>
      <w:r w:rsidRPr="0062315B">
        <w:rPr>
          <w:b/>
          <w:bCs/>
        </w:rPr>
        <w:t>13d</w:t>
      </w:r>
      <w:r w:rsidRPr="0062315B">
        <w:t> was measured in mouse plasma, and a half-life of 5.6 h was determined (see </w:t>
      </w:r>
      <w:hyperlink r:id="rId76" w:history="1">
        <w:r w:rsidRPr="0062315B">
          <w:rPr>
            <w:rStyle w:val="Hyperlink"/>
          </w:rPr>
          <w:t>Supporting Info</w:t>
        </w:r>
      </w:hyperlink>
      <w:r w:rsidRPr="0062315B">
        <w:t> for details). All four ligands showed good inhibition of PAR1-driven (TFLLRN-NH</w:t>
      </w:r>
      <w:r w:rsidRPr="0062315B">
        <w:rPr>
          <w:vertAlign w:val="subscript"/>
        </w:rPr>
        <w:t>2</w:t>
      </w:r>
      <w:r w:rsidRPr="0062315B">
        <w:t>) calcium mobilization in EA.hy926 cells, with comparable IC</w:t>
      </w:r>
      <w:r w:rsidRPr="0062315B">
        <w:rPr>
          <w:vertAlign w:val="subscript"/>
        </w:rPr>
        <w:t>50</w:t>
      </w:r>
      <w:r w:rsidRPr="0062315B">
        <w:t xml:space="preserve">s ranging from 0.03 to 0.18 </w:t>
      </w:r>
      <w:proofErr w:type="spellStart"/>
      <w:r w:rsidRPr="0062315B">
        <w:t>μM</w:t>
      </w:r>
      <w:proofErr w:type="spellEnd"/>
      <w:r w:rsidRPr="0062315B">
        <w:t xml:space="preserve"> (</w:t>
      </w:r>
      <w:hyperlink r:id="rId77" w:anchor="fig4" w:history="1">
        <w:r w:rsidRPr="0062315B">
          <w:rPr>
            <w:rStyle w:val="Hyperlink"/>
          </w:rPr>
          <w:t>Figure </w:t>
        </w:r>
      </w:hyperlink>
      <w:hyperlink r:id="rId78" w:anchor="fig4" w:history="1">
        <w:r w:rsidRPr="0062315B">
          <w:rPr>
            <w:rStyle w:val="Hyperlink"/>
          </w:rPr>
          <w:t>4</w:t>
        </w:r>
      </w:hyperlink>
      <w:r w:rsidRPr="0062315B">
        <w:t>a). The efficacy of the longest ligand (</w:t>
      </w:r>
      <w:r w:rsidRPr="0062315B">
        <w:rPr>
          <w:b/>
          <w:bCs/>
        </w:rPr>
        <w:t>13d</w:t>
      </w:r>
      <w:r w:rsidRPr="0062315B">
        <w:t>) was higher than the others at the highest concentrations. All four ligands had much lower potency and efficacy as PAR2 antagonists, using SLIGKV-NH</w:t>
      </w:r>
      <w:r w:rsidRPr="0062315B">
        <w:rPr>
          <w:vertAlign w:val="subscript"/>
        </w:rPr>
        <w:t>2</w:t>
      </w:r>
      <w:r w:rsidRPr="0062315B">
        <w:t> as agonist (</w:t>
      </w:r>
      <w:hyperlink r:id="rId79" w:anchor="fig4" w:history="1">
        <w:r w:rsidRPr="0062315B">
          <w:rPr>
            <w:rStyle w:val="Hyperlink"/>
          </w:rPr>
          <w:t>Figure </w:t>
        </w:r>
      </w:hyperlink>
      <w:hyperlink r:id="rId80" w:anchor="fig4" w:history="1">
        <w:r w:rsidRPr="0062315B">
          <w:rPr>
            <w:rStyle w:val="Hyperlink"/>
          </w:rPr>
          <w:t>4</w:t>
        </w:r>
      </w:hyperlink>
      <w:r w:rsidRPr="0062315B">
        <w:t>b). An IC</w:t>
      </w:r>
      <w:r w:rsidRPr="0062315B">
        <w:rPr>
          <w:vertAlign w:val="subscript"/>
        </w:rPr>
        <w:t>50</w:t>
      </w:r>
      <w:r w:rsidRPr="0062315B">
        <w:t> could only be estimated from the concentration–response curve fitted to the data from </w:t>
      </w:r>
      <w:r w:rsidRPr="0062315B">
        <w:rPr>
          <w:b/>
          <w:bCs/>
        </w:rPr>
        <w:t>13d</w:t>
      </w:r>
      <w:r w:rsidRPr="0062315B">
        <w:t>, with an IC</w:t>
      </w:r>
      <w:r w:rsidRPr="0062315B">
        <w:rPr>
          <w:vertAlign w:val="subscript"/>
        </w:rPr>
        <w:t>50</w:t>
      </w:r>
      <w:r w:rsidRPr="0062315B">
        <w:t xml:space="preserve"> of 3.3 </w:t>
      </w:r>
      <w:proofErr w:type="spellStart"/>
      <w:r w:rsidRPr="0062315B">
        <w:t>μM</w:t>
      </w:r>
      <w:proofErr w:type="spellEnd"/>
      <w:r w:rsidRPr="0062315B">
        <w:t xml:space="preserve">, and with only partial inhibition at the highest concentration (31.6 </w:t>
      </w:r>
      <w:proofErr w:type="spellStart"/>
      <w:r w:rsidRPr="0062315B">
        <w:t>μM</w:t>
      </w:r>
      <w:proofErr w:type="spellEnd"/>
      <w:r w:rsidRPr="0062315B">
        <w:t>). The decreased potencies and efficacies of the bivalent ligands at PAR2, particularly comparing these ligands to the PEG-linked PAR2 antagonist controls, may reflect a higher affinity of the bivalent ligands for PAR1, and/or a higher receptor density for PAR1, such that ligands may be binding significantly to monomeric PAR1.</w:t>
      </w:r>
    </w:p>
    <w:p w14:paraId="50978A16" w14:textId="3E1FC5BF" w:rsidR="0062315B" w:rsidRDefault="0062315B" w:rsidP="00A56E38">
      <w:pPr>
        <w:spacing w:after="0"/>
      </w:pPr>
      <w:r>
        <w:rPr>
          <w:noProof/>
        </w:rPr>
        <w:drawing>
          <wp:inline distT="0" distB="0" distL="0" distR="0" wp14:anchorId="252A4DB8" wp14:editId="45394D62">
            <wp:extent cx="3657600" cy="1682496"/>
            <wp:effectExtent l="0" t="0" r="0" b="0"/>
            <wp:docPr id="8" name="Picture 8" descr="Figure 4. Inhibition of TFLLRN-NH2 (5 μM) PAR1-mediated iCa2+ mobilization (A) and SLIGKV-NH2 (5 μM) PAR2-mediated iCa2+ mobilization (B) by bivalent ligands 13a–d in EA.hy926 endothelial 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igure"/>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3657600" cy="1682496"/>
                    </a:xfrm>
                    <a:prstGeom prst="rect">
                      <a:avLst/>
                    </a:prstGeom>
                    <a:noFill/>
                    <a:ln>
                      <a:noFill/>
                    </a:ln>
                  </pic:spPr>
                </pic:pic>
              </a:graphicData>
            </a:graphic>
          </wp:inline>
        </w:drawing>
      </w:r>
    </w:p>
    <w:p w14:paraId="63F1FEFC" w14:textId="67AB1F52" w:rsidR="0062315B" w:rsidRDefault="0062315B" w:rsidP="004242A8">
      <w:r w:rsidRPr="0062315B">
        <w:t>Figure 4. Inhibition of TFLLRN-NH</w:t>
      </w:r>
      <w:r w:rsidRPr="0062315B">
        <w:rPr>
          <w:vertAlign w:val="subscript"/>
        </w:rPr>
        <w:t>2</w:t>
      </w:r>
      <w:r w:rsidRPr="0062315B">
        <w:t xml:space="preserve"> (5 </w:t>
      </w:r>
      <w:proofErr w:type="spellStart"/>
      <w:r w:rsidRPr="0062315B">
        <w:t>μM</w:t>
      </w:r>
      <w:proofErr w:type="spellEnd"/>
      <w:r w:rsidRPr="0062315B">
        <w:t>) PAR1-mediated </w:t>
      </w:r>
      <w:r w:rsidRPr="0062315B">
        <w:rPr>
          <w:i/>
          <w:iCs/>
        </w:rPr>
        <w:t>i</w:t>
      </w:r>
      <w:r w:rsidRPr="0062315B">
        <w:t>Ca</w:t>
      </w:r>
      <w:r w:rsidRPr="0062315B">
        <w:rPr>
          <w:vertAlign w:val="superscript"/>
        </w:rPr>
        <w:t>2+</w:t>
      </w:r>
      <w:r w:rsidRPr="0062315B">
        <w:t> mobilization (A) and SLIGKV-NH</w:t>
      </w:r>
      <w:r w:rsidRPr="0062315B">
        <w:rPr>
          <w:vertAlign w:val="subscript"/>
        </w:rPr>
        <w:t>2</w:t>
      </w:r>
      <w:r w:rsidRPr="0062315B">
        <w:t xml:space="preserve"> (5 </w:t>
      </w:r>
      <w:proofErr w:type="spellStart"/>
      <w:r w:rsidRPr="0062315B">
        <w:t>μM</w:t>
      </w:r>
      <w:proofErr w:type="spellEnd"/>
      <w:r w:rsidRPr="0062315B">
        <w:t>) PAR2-mediated </w:t>
      </w:r>
      <w:r w:rsidRPr="0062315B">
        <w:rPr>
          <w:i/>
          <w:iCs/>
        </w:rPr>
        <w:t>i</w:t>
      </w:r>
      <w:r w:rsidRPr="0062315B">
        <w:t>Ca</w:t>
      </w:r>
      <w:r w:rsidRPr="0062315B">
        <w:rPr>
          <w:vertAlign w:val="superscript"/>
        </w:rPr>
        <w:t>2+</w:t>
      </w:r>
      <w:r w:rsidRPr="0062315B">
        <w:t> mobilization (B) by bivalent ligands </w:t>
      </w:r>
      <w:r w:rsidRPr="0062315B">
        <w:rPr>
          <w:b/>
          <w:bCs/>
        </w:rPr>
        <w:t>13a</w:t>
      </w:r>
      <w:r w:rsidRPr="0062315B">
        <w:t>–</w:t>
      </w:r>
      <w:r w:rsidRPr="0062315B">
        <w:rPr>
          <w:b/>
          <w:bCs/>
        </w:rPr>
        <w:t>d</w:t>
      </w:r>
      <w:r w:rsidRPr="0062315B">
        <w:t xml:space="preserve"> in </w:t>
      </w:r>
      <w:proofErr w:type="gramStart"/>
      <w:r w:rsidRPr="0062315B">
        <w:t>EA.hy</w:t>
      </w:r>
      <w:proofErr w:type="gramEnd"/>
      <w:r w:rsidRPr="0062315B">
        <w:t>926 endothelial cells.</w:t>
      </w:r>
    </w:p>
    <w:p w14:paraId="2ADD7FA8" w14:textId="4D5DB5F8" w:rsidR="0062315B" w:rsidRDefault="0062315B" w:rsidP="002B519B">
      <w:pPr>
        <w:ind w:firstLine="720"/>
      </w:pPr>
      <w:r w:rsidRPr="0062315B">
        <w:t>Next, the bivalent ligands </w:t>
      </w:r>
      <w:r w:rsidRPr="0062315B">
        <w:rPr>
          <w:b/>
          <w:bCs/>
        </w:rPr>
        <w:t>13a</w:t>
      </w:r>
      <w:r w:rsidRPr="0062315B">
        <w:t>–</w:t>
      </w:r>
      <w:r w:rsidRPr="0062315B">
        <w:rPr>
          <w:b/>
          <w:bCs/>
        </w:rPr>
        <w:t>d</w:t>
      </w:r>
      <w:r w:rsidRPr="0062315B">
        <w:t> were tested for their ability to inhibit the PAR1/2 agonist SFLLRN-NH</w:t>
      </w:r>
      <w:r w:rsidRPr="0062315B">
        <w:rPr>
          <w:vertAlign w:val="subscript"/>
        </w:rPr>
        <w:t>2</w:t>
      </w:r>
      <w:r w:rsidRPr="0062315B">
        <w:t xml:space="preserve">, dosed at 3.16 </w:t>
      </w:r>
      <w:proofErr w:type="spellStart"/>
      <w:r w:rsidRPr="0062315B">
        <w:t>μM</w:t>
      </w:r>
      <w:proofErr w:type="spellEnd"/>
      <w:r w:rsidRPr="0062315B">
        <w:t xml:space="preserve"> (</w:t>
      </w:r>
      <w:hyperlink r:id="rId82" w:anchor="fig5" w:history="1">
        <w:r w:rsidRPr="0062315B">
          <w:rPr>
            <w:rStyle w:val="Hyperlink"/>
          </w:rPr>
          <w:t>Figure </w:t>
        </w:r>
      </w:hyperlink>
      <w:hyperlink r:id="rId83" w:anchor="fig5" w:history="1">
        <w:r w:rsidRPr="0062315B">
          <w:rPr>
            <w:rStyle w:val="Hyperlink"/>
          </w:rPr>
          <w:t>5</w:t>
        </w:r>
      </w:hyperlink>
      <w:r w:rsidRPr="0062315B">
        <w:t>a). Again, the ligand with the longest spacer (</w:t>
      </w:r>
      <w:r w:rsidRPr="0062315B">
        <w:rPr>
          <w:b/>
          <w:bCs/>
        </w:rPr>
        <w:t>13d</w:t>
      </w:r>
      <w:r w:rsidRPr="0062315B">
        <w:t>) proved to be most potent, with an IC</w:t>
      </w:r>
      <w:r w:rsidRPr="0062315B">
        <w:rPr>
          <w:vertAlign w:val="subscript"/>
        </w:rPr>
        <w:t>50</w:t>
      </w:r>
      <w:r w:rsidRPr="0062315B">
        <w:t xml:space="preserve"> of 0.15 </w:t>
      </w:r>
      <w:proofErr w:type="spellStart"/>
      <w:r w:rsidRPr="0062315B">
        <w:t>μM</w:t>
      </w:r>
      <w:proofErr w:type="spellEnd"/>
      <w:r w:rsidRPr="0062315B">
        <w:t>. It was also compared to the control compounds composed of monovalent PAR1 (</w:t>
      </w:r>
      <w:r w:rsidRPr="0062315B">
        <w:rPr>
          <w:b/>
          <w:bCs/>
        </w:rPr>
        <w:t>17</w:t>
      </w:r>
      <w:r w:rsidRPr="0062315B">
        <w:t>) and PAR2 (</w:t>
      </w:r>
      <w:r w:rsidRPr="0062315B">
        <w:rPr>
          <w:b/>
          <w:bCs/>
        </w:rPr>
        <w:t>15</w:t>
      </w:r>
      <w:r w:rsidRPr="0062315B">
        <w:t>) ligands with spacers and their combination (</w:t>
      </w:r>
      <w:hyperlink r:id="rId84" w:anchor="fig5" w:history="1">
        <w:r w:rsidRPr="0062315B">
          <w:rPr>
            <w:rStyle w:val="Hyperlink"/>
          </w:rPr>
          <w:t>Figure </w:t>
        </w:r>
      </w:hyperlink>
      <w:hyperlink r:id="rId85" w:anchor="fig5" w:history="1">
        <w:r w:rsidRPr="0062315B">
          <w:rPr>
            <w:rStyle w:val="Hyperlink"/>
          </w:rPr>
          <w:t>5</w:t>
        </w:r>
      </w:hyperlink>
      <w:r w:rsidRPr="0062315B">
        <w:t>b). The combination of equal concentrations of </w:t>
      </w:r>
      <w:r w:rsidRPr="0062315B">
        <w:rPr>
          <w:b/>
          <w:bCs/>
        </w:rPr>
        <w:t>17</w:t>
      </w:r>
      <w:r w:rsidRPr="0062315B">
        <w:t> and </w:t>
      </w:r>
      <w:r w:rsidRPr="0062315B">
        <w:rPr>
          <w:b/>
          <w:bCs/>
        </w:rPr>
        <w:t>15</w:t>
      </w:r>
      <w:r w:rsidRPr="0062315B">
        <w:t> gave an IC</w:t>
      </w:r>
      <w:r w:rsidRPr="0062315B">
        <w:rPr>
          <w:vertAlign w:val="subscript"/>
        </w:rPr>
        <w:t>50</w:t>
      </w:r>
      <w:r w:rsidRPr="0062315B">
        <w:t xml:space="preserve"> of 0.32 </w:t>
      </w:r>
      <w:proofErr w:type="spellStart"/>
      <w:r w:rsidRPr="0062315B">
        <w:t>μM</w:t>
      </w:r>
      <w:proofErr w:type="spellEnd"/>
      <w:r w:rsidRPr="0062315B">
        <w:t>, resulting in an inhibition profile very similar to that of the bivalent ligand </w:t>
      </w:r>
      <w:r w:rsidRPr="0062315B">
        <w:rPr>
          <w:b/>
          <w:bCs/>
        </w:rPr>
        <w:t>13d</w:t>
      </w:r>
      <w:r w:rsidRPr="0062315B">
        <w:t>. The inability of the PAR2 ligand </w:t>
      </w:r>
      <w:r w:rsidRPr="0062315B">
        <w:rPr>
          <w:b/>
          <w:bCs/>
        </w:rPr>
        <w:t>15</w:t>
      </w:r>
      <w:r w:rsidRPr="0062315B">
        <w:t>to inhibit SFLLRN-NH</w:t>
      </w:r>
      <w:r w:rsidRPr="0062315B">
        <w:rPr>
          <w:vertAlign w:val="subscript"/>
        </w:rPr>
        <w:t>2</w:t>
      </w:r>
      <w:r w:rsidRPr="0062315B">
        <w:t xml:space="preserve"> to any measurable degree suggests that its signaling is largely driven by PAR1 with </w:t>
      </w:r>
      <w:proofErr w:type="gramStart"/>
      <w:r w:rsidRPr="0062315B">
        <w:t>EA.hy</w:t>
      </w:r>
      <w:proofErr w:type="gramEnd"/>
      <w:r w:rsidRPr="0062315B">
        <w:t>926 cells. Inhibition with the bivalent ligands derived from the PAR2 ligand </w:t>
      </w:r>
      <w:r w:rsidRPr="0062315B">
        <w:rPr>
          <w:b/>
          <w:bCs/>
        </w:rPr>
        <w:t>10b</w:t>
      </w:r>
      <w:r w:rsidRPr="0062315B">
        <w:t>was inferior to those derived from </w:t>
      </w:r>
      <w:r w:rsidRPr="0062315B">
        <w:rPr>
          <w:b/>
          <w:bCs/>
        </w:rPr>
        <w:t>10a</w:t>
      </w:r>
      <w:r w:rsidRPr="0062315B">
        <w:t>. These data are included in the </w:t>
      </w:r>
      <w:hyperlink r:id="rId86" w:history="1">
        <w:r w:rsidRPr="0062315B">
          <w:rPr>
            <w:rStyle w:val="Hyperlink"/>
          </w:rPr>
          <w:t>Supporting Information</w:t>
        </w:r>
      </w:hyperlink>
      <w:r w:rsidRPr="0062315B">
        <w:t>(Figures S2–S4).</w:t>
      </w:r>
    </w:p>
    <w:p w14:paraId="1F1ADA5D" w14:textId="7B6E8B6C" w:rsidR="0062315B" w:rsidRDefault="0062315B" w:rsidP="00A56E38">
      <w:pPr>
        <w:spacing w:after="0"/>
      </w:pPr>
      <w:r>
        <w:rPr>
          <w:noProof/>
        </w:rPr>
        <w:drawing>
          <wp:inline distT="0" distB="0" distL="0" distR="0" wp14:anchorId="3331D558" wp14:editId="521F05EB">
            <wp:extent cx="3657600" cy="1618488"/>
            <wp:effectExtent l="0" t="0" r="0" b="1270"/>
            <wp:docPr id="9" name="Picture 9" descr="Figure 5. Inhibition of SFLLRN-NH2 (3.16 μM) PAR1/2-mediated iCa2+ mobilization by bivalent ligands 13a–d (A) and individual and codosed monovalent control compounds (17 + 15) in EA.hy926 endothelial cells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igure"/>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657600" cy="1618488"/>
                    </a:xfrm>
                    <a:prstGeom prst="rect">
                      <a:avLst/>
                    </a:prstGeom>
                    <a:noFill/>
                    <a:ln>
                      <a:noFill/>
                    </a:ln>
                  </pic:spPr>
                </pic:pic>
              </a:graphicData>
            </a:graphic>
          </wp:inline>
        </w:drawing>
      </w:r>
    </w:p>
    <w:p w14:paraId="5AE7AEA9" w14:textId="2E91869C" w:rsidR="0062315B" w:rsidRDefault="0062315B" w:rsidP="004242A8">
      <w:r w:rsidRPr="0062315B">
        <w:t>Figure 5. Inhibition of SFLLRN-NH</w:t>
      </w:r>
      <w:r w:rsidRPr="0062315B">
        <w:rPr>
          <w:vertAlign w:val="subscript"/>
        </w:rPr>
        <w:t>2</w:t>
      </w:r>
      <w:r w:rsidRPr="0062315B">
        <w:t xml:space="preserve"> (3.16 </w:t>
      </w:r>
      <w:proofErr w:type="spellStart"/>
      <w:r w:rsidRPr="0062315B">
        <w:t>μM</w:t>
      </w:r>
      <w:proofErr w:type="spellEnd"/>
      <w:r w:rsidRPr="0062315B">
        <w:t>) PAR1/2-mediated </w:t>
      </w:r>
      <w:r w:rsidRPr="0062315B">
        <w:rPr>
          <w:i/>
          <w:iCs/>
        </w:rPr>
        <w:t>i</w:t>
      </w:r>
      <w:r w:rsidRPr="0062315B">
        <w:t>Ca</w:t>
      </w:r>
      <w:r w:rsidRPr="0062315B">
        <w:rPr>
          <w:vertAlign w:val="superscript"/>
        </w:rPr>
        <w:t>2+</w:t>
      </w:r>
      <w:r w:rsidRPr="0062315B">
        <w:t> mobilization by bivalent ligands </w:t>
      </w:r>
      <w:r w:rsidRPr="0062315B">
        <w:rPr>
          <w:b/>
          <w:bCs/>
        </w:rPr>
        <w:t>13a</w:t>
      </w:r>
      <w:r w:rsidRPr="0062315B">
        <w:t>–</w:t>
      </w:r>
      <w:r w:rsidRPr="0062315B">
        <w:rPr>
          <w:b/>
          <w:bCs/>
        </w:rPr>
        <w:t>d</w:t>
      </w:r>
      <w:r w:rsidRPr="0062315B">
        <w:t xml:space="preserve"> (A) and individual and </w:t>
      </w:r>
      <w:proofErr w:type="spellStart"/>
      <w:r w:rsidRPr="0062315B">
        <w:t>codosed</w:t>
      </w:r>
      <w:proofErr w:type="spellEnd"/>
      <w:r w:rsidRPr="0062315B">
        <w:t xml:space="preserve"> monovalent control compounds (</w:t>
      </w:r>
      <w:r w:rsidRPr="0062315B">
        <w:rPr>
          <w:b/>
          <w:bCs/>
        </w:rPr>
        <w:t>17 + 15</w:t>
      </w:r>
      <w:r w:rsidRPr="0062315B">
        <w:t xml:space="preserve">) in </w:t>
      </w:r>
      <w:proofErr w:type="gramStart"/>
      <w:r w:rsidRPr="0062315B">
        <w:t>EA.hy</w:t>
      </w:r>
      <w:proofErr w:type="gramEnd"/>
      <w:r w:rsidRPr="0062315B">
        <w:t>926 endothelial cells (B).</w:t>
      </w:r>
    </w:p>
    <w:p w14:paraId="1FE5C945" w14:textId="3C39C86A" w:rsidR="0062315B" w:rsidRDefault="0062315B" w:rsidP="00A56E38">
      <w:pPr>
        <w:ind w:firstLine="720"/>
        <w:rPr>
          <w:rFonts w:cstheme="minorHAnsi"/>
          <w:color w:val="000000"/>
          <w:shd w:val="clear" w:color="auto" w:fill="FFFFFF"/>
        </w:rPr>
      </w:pPr>
      <w:r w:rsidRPr="00767B55">
        <w:rPr>
          <w:rFonts w:cstheme="minorHAnsi"/>
          <w:color w:val="000000"/>
          <w:shd w:val="clear" w:color="auto" w:fill="FFFFFF"/>
        </w:rPr>
        <w:t>The bivalent ligand </w:t>
      </w:r>
      <w:r w:rsidRPr="00767B55">
        <w:rPr>
          <w:rFonts w:cstheme="minorHAnsi"/>
          <w:b/>
          <w:bCs/>
          <w:color w:val="000000"/>
          <w:shd w:val="clear" w:color="auto" w:fill="FFFFFF"/>
        </w:rPr>
        <w:t>13d</w:t>
      </w:r>
      <w:r w:rsidRPr="00767B55">
        <w:rPr>
          <w:rFonts w:cstheme="minorHAnsi"/>
          <w:color w:val="000000"/>
          <w:shd w:val="clear" w:color="auto" w:fill="FFFFFF"/>
        </w:rPr>
        <w:t> was next studied in the breast cancer cell line with all three agonists (</w:t>
      </w:r>
      <w:hyperlink r:id="rId88" w:anchor="fig6" w:history="1">
        <w:r w:rsidRPr="00767B55">
          <w:rPr>
            <w:rStyle w:val="Hyperlink"/>
            <w:rFonts w:cstheme="minorHAnsi"/>
            <w:color w:val="336699"/>
            <w:shd w:val="clear" w:color="auto" w:fill="FFFFFF"/>
          </w:rPr>
          <w:t>Figure </w:t>
        </w:r>
      </w:hyperlink>
      <w:hyperlink r:id="rId89" w:anchor="fig6" w:history="1">
        <w:r w:rsidRPr="00767B55">
          <w:rPr>
            <w:rStyle w:val="Hyperlink"/>
            <w:rFonts w:cstheme="minorHAnsi"/>
            <w:color w:val="336699"/>
            <w:shd w:val="clear" w:color="auto" w:fill="FFFFFF"/>
          </w:rPr>
          <w:t>6</w:t>
        </w:r>
      </w:hyperlink>
      <w:r w:rsidRPr="00767B55">
        <w:rPr>
          <w:rFonts w:cstheme="minorHAnsi"/>
          <w:color w:val="000000"/>
          <w:shd w:val="clear" w:color="auto" w:fill="FFFFFF"/>
        </w:rPr>
        <w:t>). It was most effective at the inhibition of TFLLRN-NH</w:t>
      </w:r>
      <w:r w:rsidRPr="00767B55">
        <w:rPr>
          <w:rFonts w:cstheme="minorHAnsi"/>
          <w:color w:val="000000"/>
          <w:shd w:val="clear" w:color="auto" w:fill="FFFFFF"/>
          <w:vertAlign w:val="subscript"/>
        </w:rPr>
        <w:t>2</w:t>
      </w:r>
      <w:r w:rsidRPr="00767B55">
        <w:rPr>
          <w:rFonts w:cstheme="minorHAnsi"/>
          <w:color w:val="000000"/>
          <w:shd w:val="clear" w:color="auto" w:fill="FFFFFF"/>
        </w:rPr>
        <w:t>-driven calcium mobilization, with an IC</w:t>
      </w:r>
      <w:r w:rsidRPr="00767B55">
        <w:rPr>
          <w:rFonts w:cstheme="minorHAnsi"/>
          <w:color w:val="000000"/>
          <w:shd w:val="clear" w:color="auto" w:fill="FFFFFF"/>
          <w:vertAlign w:val="subscript"/>
        </w:rPr>
        <w:t>50</w:t>
      </w:r>
      <w:r w:rsidRPr="00767B55">
        <w:rPr>
          <w:rFonts w:cstheme="minorHAnsi"/>
          <w:color w:val="000000"/>
          <w:shd w:val="clear" w:color="auto" w:fill="FFFFFF"/>
        </w:rPr>
        <w:t xml:space="preserve"> of 0.14 </w:t>
      </w:r>
      <w:proofErr w:type="spellStart"/>
      <w:r w:rsidRPr="00767B55">
        <w:rPr>
          <w:rFonts w:cstheme="minorHAnsi"/>
          <w:color w:val="000000"/>
          <w:shd w:val="clear" w:color="auto" w:fill="FFFFFF"/>
        </w:rPr>
        <w:t>μM</w:t>
      </w:r>
      <w:proofErr w:type="spellEnd"/>
      <w:r w:rsidRPr="00767B55">
        <w:rPr>
          <w:rFonts w:cstheme="minorHAnsi"/>
          <w:color w:val="000000"/>
          <w:shd w:val="clear" w:color="auto" w:fill="FFFFFF"/>
        </w:rPr>
        <w:t xml:space="preserve"> and excellent efficacy. The IC</w:t>
      </w:r>
      <w:r w:rsidRPr="00767B55">
        <w:rPr>
          <w:rFonts w:cstheme="minorHAnsi"/>
          <w:color w:val="000000"/>
          <w:shd w:val="clear" w:color="auto" w:fill="FFFFFF"/>
          <w:vertAlign w:val="subscript"/>
        </w:rPr>
        <w:t>50</w:t>
      </w:r>
      <w:r w:rsidRPr="00767B55">
        <w:rPr>
          <w:rFonts w:cstheme="minorHAnsi"/>
          <w:color w:val="000000"/>
          <w:shd w:val="clear" w:color="auto" w:fill="FFFFFF"/>
        </w:rPr>
        <w:t> for inhibition of SFLLRN-NH</w:t>
      </w:r>
      <w:r w:rsidRPr="00767B55">
        <w:rPr>
          <w:rFonts w:cstheme="minorHAnsi"/>
          <w:color w:val="000000"/>
          <w:shd w:val="clear" w:color="auto" w:fill="FFFFFF"/>
          <w:vertAlign w:val="subscript"/>
        </w:rPr>
        <w:t>2</w:t>
      </w:r>
      <w:r w:rsidRPr="00767B55">
        <w:rPr>
          <w:rFonts w:cstheme="minorHAnsi"/>
          <w:color w:val="000000"/>
          <w:shd w:val="clear" w:color="auto" w:fill="FFFFFF"/>
        </w:rPr>
        <w:t xml:space="preserve"> was 3.3 </w:t>
      </w:r>
      <w:proofErr w:type="spellStart"/>
      <w:r w:rsidRPr="00767B55">
        <w:rPr>
          <w:rFonts w:cstheme="minorHAnsi"/>
          <w:color w:val="000000"/>
          <w:shd w:val="clear" w:color="auto" w:fill="FFFFFF"/>
        </w:rPr>
        <w:t>μM</w:t>
      </w:r>
      <w:proofErr w:type="spellEnd"/>
      <w:r w:rsidRPr="00767B55">
        <w:rPr>
          <w:rFonts w:cstheme="minorHAnsi"/>
          <w:color w:val="000000"/>
          <w:shd w:val="clear" w:color="auto" w:fill="FFFFFF"/>
        </w:rPr>
        <w:t>, with lower efficacy. The inhibition of SLIGKV-NH</w:t>
      </w:r>
      <w:r w:rsidRPr="00767B55">
        <w:rPr>
          <w:rFonts w:cstheme="minorHAnsi"/>
          <w:color w:val="000000"/>
          <w:shd w:val="clear" w:color="auto" w:fill="FFFFFF"/>
          <w:vertAlign w:val="subscript"/>
        </w:rPr>
        <w:t>2</w:t>
      </w:r>
      <w:r w:rsidRPr="00767B55">
        <w:rPr>
          <w:rFonts w:cstheme="minorHAnsi"/>
          <w:color w:val="000000"/>
          <w:shd w:val="clear" w:color="auto" w:fill="FFFFFF"/>
        </w:rPr>
        <w:t> by </w:t>
      </w:r>
      <w:r w:rsidRPr="00767B55">
        <w:rPr>
          <w:rFonts w:cstheme="minorHAnsi"/>
          <w:b/>
          <w:bCs/>
          <w:color w:val="000000"/>
          <w:shd w:val="clear" w:color="auto" w:fill="FFFFFF"/>
        </w:rPr>
        <w:t>13d</w:t>
      </w:r>
      <w:r w:rsidRPr="00767B55">
        <w:rPr>
          <w:rFonts w:cstheme="minorHAnsi"/>
          <w:color w:val="000000"/>
          <w:shd w:val="clear" w:color="auto" w:fill="FFFFFF"/>
        </w:rPr>
        <w:t> was less efficient, with an IC</w:t>
      </w:r>
      <w:r w:rsidRPr="00767B55">
        <w:rPr>
          <w:rFonts w:cstheme="minorHAnsi"/>
          <w:color w:val="000000"/>
          <w:shd w:val="clear" w:color="auto" w:fill="FFFFFF"/>
          <w:vertAlign w:val="subscript"/>
        </w:rPr>
        <w:t>50</w:t>
      </w:r>
      <w:r w:rsidRPr="00767B55">
        <w:rPr>
          <w:rFonts w:cstheme="minorHAnsi"/>
          <w:color w:val="000000"/>
          <w:shd w:val="clear" w:color="auto" w:fill="FFFFFF"/>
        </w:rPr>
        <w:t xml:space="preserve"> estimated at 3.5 </w:t>
      </w:r>
      <w:proofErr w:type="spellStart"/>
      <w:r w:rsidRPr="00767B55">
        <w:rPr>
          <w:rFonts w:cstheme="minorHAnsi"/>
          <w:color w:val="000000"/>
          <w:shd w:val="clear" w:color="auto" w:fill="FFFFFF"/>
        </w:rPr>
        <w:t>μM</w:t>
      </w:r>
      <w:proofErr w:type="spellEnd"/>
      <w:r w:rsidRPr="00767B55">
        <w:rPr>
          <w:rFonts w:cstheme="minorHAnsi"/>
          <w:color w:val="000000"/>
          <w:shd w:val="clear" w:color="auto" w:fill="FFFFFF"/>
        </w:rPr>
        <w:t xml:space="preserve">, but with no inhibition observed at </w:t>
      </w:r>
      <w:proofErr w:type="spellStart"/>
      <w:r w:rsidRPr="00767B55">
        <w:rPr>
          <w:rFonts w:cstheme="minorHAnsi"/>
          <w:color w:val="000000"/>
          <w:shd w:val="clear" w:color="auto" w:fill="FFFFFF"/>
        </w:rPr>
        <w:t>submicromolar</w:t>
      </w:r>
      <w:proofErr w:type="spellEnd"/>
      <w:r w:rsidRPr="00767B55">
        <w:rPr>
          <w:rFonts w:cstheme="minorHAnsi"/>
          <w:color w:val="000000"/>
          <w:shd w:val="clear" w:color="auto" w:fill="FFFFFF"/>
        </w:rPr>
        <w:t xml:space="preserve"> concentrations. The bivalent ligand possessing a more hydrophobic spacer (</w:t>
      </w:r>
      <w:r w:rsidRPr="00767B55">
        <w:rPr>
          <w:rFonts w:cstheme="minorHAnsi"/>
          <w:b/>
          <w:bCs/>
          <w:color w:val="000000"/>
          <w:shd w:val="clear" w:color="auto" w:fill="FFFFFF"/>
        </w:rPr>
        <w:t>20</w:t>
      </w:r>
      <w:r w:rsidRPr="00767B55">
        <w:rPr>
          <w:rFonts w:cstheme="minorHAnsi"/>
          <w:color w:val="000000"/>
          <w:shd w:val="clear" w:color="auto" w:fill="FFFFFF"/>
        </w:rPr>
        <w:t>, </w:t>
      </w:r>
      <w:hyperlink r:id="rId90" w:anchor="fig2" w:history="1">
        <w:r w:rsidRPr="00767B55">
          <w:rPr>
            <w:rStyle w:val="Hyperlink"/>
            <w:rFonts w:cstheme="minorHAnsi"/>
            <w:color w:val="336699"/>
            <w:shd w:val="clear" w:color="auto" w:fill="FFFFFF"/>
          </w:rPr>
          <w:t>Figure </w:t>
        </w:r>
      </w:hyperlink>
      <w:hyperlink r:id="rId91" w:anchor="fig2" w:history="1">
        <w:r w:rsidRPr="00767B55">
          <w:rPr>
            <w:rStyle w:val="Hyperlink"/>
            <w:rFonts w:cstheme="minorHAnsi"/>
            <w:color w:val="336699"/>
            <w:shd w:val="clear" w:color="auto" w:fill="FFFFFF"/>
          </w:rPr>
          <w:t>2</w:t>
        </w:r>
      </w:hyperlink>
      <w:r w:rsidRPr="00767B55">
        <w:rPr>
          <w:rFonts w:cstheme="minorHAnsi"/>
          <w:color w:val="000000"/>
          <w:shd w:val="clear" w:color="auto" w:fill="FFFFFF"/>
        </w:rPr>
        <w:t>b) was also tested for its possible improved activity at PAR2; unfortunately, attachment of this spacer did not improve the inhibition of PAR2-mediated signaling (</w:t>
      </w:r>
      <w:hyperlink r:id="rId92" w:history="1">
        <w:r w:rsidRPr="00767B55">
          <w:rPr>
            <w:rStyle w:val="Hyperlink"/>
            <w:rFonts w:cstheme="minorHAnsi"/>
            <w:color w:val="336699"/>
            <w:shd w:val="clear" w:color="auto" w:fill="FFFFFF"/>
          </w:rPr>
          <w:t>Figures S6–S8</w:t>
        </w:r>
      </w:hyperlink>
      <w:r w:rsidRPr="00767B55">
        <w:rPr>
          <w:rFonts w:cstheme="minorHAnsi"/>
          <w:color w:val="000000"/>
          <w:shd w:val="clear" w:color="auto" w:fill="FFFFFF"/>
        </w:rPr>
        <w:t>).</w:t>
      </w:r>
    </w:p>
    <w:p w14:paraId="0FCA54EA" w14:textId="7F0ABCA2" w:rsidR="00767B55" w:rsidRDefault="00767B55" w:rsidP="00A56E38">
      <w:pPr>
        <w:spacing w:after="0"/>
        <w:rPr>
          <w:rFonts w:cstheme="minorHAnsi"/>
        </w:rPr>
      </w:pPr>
      <w:r>
        <w:rPr>
          <w:noProof/>
        </w:rPr>
        <w:drawing>
          <wp:inline distT="0" distB="0" distL="0" distR="0" wp14:anchorId="337B5E40" wp14:editId="0C2C2B98">
            <wp:extent cx="3657600" cy="1527048"/>
            <wp:effectExtent l="0" t="0" r="0" b="0"/>
            <wp:docPr id="10" name="Picture 10" descr="Figure 6. Inhibition of TFLLRN-NH2 (5 μM) PAR1-mediated, SLIGKV-NH2 (5 μM) PAR2-mediated, and SFLLRN-NH2 (3.16 μM) PAR1/2-mediated iCa2+ mobilization of 13d in MDA-MB-231 breast cancer 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igure"/>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3657600" cy="1527048"/>
                    </a:xfrm>
                    <a:prstGeom prst="rect">
                      <a:avLst/>
                    </a:prstGeom>
                    <a:noFill/>
                    <a:ln>
                      <a:noFill/>
                    </a:ln>
                  </pic:spPr>
                </pic:pic>
              </a:graphicData>
            </a:graphic>
          </wp:inline>
        </w:drawing>
      </w:r>
    </w:p>
    <w:p w14:paraId="59F38797" w14:textId="5F9183A7" w:rsidR="00767B55" w:rsidRDefault="00767B55" w:rsidP="0062315B">
      <w:pPr>
        <w:rPr>
          <w:rFonts w:cstheme="minorHAnsi"/>
        </w:rPr>
      </w:pPr>
      <w:r w:rsidRPr="00767B55">
        <w:rPr>
          <w:rFonts w:cstheme="minorHAnsi"/>
        </w:rPr>
        <w:t>Figure 6. Inhibition of TFLLRN-NH</w:t>
      </w:r>
      <w:r w:rsidRPr="00767B55">
        <w:rPr>
          <w:rFonts w:cstheme="minorHAnsi"/>
          <w:vertAlign w:val="subscript"/>
        </w:rPr>
        <w:t>2</w:t>
      </w:r>
      <w:r w:rsidRPr="00767B55">
        <w:rPr>
          <w:rFonts w:cstheme="minorHAnsi"/>
        </w:rPr>
        <w:t xml:space="preserve"> (5 </w:t>
      </w:r>
      <w:proofErr w:type="spellStart"/>
      <w:r w:rsidRPr="00767B55">
        <w:rPr>
          <w:rFonts w:cstheme="minorHAnsi"/>
        </w:rPr>
        <w:t>μM</w:t>
      </w:r>
      <w:proofErr w:type="spellEnd"/>
      <w:r w:rsidRPr="00767B55">
        <w:rPr>
          <w:rFonts w:cstheme="minorHAnsi"/>
        </w:rPr>
        <w:t>) PAR1-mediated, SLIGKV-NH</w:t>
      </w:r>
      <w:r w:rsidRPr="00767B55">
        <w:rPr>
          <w:rFonts w:cstheme="minorHAnsi"/>
          <w:vertAlign w:val="subscript"/>
        </w:rPr>
        <w:t>2</w:t>
      </w:r>
      <w:r w:rsidRPr="00767B55">
        <w:rPr>
          <w:rFonts w:cstheme="minorHAnsi"/>
        </w:rPr>
        <w:t xml:space="preserve"> (5 </w:t>
      </w:r>
      <w:proofErr w:type="spellStart"/>
      <w:r w:rsidRPr="00767B55">
        <w:rPr>
          <w:rFonts w:cstheme="minorHAnsi"/>
        </w:rPr>
        <w:t>μM</w:t>
      </w:r>
      <w:proofErr w:type="spellEnd"/>
      <w:r w:rsidRPr="00767B55">
        <w:rPr>
          <w:rFonts w:cstheme="minorHAnsi"/>
        </w:rPr>
        <w:t>) PAR2-mediated, and SFLLRN-NH</w:t>
      </w:r>
      <w:r w:rsidRPr="00767B55">
        <w:rPr>
          <w:rFonts w:cstheme="minorHAnsi"/>
          <w:vertAlign w:val="subscript"/>
        </w:rPr>
        <w:t>2</w:t>
      </w:r>
      <w:r w:rsidRPr="00767B55">
        <w:rPr>
          <w:rFonts w:cstheme="minorHAnsi"/>
        </w:rPr>
        <w:t xml:space="preserve"> (3.16 </w:t>
      </w:r>
      <w:proofErr w:type="spellStart"/>
      <w:r w:rsidRPr="00767B55">
        <w:rPr>
          <w:rFonts w:cstheme="minorHAnsi"/>
        </w:rPr>
        <w:t>μM</w:t>
      </w:r>
      <w:proofErr w:type="spellEnd"/>
      <w:r w:rsidRPr="00767B55">
        <w:rPr>
          <w:rFonts w:cstheme="minorHAnsi"/>
        </w:rPr>
        <w:t>) PAR1/2-mediated </w:t>
      </w:r>
      <w:r w:rsidRPr="00767B55">
        <w:rPr>
          <w:rFonts w:cstheme="minorHAnsi"/>
          <w:i/>
          <w:iCs/>
        </w:rPr>
        <w:t>i</w:t>
      </w:r>
      <w:r w:rsidRPr="00767B55">
        <w:rPr>
          <w:rFonts w:cstheme="minorHAnsi"/>
        </w:rPr>
        <w:t>Ca</w:t>
      </w:r>
      <w:r w:rsidRPr="00767B55">
        <w:rPr>
          <w:rFonts w:cstheme="minorHAnsi"/>
          <w:vertAlign w:val="superscript"/>
        </w:rPr>
        <w:t>2+</w:t>
      </w:r>
      <w:r w:rsidRPr="00767B55">
        <w:rPr>
          <w:rFonts w:cstheme="minorHAnsi"/>
        </w:rPr>
        <w:t> mobilization of </w:t>
      </w:r>
      <w:r w:rsidRPr="00767B55">
        <w:rPr>
          <w:rFonts w:cstheme="minorHAnsi"/>
          <w:b/>
          <w:bCs/>
        </w:rPr>
        <w:t>13d</w:t>
      </w:r>
      <w:r w:rsidRPr="00767B55">
        <w:rPr>
          <w:rFonts w:cstheme="minorHAnsi"/>
        </w:rPr>
        <w:t> in MDA-MB-231 breast cancer cells.</w:t>
      </w:r>
    </w:p>
    <w:p w14:paraId="5905E662" w14:textId="77777777" w:rsidR="00767B55" w:rsidRPr="00767B55" w:rsidRDefault="00767B55" w:rsidP="00A56E38">
      <w:pPr>
        <w:ind w:firstLine="720"/>
        <w:rPr>
          <w:rFonts w:cstheme="minorHAnsi"/>
        </w:rPr>
      </w:pPr>
      <w:r w:rsidRPr="00767B55">
        <w:rPr>
          <w:rFonts w:cstheme="minorHAnsi"/>
        </w:rPr>
        <w:t>Finally, </w:t>
      </w:r>
      <w:r w:rsidRPr="00767B55">
        <w:rPr>
          <w:rFonts w:cstheme="minorHAnsi"/>
          <w:b/>
          <w:bCs/>
        </w:rPr>
        <w:t>13d</w:t>
      </w:r>
      <w:r w:rsidRPr="00767B55">
        <w:rPr>
          <w:rFonts w:cstheme="minorHAnsi"/>
        </w:rPr>
        <w:t> was tested for its ability to inhibit the natural PAR1- and PAR2-activating proteases thrombin (</w:t>
      </w:r>
      <w:hyperlink r:id="rId94" w:history="1">
        <w:r w:rsidRPr="00767B55">
          <w:rPr>
            <w:rStyle w:val="Hyperlink"/>
            <w:rFonts w:cstheme="minorHAnsi"/>
          </w:rPr>
          <w:t>Figure S9</w:t>
        </w:r>
      </w:hyperlink>
      <w:r w:rsidRPr="00767B55">
        <w:rPr>
          <w:rFonts w:cstheme="minorHAnsi"/>
        </w:rPr>
        <w:t>) and trypsin (</w:t>
      </w:r>
      <w:hyperlink r:id="rId95" w:history="1">
        <w:r w:rsidRPr="00767B55">
          <w:rPr>
            <w:rStyle w:val="Hyperlink"/>
            <w:rFonts w:cstheme="minorHAnsi"/>
          </w:rPr>
          <w:t>Figure S10</w:t>
        </w:r>
      </w:hyperlink>
      <w:r w:rsidRPr="00767B55">
        <w:rPr>
          <w:rFonts w:cstheme="minorHAnsi"/>
        </w:rPr>
        <w:t>). Compound </w:t>
      </w:r>
      <w:r w:rsidRPr="00767B55">
        <w:rPr>
          <w:rFonts w:cstheme="minorHAnsi"/>
          <w:b/>
          <w:bCs/>
        </w:rPr>
        <w:t>13d</w:t>
      </w:r>
      <w:r w:rsidRPr="00767B55">
        <w:rPr>
          <w:rFonts w:cstheme="minorHAnsi"/>
        </w:rPr>
        <w:t xml:space="preserve"> inhibited 1 </w:t>
      </w:r>
      <w:proofErr w:type="spellStart"/>
      <w:r w:rsidRPr="00767B55">
        <w:rPr>
          <w:rFonts w:cstheme="minorHAnsi"/>
        </w:rPr>
        <w:t>nM</w:t>
      </w:r>
      <w:proofErr w:type="spellEnd"/>
      <w:r w:rsidRPr="00767B55">
        <w:rPr>
          <w:rFonts w:cstheme="minorHAnsi"/>
        </w:rPr>
        <w:t xml:space="preserve"> thrombin with an IC</w:t>
      </w:r>
      <w:r w:rsidRPr="00767B55">
        <w:rPr>
          <w:rFonts w:cstheme="minorHAnsi"/>
          <w:vertAlign w:val="subscript"/>
        </w:rPr>
        <w:t>50</w:t>
      </w:r>
      <w:r w:rsidRPr="00767B55">
        <w:rPr>
          <w:rFonts w:cstheme="minorHAnsi"/>
        </w:rPr>
        <w:t xml:space="preserve"> of 0.36 </w:t>
      </w:r>
      <w:proofErr w:type="spellStart"/>
      <w:r w:rsidRPr="00767B55">
        <w:rPr>
          <w:rFonts w:cstheme="minorHAnsi"/>
        </w:rPr>
        <w:t>μM</w:t>
      </w:r>
      <w:proofErr w:type="spellEnd"/>
      <w:r w:rsidRPr="00767B55">
        <w:rPr>
          <w:rFonts w:cstheme="minorHAnsi"/>
        </w:rPr>
        <w:t xml:space="preserve"> in </w:t>
      </w:r>
      <w:proofErr w:type="gramStart"/>
      <w:r w:rsidRPr="00767B55">
        <w:rPr>
          <w:rFonts w:cstheme="minorHAnsi"/>
        </w:rPr>
        <w:t>Ea.hy</w:t>
      </w:r>
      <w:proofErr w:type="gramEnd"/>
      <w:r w:rsidRPr="00767B55">
        <w:rPr>
          <w:rFonts w:cstheme="minorHAnsi"/>
        </w:rPr>
        <w:t>926 cells, but interestingly, the spacer-linked control </w:t>
      </w:r>
      <w:r w:rsidRPr="00767B55">
        <w:rPr>
          <w:rFonts w:cstheme="minorHAnsi"/>
          <w:b/>
          <w:bCs/>
        </w:rPr>
        <w:t>17</w:t>
      </w:r>
      <w:r w:rsidRPr="00767B55">
        <w:rPr>
          <w:rFonts w:cstheme="minorHAnsi"/>
        </w:rPr>
        <w:t xml:space="preserve"> was </w:t>
      </w:r>
      <w:r w:rsidRPr="00767B55">
        <w:rPr>
          <w:rFonts w:ascii="Cambria Math" w:hAnsi="Cambria Math" w:cs="Cambria Math"/>
        </w:rPr>
        <w:t>∼</w:t>
      </w:r>
      <w:r w:rsidRPr="00767B55">
        <w:rPr>
          <w:rFonts w:cstheme="minorHAnsi"/>
        </w:rPr>
        <w:t>10</w:t>
      </w:r>
      <w:r w:rsidRPr="00767B55">
        <w:rPr>
          <w:rFonts w:ascii="Calibri" w:hAnsi="Calibri" w:cs="Calibri"/>
        </w:rPr>
        <w:t>×</w:t>
      </w:r>
      <w:r w:rsidRPr="00767B55">
        <w:rPr>
          <w:rFonts w:cstheme="minorHAnsi"/>
        </w:rPr>
        <w:t xml:space="preserve"> more potent. The PAR2 antagonist</w:t>
      </w:r>
      <w:r w:rsidRPr="00767B55">
        <w:rPr>
          <w:rFonts w:ascii="Calibri" w:hAnsi="Calibri" w:cs="Calibri"/>
        </w:rPr>
        <w:t> </w:t>
      </w:r>
      <w:r w:rsidRPr="00767B55">
        <w:rPr>
          <w:rFonts w:cstheme="minorHAnsi"/>
          <w:b/>
          <w:bCs/>
        </w:rPr>
        <w:t>10a</w:t>
      </w:r>
      <w:r w:rsidRPr="00767B55">
        <w:rPr>
          <w:rFonts w:cstheme="minorHAnsi"/>
        </w:rPr>
        <w:t xml:space="preserve"> was a potent inhibitor of 5 </w:t>
      </w:r>
      <w:proofErr w:type="spellStart"/>
      <w:r w:rsidRPr="00767B55">
        <w:rPr>
          <w:rFonts w:cstheme="minorHAnsi"/>
        </w:rPr>
        <w:t>nM</w:t>
      </w:r>
      <w:proofErr w:type="spellEnd"/>
      <w:r w:rsidRPr="00767B55">
        <w:rPr>
          <w:rFonts w:cstheme="minorHAnsi"/>
        </w:rPr>
        <w:t xml:space="preserve"> trypsin (IC</w:t>
      </w:r>
      <w:r w:rsidRPr="00767B55">
        <w:rPr>
          <w:rFonts w:cstheme="minorHAnsi"/>
          <w:vertAlign w:val="subscript"/>
        </w:rPr>
        <w:t>50</w:t>
      </w:r>
      <w:r w:rsidRPr="00767B55">
        <w:rPr>
          <w:rFonts w:cstheme="minorHAnsi"/>
        </w:rPr>
        <w:t xml:space="preserve"> = 0.002 </w:t>
      </w:r>
      <w:proofErr w:type="spellStart"/>
      <w:r w:rsidRPr="00767B55">
        <w:rPr>
          <w:rFonts w:cstheme="minorHAnsi"/>
        </w:rPr>
        <w:t>μM</w:t>
      </w:r>
      <w:proofErr w:type="spellEnd"/>
      <w:r w:rsidRPr="00767B55">
        <w:rPr>
          <w:rFonts w:cstheme="minorHAnsi"/>
        </w:rPr>
        <w:t>), but attachment of a spacer (</w:t>
      </w:r>
      <w:r w:rsidRPr="00767B55">
        <w:rPr>
          <w:rFonts w:cstheme="minorHAnsi"/>
          <w:b/>
          <w:bCs/>
        </w:rPr>
        <w:t>15</w:t>
      </w:r>
      <w:r w:rsidRPr="00767B55">
        <w:rPr>
          <w:rFonts w:cstheme="minorHAnsi"/>
        </w:rPr>
        <w:t xml:space="preserve">) </w:t>
      </w:r>
      <w:proofErr w:type="spellStart"/>
      <w:r w:rsidRPr="00767B55">
        <w:rPr>
          <w:rFonts w:cstheme="minorHAnsi"/>
        </w:rPr>
        <w:t>abrograted</w:t>
      </w:r>
      <w:proofErr w:type="spellEnd"/>
      <w:r w:rsidRPr="00767B55">
        <w:rPr>
          <w:rFonts w:cstheme="minorHAnsi"/>
        </w:rPr>
        <w:t xml:space="preserve"> its activity, and the bivalent ligand </w:t>
      </w:r>
      <w:r w:rsidRPr="00767B55">
        <w:rPr>
          <w:rFonts w:cstheme="minorHAnsi"/>
          <w:b/>
          <w:bCs/>
        </w:rPr>
        <w:t>13d</w:t>
      </w:r>
      <w:r w:rsidRPr="00767B55">
        <w:rPr>
          <w:rFonts w:cstheme="minorHAnsi"/>
        </w:rPr>
        <w:t> also showed no inhibition of trypsin.</w:t>
      </w:r>
    </w:p>
    <w:p w14:paraId="526426E0" w14:textId="77777777" w:rsidR="00767B55" w:rsidRPr="00767B55" w:rsidRDefault="00767B55" w:rsidP="00A56E38">
      <w:pPr>
        <w:ind w:firstLine="720"/>
        <w:rPr>
          <w:rFonts w:cstheme="minorHAnsi"/>
        </w:rPr>
      </w:pPr>
      <w:r w:rsidRPr="00767B55">
        <w:rPr>
          <w:rFonts w:cstheme="minorHAnsi"/>
        </w:rPr>
        <w:t>We have reported the first examples of bivalent PAR1–PAR2 antagonists, and we demonstrated that the optimal compound </w:t>
      </w:r>
      <w:r w:rsidRPr="00767B55">
        <w:rPr>
          <w:rFonts w:cstheme="minorHAnsi"/>
          <w:b/>
          <w:bCs/>
        </w:rPr>
        <w:t>13d</w:t>
      </w:r>
      <w:r w:rsidRPr="00767B55">
        <w:rPr>
          <w:rFonts w:cstheme="minorHAnsi"/>
        </w:rPr>
        <w:t xml:space="preserve"> can perform similarly to the combination of monovalent control ligands in the inhibition of intracellular calcium mobilization in the transformed endothelial cell line EA.hy926, as well as the epithelial breast cancer cell line MDA-MB-231. However, the decrease in potency observed upon attachment of PEG-based spacers to the monovalent PAR1 and PAR2 ligands means that the ligands are less potent than the combination of monovalent ligands without spacers attached, though there is always a significant disadvantage of dosing multiple drugs to obtain a desired therapeutic effect. These considerations may be less important than the ability of a </w:t>
      </w:r>
      <w:proofErr w:type="spellStart"/>
      <w:r w:rsidRPr="00767B55">
        <w:rPr>
          <w:rFonts w:cstheme="minorHAnsi"/>
        </w:rPr>
        <w:t>heterobivalent</w:t>
      </w:r>
      <w:proofErr w:type="spellEnd"/>
      <w:r w:rsidRPr="00767B55">
        <w:rPr>
          <w:rFonts w:cstheme="minorHAnsi"/>
        </w:rPr>
        <w:t xml:space="preserve"> ligand to selectively inhibit a putative heteromeric receptor complex that drives a pathological effect, such as metastasis, without interfering with healthy cell signaling. We have not yet obtained evidence that the bivalent ligands disclosed here selectively inhibit putative PAR1–PAR2 complexes; an example of such evidence would be biphasic concentration–response curves, where the ligands inhibit a population of </w:t>
      </w:r>
      <w:proofErr w:type="spellStart"/>
      <w:r w:rsidRPr="00767B55">
        <w:rPr>
          <w:rFonts w:cstheme="minorHAnsi"/>
        </w:rPr>
        <w:t>heteromers</w:t>
      </w:r>
      <w:proofErr w:type="spellEnd"/>
      <w:r w:rsidRPr="00767B55">
        <w:rPr>
          <w:rFonts w:cstheme="minorHAnsi"/>
        </w:rPr>
        <w:t xml:space="preserve"> at lower concentrations. However, the ability to detect low concentrations of such complexes is limited by the precision of the calcium mobilization assay. Receptor binding assays with labeled ligands are planned that would be more suitable for the detection of low populations of </w:t>
      </w:r>
      <w:proofErr w:type="spellStart"/>
      <w:r w:rsidRPr="00767B55">
        <w:rPr>
          <w:rFonts w:cstheme="minorHAnsi"/>
        </w:rPr>
        <w:t>heteromers</w:t>
      </w:r>
      <w:proofErr w:type="spellEnd"/>
      <w:r w:rsidRPr="00767B55">
        <w:rPr>
          <w:rFonts w:cstheme="minorHAnsi"/>
        </w:rPr>
        <w:t>, and studies on PAR-driven cancer cell migration are also underway. The main weakness of the present ligands is their decrease in potency at PAR2 upon attachment of spacers to the PAR2 antagonist scaffolds, and therefore, we are presently investigating alternative PAR2 antagonists and spacers. Bivalent PAR1–PAR2 antagonists are a novel class of ligands that may hold promise for the inhibition of cancer cell metastasis, restenosis, and other proliferative diseases.</w:t>
      </w:r>
    </w:p>
    <w:p w14:paraId="2E48BA21" w14:textId="77777777" w:rsidR="00767B55" w:rsidRPr="00767B55" w:rsidRDefault="00AE1F85" w:rsidP="00767B55">
      <w:pPr>
        <w:pStyle w:val="Heading1"/>
      </w:pPr>
      <w:hyperlink r:id="rId96" w:history="1">
        <w:r w:rsidR="00767B55" w:rsidRPr="00767B55">
          <w:rPr>
            <w:rStyle w:val="Hyperlink"/>
            <w:color w:val="262626" w:themeColor="text1" w:themeTint="D9"/>
            <w:u w:val="none"/>
          </w:rPr>
          <w:t>Supporting Information</w:t>
        </w:r>
      </w:hyperlink>
    </w:p>
    <w:p w14:paraId="270593A0" w14:textId="77777777" w:rsidR="00767B55" w:rsidRPr="00767B55" w:rsidRDefault="00767B55" w:rsidP="00767B55">
      <w:pPr>
        <w:rPr>
          <w:rFonts w:cstheme="minorHAnsi"/>
        </w:rPr>
      </w:pPr>
      <w:r w:rsidRPr="00767B55">
        <w:rPr>
          <w:rFonts w:cstheme="minorHAnsi"/>
        </w:rPr>
        <w:t>The Supporting Information is available free of charge on the </w:t>
      </w:r>
      <w:hyperlink r:id="rId97" w:history="1">
        <w:r w:rsidRPr="00767B55">
          <w:rPr>
            <w:rStyle w:val="Hyperlink"/>
            <w:rFonts w:cstheme="minorHAnsi"/>
          </w:rPr>
          <w:t>ACS Publications website</w:t>
        </w:r>
      </w:hyperlink>
      <w:r w:rsidRPr="00767B55">
        <w:rPr>
          <w:rFonts w:cstheme="minorHAnsi"/>
        </w:rPr>
        <w:t> at DOI: </w:t>
      </w:r>
      <w:hyperlink r:id="rId98" w:history="1">
        <w:r w:rsidRPr="00767B55">
          <w:rPr>
            <w:rStyle w:val="Hyperlink"/>
            <w:rFonts w:cstheme="minorHAnsi"/>
          </w:rPr>
          <w:t>10.1021/acsmedchemlett.8b00538</w:t>
        </w:r>
      </w:hyperlink>
      <w:r w:rsidRPr="00767B55">
        <w:rPr>
          <w:rFonts w:cstheme="minorHAnsi"/>
        </w:rPr>
        <w:t>.</w:t>
      </w:r>
    </w:p>
    <w:p w14:paraId="1BFD2610" w14:textId="77777777" w:rsidR="00767B55" w:rsidRPr="00767B55" w:rsidRDefault="00767B55" w:rsidP="00767B55">
      <w:pPr>
        <w:numPr>
          <w:ilvl w:val="0"/>
          <w:numId w:val="1"/>
        </w:numPr>
        <w:rPr>
          <w:rFonts w:cstheme="minorHAnsi"/>
        </w:rPr>
      </w:pPr>
      <w:r w:rsidRPr="00767B55">
        <w:rPr>
          <w:rFonts w:cstheme="minorHAnsi"/>
        </w:rPr>
        <w:t>Additional abbreviations; Schemes S1–S3; Figures S1–S10; assay protocols; plasma stability assay protocol and data for </w:t>
      </w:r>
      <w:r w:rsidRPr="00767B55">
        <w:rPr>
          <w:rFonts w:cstheme="minorHAnsi"/>
          <w:b/>
          <w:bCs/>
        </w:rPr>
        <w:t>13d</w:t>
      </w:r>
      <w:r w:rsidRPr="00767B55">
        <w:rPr>
          <w:rFonts w:cstheme="minorHAnsi"/>
        </w:rPr>
        <w:t>; synthetic protocols; and characterization data (</w:t>
      </w:r>
      <w:r w:rsidRPr="00767B55">
        <w:rPr>
          <w:rFonts w:cstheme="minorHAnsi"/>
          <w:vertAlign w:val="superscript"/>
        </w:rPr>
        <w:t>1</w:t>
      </w:r>
      <w:r w:rsidRPr="00767B55">
        <w:rPr>
          <w:rFonts w:cstheme="minorHAnsi"/>
        </w:rPr>
        <w:t>H NMR, </w:t>
      </w:r>
      <w:r w:rsidRPr="00767B55">
        <w:rPr>
          <w:rFonts w:cstheme="minorHAnsi"/>
          <w:vertAlign w:val="superscript"/>
        </w:rPr>
        <w:t>13</w:t>
      </w:r>
      <w:r w:rsidRPr="00767B55">
        <w:rPr>
          <w:rFonts w:cstheme="minorHAnsi"/>
        </w:rPr>
        <w:t>C NMR, and LC–MS chromatograms) (</w:t>
      </w:r>
      <w:hyperlink r:id="rId99" w:history="1">
        <w:r w:rsidRPr="00767B55">
          <w:rPr>
            <w:rStyle w:val="Hyperlink"/>
            <w:rFonts w:cstheme="minorHAnsi"/>
          </w:rPr>
          <w:t>PDF</w:t>
        </w:r>
      </w:hyperlink>
      <w:r w:rsidRPr="00767B55">
        <w:rPr>
          <w:rFonts w:cstheme="minorHAnsi"/>
        </w:rPr>
        <w:t>)</w:t>
      </w:r>
    </w:p>
    <w:p w14:paraId="59A9EB7C" w14:textId="77777777" w:rsidR="00767B55" w:rsidRPr="00767B55" w:rsidRDefault="00767B55" w:rsidP="00767B55">
      <w:pPr>
        <w:numPr>
          <w:ilvl w:val="0"/>
          <w:numId w:val="2"/>
        </w:numPr>
        <w:rPr>
          <w:rFonts w:cstheme="minorHAnsi"/>
          <w:b/>
          <w:bCs/>
        </w:rPr>
      </w:pPr>
      <w:r w:rsidRPr="00767B55">
        <w:rPr>
          <w:rFonts w:cstheme="minorHAnsi"/>
          <w:b/>
          <w:bCs/>
        </w:rPr>
        <w:t>PDF</w:t>
      </w:r>
    </w:p>
    <w:p w14:paraId="66BBCC4F" w14:textId="77777777" w:rsidR="00767B55" w:rsidRPr="00767B55" w:rsidRDefault="00AE1F85" w:rsidP="00767B55">
      <w:pPr>
        <w:numPr>
          <w:ilvl w:val="1"/>
          <w:numId w:val="2"/>
        </w:numPr>
        <w:rPr>
          <w:rFonts w:cstheme="minorHAnsi"/>
        </w:rPr>
      </w:pPr>
      <w:hyperlink r:id="rId100" w:history="1">
        <w:r w:rsidR="00767B55" w:rsidRPr="00767B55">
          <w:rPr>
            <w:rStyle w:val="Hyperlink"/>
            <w:rFonts w:cstheme="minorHAnsi"/>
          </w:rPr>
          <w:t>ml8b00538_si_001.pdf (5.59 MB)</w:t>
        </w:r>
      </w:hyperlink>
    </w:p>
    <w:p w14:paraId="174BC056" w14:textId="77777777" w:rsidR="00767B55" w:rsidRDefault="00767B55" w:rsidP="00767B55">
      <w:pPr>
        <w:pStyle w:val="Heading1"/>
      </w:pPr>
      <w:r>
        <w:t>Acknowledgments</w:t>
      </w:r>
    </w:p>
    <w:p w14:paraId="44E3FF8D" w14:textId="77777777" w:rsidR="00767B55" w:rsidRPr="00767B55" w:rsidRDefault="00767B55" w:rsidP="00121E9E">
      <w:pPr>
        <w:ind w:firstLine="720"/>
        <w:rPr>
          <w:rFonts w:cstheme="minorHAnsi"/>
        </w:rPr>
      </w:pPr>
      <w:r w:rsidRPr="00767B55">
        <w:rPr>
          <w:rFonts w:cstheme="minorHAnsi"/>
        </w:rPr>
        <w:t xml:space="preserve">We thank Dr. Hartmut </w:t>
      </w:r>
      <w:proofErr w:type="spellStart"/>
      <w:r w:rsidRPr="00767B55">
        <w:rPr>
          <w:rFonts w:cstheme="minorHAnsi"/>
        </w:rPr>
        <w:t>Weiler</w:t>
      </w:r>
      <w:proofErr w:type="spellEnd"/>
      <w:r w:rsidRPr="00767B55">
        <w:rPr>
          <w:rFonts w:cstheme="minorHAnsi"/>
        </w:rPr>
        <w:t xml:space="preserve">, Irene Hernandez, and Trudy </w:t>
      </w:r>
      <w:proofErr w:type="spellStart"/>
      <w:r w:rsidRPr="00767B55">
        <w:rPr>
          <w:rFonts w:cstheme="minorHAnsi"/>
        </w:rPr>
        <w:t>Holyst</w:t>
      </w:r>
      <w:proofErr w:type="spellEnd"/>
      <w:r w:rsidRPr="00767B55">
        <w:rPr>
          <w:rFonts w:cstheme="minorHAnsi"/>
        </w:rPr>
        <w:t xml:space="preserve"> (Blood Research Institute) for assistance with cell culture and assay troubleshooting, Dr. Michael </w:t>
      </w:r>
      <w:proofErr w:type="spellStart"/>
      <w:r w:rsidRPr="00767B55">
        <w:rPr>
          <w:rFonts w:cstheme="minorHAnsi"/>
        </w:rPr>
        <w:t>Dwinell</w:t>
      </w:r>
      <w:proofErr w:type="spellEnd"/>
      <w:r w:rsidRPr="00767B55">
        <w:rPr>
          <w:rFonts w:cstheme="minorHAnsi"/>
        </w:rPr>
        <w:t xml:space="preserve"> and Donna McAllister (Medical College of Wisconsin) for helpful advice and a sample of MDA-MB-231 cells, Prof. Nicolas </w:t>
      </w:r>
      <w:proofErr w:type="spellStart"/>
      <w:r w:rsidRPr="00767B55">
        <w:rPr>
          <w:rFonts w:cstheme="minorHAnsi"/>
        </w:rPr>
        <w:t>Moitessier</w:t>
      </w:r>
      <w:proofErr w:type="spellEnd"/>
      <w:r w:rsidRPr="00767B55">
        <w:rPr>
          <w:rFonts w:cstheme="minorHAnsi"/>
        </w:rPr>
        <w:t xml:space="preserve"> for providing access to FITTED docking software, Dr. Rachel Jones (Medical College of Wisconsin) for advice regarding the </w:t>
      </w:r>
      <w:proofErr w:type="spellStart"/>
      <w:r w:rsidRPr="00767B55">
        <w:rPr>
          <w:rFonts w:cstheme="minorHAnsi"/>
        </w:rPr>
        <w:t>CuAAC</w:t>
      </w:r>
      <w:proofErr w:type="spellEnd"/>
      <w:r w:rsidRPr="00767B55">
        <w:rPr>
          <w:rFonts w:cstheme="minorHAnsi"/>
        </w:rPr>
        <w:t xml:space="preserve"> reaction, Elliot </w:t>
      </w:r>
      <w:proofErr w:type="spellStart"/>
      <w:r w:rsidRPr="00767B55">
        <w:rPr>
          <w:rFonts w:cstheme="minorHAnsi"/>
        </w:rPr>
        <w:t>DeMilo</w:t>
      </w:r>
      <w:proofErr w:type="spellEnd"/>
      <w:r w:rsidRPr="00767B55">
        <w:rPr>
          <w:rFonts w:cstheme="minorHAnsi"/>
        </w:rPr>
        <w:t xml:space="preserve"> (Univ. Wisconsin-Milwaukee) for assistance with the stability study, and Dr. Sheng Cai (Marquette University) for assistance with LC–MS and NMR instruments. We thank ACD/Labs (NMR processing) and </w:t>
      </w:r>
      <w:proofErr w:type="spellStart"/>
      <w:r w:rsidRPr="00767B55">
        <w:rPr>
          <w:rFonts w:cstheme="minorHAnsi"/>
        </w:rPr>
        <w:t>ChemAxon</w:t>
      </w:r>
      <w:proofErr w:type="spellEnd"/>
      <w:r w:rsidRPr="00767B55">
        <w:rPr>
          <w:rFonts w:cstheme="minorHAnsi"/>
        </w:rPr>
        <w:t xml:space="preserve"> (NMR prediction and property prediction) for providing access to software.</w:t>
      </w:r>
    </w:p>
    <w:tbl>
      <w:tblPr>
        <w:tblStyle w:val="TableGridLight"/>
        <w:tblW w:w="8250" w:type="dxa"/>
        <w:tblLook w:val="04A0" w:firstRow="1" w:lastRow="0" w:firstColumn="1" w:lastColumn="0" w:noHBand="0" w:noVBand="1"/>
        <w:tblDescription w:val=""/>
      </w:tblPr>
      <w:tblGrid>
        <w:gridCol w:w="1675"/>
        <w:gridCol w:w="6575"/>
      </w:tblGrid>
      <w:tr w:rsidR="00121E9E" w:rsidRPr="00767B55" w14:paraId="2B5A4FB9" w14:textId="77777777" w:rsidTr="001B077F">
        <w:tc>
          <w:tcPr>
            <w:tcW w:w="0" w:type="auto"/>
            <w:hideMark/>
          </w:tcPr>
          <w:p w14:paraId="32E994B4" w14:textId="77777777" w:rsidR="00121E9E" w:rsidRPr="00767B55" w:rsidRDefault="00121E9E" w:rsidP="00121E9E">
            <w:pPr>
              <w:rPr>
                <w:rFonts w:cstheme="minorHAnsi"/>
              </w:rPr>
            </w:pPr>
            <w:r w:rsidRPr="00767B55">
              <w:rPr>
                <w:rFonts w:cstheme="minorHAnsi"/>
              </w:rPr>
              <w:t>ABBREVIATIONS</w:t>
            </w:r>
          </w:p>
        </w:tc>
        <w:tc>
          <w:tcPr>
            <w:tcW w:w="0" w:type="auto"/>
          </w:tcPr>
          <w:p w14:paraId="79CF937E" w14:textId="24FDAD2E" w:rsidR="00121E9E" w:rsidRPr="00767B55" w:rsidRDefault="00121E9E" w:rsidP="00121E9E">
            <w:pPr>
              <w:rPr>
                <w:rFonts w:cstheme="minorHAnsi"/>
              </w:rPr>
            </w:pPr>
          </w:p>
        </w:tc>
      </w:tr>
      <w:tr w:rsidR="00767B55" w:rsidRPr="00767B55" w14:paraId="2D1C94A0" w14:textId="77777777" w:rsidTr="001B077F">
        <w:tc>
          <w:tcPr>
            <w:tcW w:w="0" w:type="auto"/>
            <w:hideMark/>
          </w:tcPr>
          <w:p w14:paraId="42B124EE" w14:textId="77777777" w:rsidR="00767B55" w:rsidRPr="00767B55" w:rsidRDefault="00767B55" w:rsidP="00121E9E">
            <w:pPr>
              <w:rPr>
                <w:rFonts w:cstheme="minorHAnsi"/>
              </w:rPr>
            </w:pPr>
            <w:proofErr w:type="spellStart"/>
            <w:r w:rsidRPr="00767B55">
              <w:rPr>
                <w:rFonts w:cstheme="minorHAnsi"/>
              </w:rPr>
              <w:t>Boc</w:t>
            </w:r>
            <w:proofErr w:type="spellEnd"/>
          </w:p>
        </w:tc>
        <w:tc>
          <w:tcPr>
            <w:tcW w:w="0" w:type="auto"/>
            <w:hideMark/>
          </w:tcPr>
          <w:p w14:paraId="20E28532" w14:textId="77777777" w:rsidR="00767B55" w:rsidRPr="00767B55" w:rsidRDefault="00767B55" w:rsidP="00121E9E">
            <w:pPr>
              <w:rPr>
                <w:rFonts w:cstheme="minorHAnsi"/>
              </w:rPr>
            </w:pPr>
            <w:r w:rsidRPr="00767B55">
              <w:rPr>
                <w:rFonts w:cstheme="minorHAnsi"/>
                <w:i/>
                <w:iCs/>
              </w:rPr>
              <w:t>tert</w:t>
            </w:r>
            <w:r w:rsidRPr="00767B55">
              <w:rPr>
                <w:rFonts w:cstheme="minorHAnsi"/>
              </w:rPr>
              <w:t>-</w:t>
            </w:r>
            <w:proofErr w:type="spellStart"/>
            <w:r w:rsidRPr="00767B55">
              <w:rPr>
                <w:rFonts w:cstheme="minorHAnsi"/>
              </w:rPr>
              <w:t>butoxycarbonyl</w:t>
            </w:r>
            <w:proofErr w:type="spellEnd"/>
          </w:p>
        </w:tc>
      </w:tr>
      <w:tr w:rsidR="00767B55" w:rsidRPr="00767B55" w14:paraId="72831977" w14:textId="77777777" w:rsidTr="001B077F">
        <w:tc>
          <w:tcPr>
            <w:tcW w:w="0" w:type="auto"/>
            <w:hideMark/>
          </w:tcPr>
          <w:p w14:paraId="3C7E8036" w14:textId="77777777" w:rsidR="00767B55" w:rsidRPr="00767B55" w:rsidRDefault="00767B55" w:rsidP="00121E9E">
            <w:pPr>
              <w:rPr>
                <w:rFonts w:cstheme="minorHAnsi"/>
              </w:rPr>
            </w:pPr>
            <w:proofErr w:type="spellStart"/>
            <w:r w:rsidRPr="00767B55">
              <w:rPr>
                <w:rFonts w:cstheme="minorHAnsi"/>
              </w:rPr>
              <w:t>CuAAc</w:t>
            </w:r>
            <w:proofErr w:type="spellEnd"/>
          </w:p>
        </w:tc>
        <w:tc>
          <w:tcPr>
            <w:tcW w:w="0" w:type="auto"/>
            <w:hideMark/>
          </w:tcPr>
          <w:p w14:paraId="5C097966" w14:textId="77777777" w:rsidR="00767B55" w:rsidRPr="00767B55" w:rsidRDefault="00767B55" w:rsidP="00121E9E">
            <w:pPr>
              <w:rPr>
                <w:rFonts w:cstheme="minorHAnsi"/>
              </w:rPr>
            </w:pPr>
            <w:r w:rsidRPr="00767B55">
              <w:rPr>
                <w:rFonts w:cstheme="minorHAnsi"/>
              </w:rPr>
              <w:t>copper-catalyzed alkyne/</w:t>
            </w:r>
            <w:proofErr w:type="spellStart"/>
            <w:r w:rsidRPr="00767B55">
              <w:rPr>
                <w:rFonts w:cstheme="minorHAnsi"/>
              </w:rPr>
              <w:t>azide</w:t>
            </w:r>
            <w:proofErr w:type="spellEnd"/>
            <w:r w:rsidRPr="00767B55">
              <w:rPr>
                <w:rFonts w:cstheme="minorHAnsi"/>
              </w:rPr>
              <w:t xml:space="preserve"> cycloadditions</w:t>
            </w:r>
          </w:p>
        </w:tc>
      </w:tr>
      <w:tr w:rsidR="00767B55" w:rsidRPr="00767B55" w14:paraId="306C0F34" w14:textId="77777777" w:rsidTr="001B077F">
        <w:tc>
          <w:tcPr>
            <w:tcW w:w="0" w:type="auto"/>
            <w:hideMark/>
          </w:tcPr>
          <w:p w14:paraId="2A74DB26" w14:textId="77777777" w:rsidR="00767B55" w:rsidRPr="00767B55" w:rsidRDefault="00767B55" w:rsidP="00121E9E">
            <w:pPr>
              <w:rPr>
                <w:rFonts w:cstheme="minorHAnsi"/>
              </w:rPr>
            </w:pPr>
            <w:r w:rsidRPr="00767B55">
              <w:rPr>
                <w:rFonts w:cstheme="minorHAnsi"/>
              </w:rPr>
              <w:t>DCE</w:t>
            </w:r>
          </w:p>
        </w:tc>
        <w:tc>
          <w:tcPr>
            <w:tcW w:w="0" w:type="auto"/>
            <w:hideMark/>
          </w:tcPr>
          <w:p w14:paraId="60081074" w14:textId="77777777" w:rsidR="00767B55" w:rsidRPr="00767B55" w:rsidRDefault="00767B55" w:rsidP="00121E9E">
            <w:pPr>
              <w:rPr>
                <w:rFonts w:cstheme="minorHAnsi"/>
              </w:rPr>
            </w:pPr>
            <w:r w:rsidRPr="00767B55">
              <w:rPr>
                <w:rFonts w:cstheme="minorHAnsi"/>
              </w:rPr>
              <w:t>1,2-dichloroethane</w:t>
            </w:r>
          </w:p>
        </w:tc>
      </w:tr>
      <w:tr w:rsidR="00767B55" w:rsidRPr="00767B55" w14:paraId="63580838" w14:textId="77777777" w:rsidTr="001B077F">
        <w:tc>
          <w:tcPr>
            <w:tcW w:w="0" w:type="auto"/>
            <w:hideMark/>
          </w:tcPr>
          <w:p w14:paraId="3C90084C" w14:textId="77777777" w:rsidR="00767B55" w:rsidRPr="00767B55" w:rsidRDefault="00767B55" w:rsidP="00121E9E">
            <w:pPr>
              <w:rPr>
                <w:rFonts w:cstheme="minorHAnsi"/>
              </w:rPr>
            </w:pPr>
            <w:r w:rsidRPr="00767B55">
              <w:rPr>
                <w:rFonts w:cstheme="minorHAnsi"/>
              </w:rPr>
              <w:t>DCM</w:t>
            </w:r>
          </w:p>
        </w:tc>
        <w:tc>
          <w:tcPr>
            <w:tcW w:w="0" w:type="auto"/>
            <w:hideMark/>
          </w:tcPr>
          <w:p w14:paraId="7C9B0D3E" w14:textId="77777777" w:rsidR="00767B55" w:rsidRPr="00767B55" w:rsidRDefault="00767B55" w:rsidP="00121E9E">
            <w:pPr>
              <w:rPr>
                <w:rFonts w:cstheme="minorHAnsi"/>
              </w:rPr>
            </w:pPr>
            <w:r w:rsidRPr="00767B55">
              <w:rPr>
                <w:rFonts w:cstheme="minorHAnsi"/>
              </w:rPr>
              <w:t>dichloromethane</w:t>
            </w:r>
          </w:p>
        </w:tc>
      </w:tr>
      <w:tr w:rsidR="00767B55" w:rsidRPr="00767B55" w14:paraId="0845D44B" w14:textId="77777777" w:rsidTr="001B077F">
        <w:tc>
          <w:tcPr>
            <w:tcW w:w="0" w:type="auto"/>
            <w:hideMark/>
          </w:tcPr>
          <w:p w14:paraId="4340408F" w14:textId="77777777" w:rsidR="00767B55" w:rsidRPr="00767B55" w:rsidRDefault="00767B55" w:rsidP="00121E9E">
            <w:pPr>
              <w:rPr>
                <w:rFonts w:cstheme="minorHAnsi"/>
              </w:rPr>
            </w:pPr>
            <w:r w:rsidRPr="00767B55">
              <w:rPr>
                <w:rFonts w:cstheme="minorHAnsi"/>
              </w:rPr>
              <w:t>DIEA</w:t>
            </w:r>
          </w:p>
        </w:tc>
        <w:tc>
          <w:tcPr>
            <w:tcW w:w="0" w:type="auto"/>
            <w:hideMark/>
          </w:tcPr>
          <w:p w14:paraId="12F97D3A" w14:textId="77777777" w:rsidR="00767B55" w:rsidRPr="00767B55" w:rsidRDefault="00767B55" w:rsidP="00121E9E">
            <w:pPr>
              <w:rPr>
                <w:rFonts w:cstheme="minorHAnsi"/>
              </w:rPr>
            </w:pPr>
            <w:proofErr w:type="gramStart"/>
            <w:r w:rsidRPr="00767B55">
              <w:rPr>
                <w:rFonts w:cstheme="minorHAnsi"/>
                <w:i/>
                <w:iCs/>
              </w:rPr>
              <w:t>N</w:t>
            </w:r>
            <w:r w:rsidRPr="00767B55">
              <w:rPr>
                <w:rFonts w:cstheme="minorHAnsi"/>
              </w:rPr>
              <w:t>,</w:t>
            </w:r>
            <w:r w:rsidRPr="00767B55">
              <w:rPr>
                <w:rFonts w:cstheme="minorHAnsi"/>
                <w:i/>
                <w:iCs/>
              </w:rPr>
              <w:t>N</w:t>
            </w:r>
            <w:proofErr w:type="gramEnd"/>
            <w:r w:rsidRPr="00767B55">
              <w:rPr>
                <w:rFonts w:cstheme="minorHAnsi"/>
              </w:rPr>
              <w:t>-diisopropylethylamine</w:t>
            </w:r>
          </w:p>
        </w:tc>
      </w:tr>
      <w:tr w:rsidR="00767B55" w:rsidRPr="00767B55" w14:paraId="2B57D1A9" w14:textId="77777777" w:rsidTr="001B077F">
        <w:tc>
          <w:tcPr>
            <w:tcW w:w="0" w:type="auto"/>
            <w:hideMark/>
          </w:tcPr>
          <w:p w14:paraId="79EDF9E4" w14:textId="77777777" w:rsidR="00767B55" w:rsidRPr="00767B55" w:rsidRDefault="00767B55" w:rsidP="00121E9E">
            <w:pPr>
              <w:rPr>
                <w:rFonts w:cstheme="minorHAnsi"/>
              </w:rPr>
            </w:pPr>
            <w:r w:rsidRPr="00767B55">
              <w:rPr>
                <w:rFonts w:cstheme="minorHAnsi"/>
              </w:rPr>
              <w:t>DMAP</w:t>
            </w:r>
          </w:p>
        </w:tc>
        <w:tc>
          <w:tcPr>
            <w:tcW w:w="0" w:type="auto"/>
            <w:hideMark/>
          </w:tcPr>
          <w:p w14:paraId="399885F5" w14:textId="77777777" w:rsidR="00767B55" w:rsidRPr="00767B55" w:rsidRDefault="00767B55" w:rsidP="00121E9E">
            <w:pPr>
              <w:rPr>
                <w:rFonts w:cstheme="minorHAnsi"/>
              </w:rPr>
            </w:pPr>
            <w:r w:rsidRPr="00767B55">
              <w:rPr>
                <w:rFonts w:cstheme="minorHAnsi"/>
              </w:rPr>
              <w:t>4-dimethylaminopyridine</w:t>
            </w:r>
          </w:p>
        </w:tc>
      </w:tr>
      <w:tr w:rsidR="00767B55" w:rsidRPr="00767B55" w14:paraId="53F9B905" w14:textId="77777777" w:rsidTr="001B077F">
        <w:tc>
          <w:tcPr>
            <w:tcW w:w="0" w:type="auto"/>
            <w:hideMark/>
          </w:tcPr>
          <w:p w14:paraId="63130913" w14:textId="77777777" w:rsidR="00767B55" w:rsidRPr="00767B55" w:rsidRDefault="00767B55" w:rsidP="00121E9E">
            <w:pPr>
              <w:rPr>
                <w:rFonts w:cstheme="minorHAnsi"/>
              </w:rPr>
            </w:pPr>
            <w:r w:rsidRPr="00767B55">
              <w:rPr>
                <w:rFonts w:cstheme="minorHAnsi"/>
              </w:rPr>
              <w:t>DPPF</w:t>
            </w:r>
          </w:p>
        </w:tc>
        <w:tc>
          <w:tcPr>
            <w:tcW w:w="0" w:type="auto"/>
            <w:hideMark/>
          </w:tcPr>
          <w:p w14:paraId="6C4FFF15" w14:textId="77777777" w:rsidR="00767B55" w:rsidRPr="00767B55" w:rsidRDefault="00767B55" w:rsidP="00121E9E">
            <w:pPr>
              <w:rPr>
                <w:rFonts w:cstheme="minorHAnsi"/>
              </w:rPr>
            </w:pPr>
            <w:r w:rsidRPr="00767B55">
              <w:rPr>
                <w:rFonts w:cstheme="minorHAnsi"/>
              </w:rPr>
              <w:t>1,1′-bis(</w:t>
            </w:r>
            <w:proofErr w:type="spellStart"/>
            <w:r w:rsidRPr="00767B55">
              <w:rPr>
                <w:rFonts w:cstheme="minorHAnsi"/>
              </w:rPr>
              <w:t>diphenylphosphino</w:t>
            </w:r>
            <w:proofErr w:type="spellEnd"/>
            <w:r w:rsidRPr="00767B55">
              <w:rPr>
                <w:rFonts w:cstheme="minorHAnsi"/>
              </w:rPr>
              <w:t>)ferrocene</w:t>
            </w:r>
          </w:p>
        </w:tc>
      </w:tr>
      <w:tr w:rsidR="00767B55" w:rsidRPr="00767B55" w14:paraId="6A9D74F9" w14:textId="77777777" w:rsidTr="001B077F">
        <w:tc>
          <w:tcPr>
            <w:tcW w:w="0" w:type="auto"/>
            <w:hideMark/>
          </w:tcPr>
          <w:p w14:paraId="2E3BE057" w14:textId="77777777" w:rsidR="00767B55" w:rsidRPr="00767B55" w:rsidRDefault="00767B55" w:rsidP="00121E9E">
            <w:pPr>
              <w:rPr>
                <w:rFonts w:cstheme="minorHAnsi"/>
              </w:rPr>
            </w:pPr>
            <w:r w:rsidRPr="00767B55">
              <w:rPr>
                <w:rFonts w:cstheme="minorHAnsi"/>
              </w:rPr>
              <w:t>EDC</w:t>
            </w:r>
          </w:p>
        </w:tc>
        <w:tc>
          <w:tcPr>
            <w:tcW w:w="0" w:type="auto"/>
            <w:hideMark/>
          </w:tcPr>
          <w:p w14:paraId="4A1A362F" w14:textId="77777777" w:rsidR="00767B55" w:rsidRPr="00767B55" w:rsidRDefault="00767B55" w:rsidP="00121E9E">
            <w:pPr>
              <w:rPr>
                <w:rFonts w:cstheme="minorHAnsi"/>
              </w:rPr>
            </w:pPr>
            <w:r w:rsidRPr="00767B55">
              <w:rPr>
                <w:rFonts w:cstheme="minorHAnsi"/>
              </w:rPr>
              <w:t>1-ethyl-3-(3-(</w:t>
            </w:r>
            <w:proofErr w:type="spellStart"/>
            <w:r w:rsidRPr="00767B55">
              <w:rPr>
                <w:rFonts w:cstheme="minorHAnsi"/>
              </w:rPr>
              <w:t>dimethylamino</w:t>
            </w:r>
            <w:proofErr w:type="spellEnd"/>
            <w:r w:rsidRPr="00767B55">
              <w:rPr>
                <w:rFonts w:cstheme="minorHAnsi"/>
              </w:rPr>
              <w:t>)</w:t>
            </w:r>
            <w:proofErr w:type="gramStart"/>
            <w:r w:rsidRPr="00767B55">
              <w:rPr>
                <w:rFonts w:cstheme="minorHAnsi"/>
              </w:rPr>
              <w:t>propyl)carbodiimide</w:t>
            </w:r>
            <w:proofErr w:type="gramEnd"/>
          </w:p>
        </w:tc>
      </w:tr>
      <w:tr w:rsidR="00767B55" w:rsidRPr="00767B55" w14:paraId="72F35474" w14:textId="77777777" w:rsidTr="001B077F">
        <w:tc>
          <w:tcPr>
            <w:tcW w:w="0" w:type="auto"/>
            <w:hideMark/>
          </w:tcPr>
          <w:p w14:paraId="359D74BC" w14:textId="77777777" w:rsidR="00767B55" w:rsidRPr="00767B55" w:rsidRDefault="00767B55" w:rsidP="00121E9E">
            <w:pPr>
              <w:rPr>
                <w:rFonts w:cstheme="minorHAnsi"/>
              </w:rPr>
            </w:pPr>
            <w:r w:rsidRPr="00767B55">
              <w:rPr>
                <w:rFonts w:cstheme="minorHAnsi"/>
              </w:rPr>
              <w:t>GPCR</w:t>
            </w:r>
          </w:p>
        </w:tc>
        <w:tc>
          <w:tcPr>
            <w:tcW w:w="0" w:type="auto"/>
            <w:hideMark/>
          </w:tcPr>
          <w:p w14:paraId="749428EF" w14:textId="77777777" w:rsidR="00767B55" w:rsidRPr="00767B55" w:rsidRDefault="00767B55" w:rsidP="00121E9E">
            <w:pPr>
              <w:rPr>
                <w:rFonts w:cstheme="minorHAnsi"/>
              </w:rPr>
            </w:pPr>
            <w:r w:rsidRPr="00767B55">
              <w:rPr>
                <w:rFonts w:cstheme="minorHAnsi"/>
              </w:rPr>
              <w:t>G-protein coupled receptor</w:t>
            </w:r>
          </w:p>
        </w:tc>
      </w:tr>
      <w:tr w:rsidR="00767B55" w:rsidRPr="00767B55" w14:paraId="7AA10817" w14:textId="77777777" w:rsidTr="001B077F">
        <w:tc>
          <w:tcPr>
            <w:tcW w:w="0" w:type="auto"/>
            <w:hideMark/>
          </w:tcPr>
          <w:p w14:paraId="7BFBDB40" w14:textId="77777777" w:rsidR="00767B55" w:rsidRPr="00767B55" w:rsidRDefault="00767B55" w:rsidP="00121E9E">
            <w:pPr>
              <w:rPr>
                <w:rFonts w:cstheme="minorHAnsi"/>
              </w:rPr>
            </w:pPr>
            <w:r w:rsidRPr="00767B55">
              <w:rPr>
                <w:rFonts w:cstheme="minorHAnsi"/>
              </w:rPr>
              <w:t>HATU</w:t>
            </w:r>
          </w:p>
        </w:tc>
        <w:tc>
          <w:tcPr>
            <w:tcW w:w="0" w:type="auto"/>
            <w:hideMark/>
          </w:tcPr>
          <w:p w14:paraId="081722DC" w14:textId="77777777" w:rsidR="00767B55" w:rsidRPr="00767B55" w:rsidRDefault="00767B55" w:rsidP="00121E9E">
            <w:pPr>
              <w:rPr>
                <w:rFonts w:cstheme="minorHAnsi"/>
              </w:rPr>
            </w:pPr>
            <w:r w:rsidRPr="00767B55">
              <w:rPr>
                <w:rFonts w:cstheme="minorHAnsi"/>
              </w:rPr>
              <w:t xml:space="preserve">hexafluorophosphate </w:t>
            </w:r>
            <w:proofErr w:type="spellStart"/>
            <w:r w:rsidRPr="00767B55">
              <w:rPr>
                <w:rFonts w:cstheme="minorHAnsi"/>
              </w:rPr>
              <w:t>azabenzotriazole</w:t>
            </w:r>
            <w:proofErr w:type="spellEnd"/>
            <w:r w:rsidRPr="00767B55">
              <w:rPr>
                <w:rFonts w:cstheme="minorHAnsi"/>
              </w:rPr>
              <w:t xml:space="preserve"> tetramethyl </w:t>
            </w:r>
            <w:proofErr w:type="spellStart"/>
            <w:r w:rsidRPr="00767B55">
              <w:rPr>
                <w:rFonts w:cstheme="minorHAnsi"/>
              </w:rPr>
              <w:t>uronium</w:t>
            </w:r>
            <w:proofErr w:type="spellEnd"/>
          </w:p>
        </w:tc>
      </w:tr>
      <w:tr w:rsidR="00767B55" w:rsidRPr="00767B55" w14:paraId="395D0DA2" w14:textId="77777777" w:rsidTr="001B077F">
        <w:tc>
          <w:tcPr>
            <w:tcW w:w="0" w:type="auto"/>
            <w:hideMark/>
          </w:tcPr>
          <w:p w14:paraId="0EC06713" w14:textId="77777777" w:rsidR="00767B55" w:rsidRPr="00767B55" w:rsidRDefault="00767B55" w:rsidP="00121E9E">
            <w:pPr>
              <w:rPr>
                <w:rFonts w:cstheme="minorHAnsi"/>
              </w:rPr>
            </w:pPr>
            <w:proofErr w:type="spellStart"/>
            <w:r w:rsidRPr="00767B55">
              <w:rPr>
                <w:rFonts w:cstheme="minorHAnsi"/>
              </w:rPr>
              <w:t>HOBt</w:t>
            </w:r>
            <w:proofErr w:type="spellEnd"/>
          </w:p>
        </w:tc>
        <w:tc>
          <w:tcPr>
            <w:tcW w:w="0" w:type="auto"/>
            <w:hideMark/>
          </w:tcPr>
          <w:p w14:paraId="063EFC2D" w14:textId="77777777" w:rsidR="00767B55" w:rsidRPr="00767B55" w:rsidRDefault="00767B55" w:rsidP="00121E9E">
            <w:pPr>
              <w:rPr>
                <w:rFonts w:cstheme="minorHAnsi"/>
              </w:rPr>
            </w:pPr>
            <w:r w:rsidRPr="00767B55">
              <w:rPr>
                <w:rFonts w:cstheme="minorHAnsi"/>
              </w:rPr>
              <w:t>1-hydroxybenzotriazole</w:t>
            </w:r>
          </w:p>
        </w:tc>
      </w:tr>
      <w:tr w:rsidR="00767B55" w:rsidRPr="00767B55" w14:paraId="6C1A2381" w14:textId="77777777" w:rsidTr="001B077F">
        <w:tc>
          <w:tcPr>
            <w:tcW w:w="0" w:type="auto"/>
            <w:hideMark/>
          </w:tcPr>
          <w:p w14:paraId="41E0DE09" w14:textId="77777777" w:rsidR="00767B55" w:rsidRPr="00767B55" w:rsidRDefault="00767B55" w:rsidP="00121E9E">
            <w:pPr>
              <w:rPr>
                <w:rFonts w:cstheme="minorHAnsi"/>
              </w:rPr>
            </w:pPr>
            <w:r w:rsidRPr="00767B55">
              <w:rPr>
                <w:rFonts w:cstheme="minorHAnsi"/>
              </w:rPr>
              <w:t>IC</w:t>
            </w:r>
            <w:r w:rsidRPr="00767B55">
              <w:rPr>
                <w:rFonts w:cstheme="minorHAnsi"/>
                <w:vertAlign w:val="subscript"/>
              </w:rPr>
              <w:t>50</w:t>
            </w:r>
          </w:p>
        </w:tc>
        <w:tc>
          <w:tcPr>
            <w:tcW w:w="0" w:type="auto"/>
            <w:hideMark/>
          </w:tcPr>
          <w:p w14:paraId="6AB2E578" w14:textId="77777777" w:rsidR="00767B55" w:rsidRPr="00767B55" w:rsidRDefault="00767B55" w:rsidP="00121E9E">
            <w:pPr>
              <w:rPr>
                <w:rFonts w:cstheme="minorHAnsi"/>
              </w:rPr>
            </w:pPr>
            <w:r w:rsidRPr="00767B55">
              <w:rPr>
                <w:rFonts w:cstheme="minorHAnsi"/>
              </w:rPr>
              <w:t>half-maximal inhibitory concentration</w:t>
            </w:r>
          </w:p>
        </w:tc>
      </w:tr>
      <w:tr w:rsidR="00767B55" w:rsidRPr="00767B55" w14:paraId="48E2622F" w14:textId="77777777" w:rsidTr="001B077F">
        <w:tc>
          <w:tcPr>
            <w:tcW w:w="0" w:type="auto"/>
            <w:hideMark/>
          </w:tcPr>
          <w:p w14:paraId="41D0EFD1" w14:textId="77777777" w:rsidR="00767B55" w:rsidRPr="00767B55" w:rsidRDefault="00767B55" w:rsidP="00121E9E">
            <w:pPr>
              <w:rPr>
                <w:rFonts w:cstheme="minorHAnsi"/>
              </w:rPr>
            </w:pPr>
            <w:r w:rsidRPr="00767B55">
              <w:rPr>
                <w:rFonts w:cstheme="minorHAnsi"/>
                <w:i/>
                <w:iCs/>
              </w:rPr>
              <w:t>i</w:t>
            </w:r>
            <w:r w:rsidRPr="00767B55">
              <w:rPr>
                <w:rFonts w:cstheme="minorHAnsi"/>
              </w:rPr>
              <w:t>Ca</w:t>
            </w:r>
            <w:r w:rsidRPr="00767B55">
              <w:rPr>
                <w:rFonts w:cstheme="minorHAnsi"/>
                <w:vertAlign w:val="superscript"/>
              </w:rPr>
              <w:t>2+</w:t>
            </w:r>
          </w:p>
        </w:tc>
        <w:tc>
          <w:tcPr>
            <w:tcW w:w="0" w:type="auto"/>
            <w:hideMark/>
          </w:tcPr>
          <w:p w14:paraId="078D0AC2" w14:textId="77777777" w:rsidR="00767B55" w:rsidRPr="00767B55" w:rsidRDefault="00767B55" w:rsidP="00121E9E">
            <w:pPr>
              <w:rPr>
                <w:rFonts w:cstheme="minorHAnsi"/>
              </w:rPr>
            </w:pPr>
            <w:r w:rsidRPr="00767B55">
              <w:rPr>
                <w:rFonts w:cstheme="minorHAnsi"/>
              </w:rPr>
              <w:t>intracellular calcium mobilization</w:t>
            </w:r>
          </w:p>
        </w:tc>
      </w:tr>
      <w:tr w:rsidR="00767B55" w:rsidRPr="00767B55" w14:paraId="43F7C3C1" w14:textId="77777777" w:rsidTr="001B077F">
        <w:tc>
          <w:tcPr>
            <w:tcW w:w="0" w:type="auto"/>
            <w:hideMark/>
          </w:tcPr>
          <w:p w14:paraId="2FDD7746" w14:textId="77777777" w:rsidR="00767B55" w:rsidRPr="00767B55" w:rsidRDefault="00767B55" w:rsidP="00121E9E">
            <w:pPr>
              <w:rPr>
                <w:rFonts w:cstheme="minorHAnsi"/>
              </w:rPr>
            </w:pPr>
            <w:r w:rsidRPr="00767B55">
              <w:rPr>
                <w:rFonts w:cstheme="minorHAnsi"/>
              </w:rPr>
              <w:t>MI</w:t>
            </w:r>
          </w:p>
        </w:tc>
        <w:tc>
          <w:tcPr>
            <w:tcW w:w="0" w:type="auto"/>
            <w:hideMark/>
          </w:tcPr>
          <w:p w14:paraId="5E3575DF" w14:textId="77777777" w:rsidR="00767B55" w:rsidRPr="00767B55" w:rsidRDefault="00767B55" w:rsidP="00121E9E">
            <w:pPr>
              <w:rPr>
                <w:rFonts w:cstheme="minorHAnsi"/>
              </w:rPr>
            </w:pPr>
            <w:r w:rsidRPr="00767B55">
              <w:rPr>
                <w:rFonts w:cstheme="minorHAnsi"/>
              </w:rPr>
              <w:t>myocardial infarction</w:t>
            </w:r>
          </w:p>
        </w:tc>
      </w:tr>
      <w:tr w:rsidR="00767B55" w:rsidRPr="00767B55" w14:paraId="2AEBA32F" w14:textId="77777777" w:rsidTr="001B077F">
        <w:tc>
          <w:tcPr>
            <w:tcW w:w="0" w:type="auto"/>
            <w:hideMark/>
          </w:tcPr>
          <w:p w14:paraId="131D917E" w14:textId="77777777" w:rsidR="00767B55" w:rsidRPr="00767B55" w:rsidRDefault="00767B55" w:rsidP="00121E9E">
            <w:pPr>
              <w:rPr>
                <w:rFonts w:cstheme="minorHAnsi"/>
              </w:rPr>
            </w:pPr>
            <w:r w:rsidRPr="00767B55">
              <w:rPr>
                <w:rFonts w:cstheme="minorHAnsi"/>
              </w:rPr>
              <w:t>PAR</w:t>
            </w:r>
          </w:p>
        </w:tc>
        <w:tc>
          <w:tcPr>
            <w:tcW w:w="0" w:type="auto"/>
            <w:hideMark/>
          </w:tcPr>
          <w:p w14:paraId="70634219" w14:textId="77777777" w:rsidR="00767B55" w:rsidRPr="00767B55" w:rsidRDefault="00767B55" w:rsidP="00121E9E">
            <w:pPr>
              <w:rPr>
                <w:rFonts w:cstheme="minorHAnsi"/>
              </w:rPr>
            </w:pPr>
            <w:r w:rsidRPr="00767B55">
              <w:rPr>
                <w:rFonts w:cstheme="minorHAnsi"/>
              </w:rPr>
              <w:t>protease-activated receptor</w:t>
            </w:r>
          </w:p>
        </w:tc>
      </w:tr>
      <w:tr w:rsidR="00767B55" w:rsidRPr="00767B55" w14:paraId="2BC37636" w14:textId="77777777" w:rsidTr="001B077F">
        <w:tc>
          <w:tcPr>
            <w:tcW w:w="0" w:type="auto"/>
            <w:hideMark/>
          </w:tcPr>
          <w:p w14:paraId="2CDFFD58" w14:textId="77777777" w:rsidR="00767B55" w:rsidRPr="00767B55" w:rsidRDefault="00767B55" w:rsidP="00121E9E">
            <w:pPr>
              <w:rPr>
                <w:rFonts w:cstheme="minorHAnsi"/>
              </w:rPr>
            </w:pPr>
            <w:r w:rsidRPr="00767B55">
              <w:rPr>
                <w:rFonts w:cstheme="minorHAnsi"/>
              </w:rPr>
              <w:t>PCI</w:t>
            </w:r>
          </w:p>
        </w:tc>
        <w:tc>
          <w:tcPr>
            <w:tcW w:w="0" w:type="auto"/>
            <w:hideMark/>
          </w:tcPr>
          <w:p w14:paraId="2806E672" w14:textId="77777777" w:rsidR="00767B55" w:rsidRPr="00767B55" w:rsidRDefault="00767B55" w:rsidP="00121E9E">
            <w:pPr>
              <w:rPr>
                <w:rFonts w:cstheme="minorHAnsi"/>
              </w:rPr>
            </w:pPr>
            <w:r w:rsidRPr="00767B55">
              <w:rPr>
                <w:rFonts w:cstheme="minorHAnsi"/>
              </w:rPr>
              <w:t>percutaneous interventions</w:t>
            </w:r>
          </w:p>
        </w:tc>
      </w:tr>
      <w:tr w:rsidR="00767B55" w:rsidRPr="00767B55" w14:paraId="7D6702CE" w14:textId="77777777" w:rsidTr="001B077F">
        <w:tc>
          <w:tcPr>
            <w:tcW w:w="0" w:type="auto"/>
            <w:hideMark/>
          </w:tcPr>
          <w:p w14:paraId="049AC472" w14:textId="77777777" w:rsidR="00767B55" w:rsidRPr="00767B55" w:rsidRDefault="00767B55" w:rsidP="00121E9E">
            <w:pPr>
              <w:rPr>
                <w:rFonts w:cstheme="minorHAnsi"/>
              </w:rPr>
            </w:pPr>
            <w:proofErr w:type="spellStart"/>
            <w:r w:rsidRPr="00767B55">
              <w:rPr>
                <w:rFonts w:cstheme="minorHAnsi"/>
              </w:rPr>
              <w:t>PyBOP</w:t>
            </w:r>
            <w:proofErr w:type="spellEnd"/>
          </w:p>
        </w:tc>
        <w:tc>
          <w:tcPr>
            <w:tcW w:w="0" w:type="auto"/>
            <w:hideMark/>
          </w:tcPr>
          <w:p w14:paraId="406F0030" w14:textId="77777777" w:rsidR="00767B55" w:rsidRPr="00767B55" w:rsidRDefault="00767B55" w:rsidP="00121E9E">
            <w:pPr>
              <w:rPr>
                <w:rFonts w:cstheme="minorHAnsi"/>
              </w:rPr>
            </w:pPr>
            <w:r w:rsidRPr="00767B55">
              <w:rPr>
                <w:rFonts w:cstheme="minorHAnsi"/>
              </w:rPr>
              <w:t>(benzotriazol-1-</w:t>
            </w:r>
            <w:proofErr w:type="gramStart"/>
            <w:r w:rsidRPr="00767B55">
              <w:rPr>
                <w:rFonts w:cstheme="minorHAnsi"/>
              </w:rPr>
              <w:t>yloxy)</w:t>
            </w:r>
            <w:proofErr w:type="spellStart"/>
            <w:r w:rsidRPr="00767B55">
              <w:rPr>
                <w:rFonts w:cstheme="minorHAnsi"/>
              </w:rPr>
              <w:t>tripyrrolidinophosphonium</w:t>
            </w:r>
            <w:proofErr w:type="spellEnd"/>
            <w:proofErr w:type="gramEnd"/>
            <w:r w:rsidRPr="00767B55">
              <w:rPr>
                <w:rFonts w:cstheme="minorHAnsi"/>
              </w:rPr>
              <w:t xml:space="preserve"> hexafluorophosphate</w:t>
            </w:r>
          </w:p>
        </w:tc>
      </w:tr>
      <w:tr w:rsidR="00767B55" w:rsidRPr="00767B55" w14:paraId="74D86504" w14:textId="77777777" w:rsidTr="001B077F">
        <w:tc>
          <w:tcPr>
            <w:tcW w:w="0" w:type="auto"/>
            <w:hideMark/>
          </w:tcPr>
          <w:p w14:paraId="73E3A313" w14:textId="77777777" w:rsidR="00767B55" w:rsidRPr="00767B55" w:rsidRDefault="00767B55" w:rsidP="00121E9E">
            <w:pPr>
              <w:rPr>
                <w:rFonts w:cstheme="minorHAnsi"/>
              </w:rPr>
            </w:pPr>
            <w:r w:rsidRPr="00767B55">
              <w:rPr>
                <w:rFonts w:cstheme="minorHAnsi"/>
              </w:rPr>
              <w:t>SEM</w:t>
            </w:r>
          </w:p>
        </w:tc>
        <w:tc>
          <w:tcPr>
            <w:tcW w:w="0" w:type="auto"/>
            <w:hideMark/>
          </w:tcPr>
          <w:p w14:paraId="7EF4150C" w14:textId="77777777" w:rsidR="00767B55" w:rsidRPr="00767B55" w:rsidRDefault="00767B55" w:rsidP="00121E9E">
            <w:pPr>
              <w:rPr>
                <w:rFonts w:cstheme="minorHAnsi"/>
              </w:rPr>
            </w:pPr>
            <w:r w:rsidRPr="00767B55">
              <w:rPr>
                <w:rFonts w:cstheme="minorHAnsi"/>
              </w:rPr>
              <w:t>standard error of the mean</w:t>
            </w:r>
          </w:p>
        </w:tc>
      </w:tr>
      <w:tr w:rsidR="00767B55" w:rsidRPr="00767B55" w14:paraId="37FD720F" w14:textId="77777777" w:rsidTr="001B077F">
        <w:tc>
          <w:tcPr>
            <w:tcW w:w="0" w:type="auto"/>
            <w:hideMark/>
          </w:tcPr>
          <w:p w14:paraId="2CA84DCE" w14:textId="77777777" w:rsidR="00767B55" w:rsidRPr="00767B55" w:rsidRDefault="00767B55" w:rsidP="00121E9E">
            <w:pPr>
              <w:rPr>
                <w:rFonts w:cstheme="minorHAnsi"/>
              </w:rPr>
            </w:pPr>
            <w:r w:rsidRPr="00767B55">
              <w:rPr>
                <w:rFonts w:cstheme="minorHAnsi"/>
              </w:rPr>
              <w:t>TBTA</w:t>
            </w:r>
          </w:p>
        </w:tc>
        <w:tc>
          <w:tcPr>
            <w:tcW w:w="0" w:type="auto"/>
            <w:hideMark/>
          </w:tcPr>
          <w:p w14:paraId="4FBD9B58" w14:textId="77777777" w:rsidR="00767B55" w:rsidRPr="00767B55" w:rsidRDefault="00767B55" w:rsidP="00121E9E">
            <w:pPr>
              <w:rPr>
                <w:rFonts w:cstheme="minorHAnsi"/>
              </w:rPr>
            </w:pPr>
            <w:r w:rsidRPr="00767B55">
              <w:rPr>
                <w:rFonts w:cstheme="minorHAnsi"/>
              </w:rPr>
              <w:t>tris(</w:t>
            </w:r>
            <w:proofErr w:type="spellStart"/>
            <w:r w:rsidRPr="00767B55">
              <w:rPr>
                <w:rFonts w:cstheme="minorHAnsi"/>
              </w:rPr>
              <w:t>benzyltriazolylmethyl</w:t>
            </w:r>
            <w:proofErr w:type="spellEnd"/>
            <w:r w:rsidRPr="00767B55">
              <w:rPr>
                <w:rFonts w:cstheme="minorHAnsi"/>
              </w:rPr>
              <w:t>)amine</w:t>
            </w:r>
          </w:p>
        </w:tc>
      </w:tr>
    </w:tbl>
    <w:p w14:paraId="6C749121" w14:textId="7FFE9AC3" w:rsidR="00767B55" w:rsidRDefault="00767B55" w:rsidP="00767B55">
      <w:pPr>
        <w:pStyle w:val="Heading1"/>
      </w:pPr>
      <w:r>
        <w:t>References</w:t>
      </w:r>
    </w:p>
    <w:p w14:paraId="12C5CC5D" w14:textId="57D598E6" w:rsidR="00767B55" w:rsidRDefault="00767B55" w:rsidP="00121E9E">
      <w:pPr>
        <w:spacing w:after="0"/>
        <w:ind w:left="720" w:hanging="720"/>
      </w:pPr>
      <w:r>
        <w:t xml:space="preserve">1. Vu, T.-K. H.; Hung, D. T.; Wheaton, V. I.; Coughlin, S. R. Molecular Cloning of a Functional Thrombin Receptor Reveals a Novel Proteolytic Mechanism of Receptor Activation. </w:t>
      </w:r>
      <w:r w:rsidRPr="008570A5">
        <w:rPr>
          <w:i/>
        </w:rPr>
        <w:t>Cell</w:t>
      </w:r>
      <w:r>
        <w:t xml:space="preserve"> 1991, 64, 1057– 1068, DOI: 10.1016/0092-8674(91)90261-V </w:t>
      </w:r>
    </w:p>
    <w:p w14:paraId="493DB811" w14:textId="65D187D3" w:rsidR="00767B55" w:rsidRDefault="00767B55" w:rsidP="00121E9E">
      <w:pPr>
        <w:spacing w:after="0"/>
        <w:ind w:left="720" w:hanging="720"/>
      </w:pPr>
      <w:r>
        <w:t xml:space="preserve">2. Hamilton, J. R.; Trejo, J. Challenges and Opportunities in Protease-Activated Receptor Drug Development. </w:t>
      </w:r>
      <w:proofErr w:type="spellStart"/>
      <w:r w:rsidRPr="008570A5">
        <w:rPr>
          <w:i/>
        </w:rPr>
        <w:t>Annu</w:t>
      </w:r>
      <w:proofErr w:type="spellEnd"/>
      <w:r w:rsidRPr="008570A5">
        <w:rPr>
          <w:i/>
        </w:rPr>
        <w:t xml:space="preserve">. Rev. </w:t>
      </w:r>
      <w:proofErr w:type="spellStart"/>
      <w:r w:rsidRPr="008570A5">
        <w:rPr>
          <w:i/>
        </w:rPr>
        <w:t>Pharmacol</w:t>
      </w:r>
      <w:proofErr w:type="spellEnd"/>
      <w:r w:rsidRPr="008570A5">
        <w:rPr>
          <w:i/>
        </w:rPr>
        <w:t xml:space="preserve">. </w:t>
      </w:r>
      <w:proofErr w:type="spellStart"/>
      <w:r w:rsidRPr="008570A5">
        <w:rPr>
          <w:i/>
        </w:rPr>
        <w:t>Toxicol</w:t>
      </w:r>
      <w:proofErr w:type="spellEnd"/>
      <w:r>
        <w:t xml:space="preserve">. 2017, 57, 349– 373, DOI: 10.1146/annurev-pharmtox-011613-140016 </w:t>
      </w:r>
    </w:p>
    <w:p w14:paraId="5FCB4B6D" w14:textId="4F6CBDAE" w:rsidR="00767B55" w:rsidRDefault="00767B55" w:rsidP="00121E9E">
      <w:pPr>
        <w:spacing w:after="0"/>
        <w:ind w:left="720" w:hanging="720"/>
      </w:pPr>
      <w:r>
        <w:t xml:space="preserve">3. </w:t>
      </w:r>
      <w:proofErr w:type="spellStart"/>
      <w:r>
        <w:t>Bouwens</w:t>
      </w:r>
      <w:proofErr w:type="spellEnd"/>
      <w:r>
        <w:t xml:space="preserve">, E.; </w:t>
      </w:r>
      <w:proofErr w:type="spellStart"/>
      <w:r>
        <w:t>Stavenuiter</w:t>
      </w:r>
      <w:proofErr w:type="spellEnd"/>
      <w:r>
        <w:t xml:space="preserve">, F.; </w:t>
      </w:r>
      <w:proofErr w:type="spellStart"/>
      <w:r>
        <w:t>Mosnier</w:t>
      </w:r>
      <w:proofErr w:type="spellEnd"/>
      <w:r>
        <w:t xml:space="preserve">, L. O. Mechanisms of Anticoagulant and Cytoprotective Actions of the Protein C Pathway. J. </w:t>
      </w:r>
      <w:proofErr w:type="spellStart"/>
      <w:r>
        <w:t>Thromb</w:t>
      </w:r>
      <w:proofErr w:type="spellEnd"/>
      <w:r>
        <w:t xml:space="preserve">. </w:t>
      </w:r>
      <w:proofErr w:type="spellStart"/>
      <w:r>
        <w:t>Haemostasis</w:t>
      </w:r>
      <w:proofErr w:type="spellEnd"/>
      <w:r>
        <w:t xml:space="preserve"> 2013, 11, 242– 253, DOI: 10.1111/jth.12247 </w:t>
      </w:r>
    </w:p>
    <w:p w14:paraId="151979FB" w14:textId="6D3CC55F" w:rsidR="00767B55" w:rsidRDefault="00767B55" w:rsidP="00121E9E">
      <w:pPr>
        <w:spacing w:after="0"/>
        <w:ind w:left="720" w:hanging="720"/>
      </w:pPr>
      <w:r>
        <w:t xml:space="preserve">4. Gomes, I.; Ayoub, M. A.; Fujita, W.; Jaeger, W. C.; </w:t>
      </w:r>
      <w:proofErr w:type="spellStart"/>
      <w:r>
        <w:t>Pfleger</w:t>
      </w:r>
      <w:proofErr w:type="spellEnd"/>
      <w:r>
        <w:t xml:space="preserve">, K. D. G.; Devi, L. A. G. Protein–Coupled Receptor </w:t>
      </w:r>
      <w:proofErr w:type="spellStart"/>
      <w:r>
        <w:t>Heteromers</w:t>
      </w:r>
      <w:proofErr w:type="spellEnd"/>
      <w:r>
        <w:t xml:space="preserve">. </w:t>
      </w:r>
      <w:proofErr w:type="spellStart"/>
      <w:r w:rsidRPr="008570A5">
        <w:rPr>
          <w:i/>
        </w:rPr>
        <w:t>Annu</w:t>
      </w:r>
      <w:proofErr w:type="spellEnd"/>
      <w:r w:rsidRPr="008570A5">
        <w:rPr>
          <w:i/>
        </w:rPr>
        <w:t xml:space="preserve">. Rev. </w:t>
      </w:r>
      <w:proofErr w:type="spellStart"/>
      <w:r w:rsidRPr="008570A5">
        <w:rPr>
          <w:i/>
        </w:rPr>
        <w:t>Pharmacol</w:t>
      </w:r>
      <w:proofErr w:type="spellEnd"/>
      <w:r w:rsidRPr="008570A5">
        <w:rPr>
          <w:i/>
        </w:rPr>
        <w:t xml:space="preserve">. </w:t>
      </w:r>
      <w:proofErr w:type="spellStart"/>
      <w:r w:rsidRPr="008570A5">
        <w:rPr>
          <w:i/>
        </w:rPr>
        <w:t>Toxicol</w:t>
      </w:r>
      <w:proofErr w:type="spellEnd"/>
      <w:r>
        <w:t xml:space="preserve">. 2016, 56, 403– 425, DOI: 10.1146/annurev-pharmtox-011613-135952 </w:t>
      </w:r>
    </w:p>
    <w:p w14:paraId="0D693C72" w14:textId="42671A40" w:rsidR="00767B55" w:rsidRDefault="00767B55" w:rsidP="00121E9E">
      <w:pPr>
        <w:spacing w:after="0"/>
        <w:ind w:left="720" w:hanging="720"/>
      </w:pPr>
      <w:r>
        <w:t>5. Lin, H.; Trejo, J. Transactivation of the PAR1-PAR2 Heterodimer by Thrombin Elicits β-</w:t>
      </w:r>
      <w:proofErr w:type="spellStart"/>
      <w:r>
        <w:t>Arrestin</w:t>
      </w:r>
      <w:proofErr w:type="spellEnd"/>
      <w:r>
        <w:t xml:space="preserve">-Mediated Endosomal Signaling. </w:t>
      </w:r>
      <w:r w:rsidRPr="008570A5">
        <w:rPr>
          <w:i/>
        </w:rPr>
        <w:t>J. Biol. Chem</w:t>
      </w:r>
      <w:r>
        <w:t xml:space="preserve">. 2013, 288, 11203– 11215, DOI: 10.1074/jbc.M112.439950 </w:t>
      </w:r>
    </w:p>
    <w:p w14:paraId="1940A5FA" w14:textId="496A4271" w:rsidR="00767B55" w:rsidRDefault="00767B55" w:rsidP="00121E9E">
      <w:pPr>
        <w:spacing w:after="0"/>
        <w:ind w:left="720" w:hanging="720"/>
      </w:pPr>
      <w:r>
        <w:t xml:space="preserve">6. Lin, H.; Liu, A. P.; Smith, T. H.; Trejo, J. </w:t>
      </w:r>
      <w:proofErr w:type="spellStart"/>
      <w:r>
        <w:t>Cofactoring</w:t>
      </w:r>
      <w:proofErr w:type="spellEnd"/>
      <w:r>
        <w:t xml:space="preserve"> and Dimerization of Proteinase-Activated Receptors. </w:t>
      </w:r>
      <w:proofErr w:type="spellStart"/>
      <w:r>
        <w:t>Pharmacol</w:t>
      </w:r>
      <w:proofErr w:type="spellEnd"/>
      <w:r>
        <w:t xml:space="preserve">. Rev. 2013, 65, 1198– 1213, DOI: 10.1124/pr.111.004747 </w:t>
      </w:r>
    </w:p>
    <w:p w14:paraId="602C2303" w14:textId="7EFA6E0C" w:rsidR="00767B55" w:rsidRDefault="00767B55" w:rsidP="00121E9E">
      <w:pPr>
        <w:spacing w:after="0"/>
        <w:ind w:left="720" w:hanging="720"/>
      </w:pPr>
      <w:r>
        <w:t xml:space="preserve">7. </w:t>
      </w:r>
      <w:proofErr w:type="spellStart"/>
      <w:r>
        <w:t>Gieseler</w:t>
      </w:r>
      <w:proofErr w:type="spellEnd"/>
      <w:r>
        <w:t xml:space="preserve">, F.; </w:t>
      </w:r>
      <w:proofErr w:type="spellStart"/>
      <w:r>
        <w:t>Ungefroren</w:t>
      </w:r>
      <w:proofErr w:type="spellEnd"/>
      <w:r>
        <w:t xml:space="preserve">, H.; </w:t>
      </w:r>
      <w:proofErr w:type="spellStart"/>
      <w:r>
        <w:t>Settmacher</w:t>
      </w:r>
      <w:proofErr w:type="spellEnd"/>
      <w:r>
        <w:t xml:space="preserve">, U.; </w:t>
      </w:r>
      <w:proofErr w:type="spellStart"/>
      <w:r>
        <w:t>Hollenberg</w:t>
      </w:r>
      <w:proofErr w:type="spellEnd"/>
      <w:r>
        <w:t xml:space="preserve">, M. D.; Kaufmann, R. Proteinase-Activated Receptors (PARs) - Focus on Receptor-Receptor-Interactions and Their Physiological and Pathophysiological Impact. </w:t>
      </w:r>
      <w:r w:rsidRPr="008570A5">
        <w:rPr>
          <w:i/>
        </w:rPr>
        <w:t xml:space="preserve">Cell </w:t>
      </w:r>
      <w:proofErr w:type="spellStart"/>
      <w:r w:rsidRPr="008570A5">
        <w:rPr>
          <w:i/>
        </w:rPr>
        <w:t>Commun</w:t>
      </w:r>
      <w:proofErr w:type="spellEnd"/>
      <w:r w:rsidRPr="008570A5">
        <w:rPr>
          <w:i/>
        </w:rPr>
        <w:t>. Signaling</w:t>
      </w:r>
      <w:r>
        <w:t xml:space="preserve"> 2013, 11, 86, DOI: 10.1186/1478-811X-11-86 </w:t>
      </w:r>
    </w:p>
    <w:p w14:paraId="184816F7" w14:textId="2CF21115" w:rsidR="00767B55" w:rsidRDefault="00767B55" w:rsidP="00121E9E">
      <w:pPr>
        <w:spacing w:after="0"/>
        <w:ind w:left="720" w:hanging="720"/>
      </w:pPr>
      <w:r>
        <w:t xml:space="preserve">8. O’Brien, P. J.; Prevost, N.; Molino, M.; Hollinger, M. K.; </w:t>
      </w:r>
      <w:proofErr w:type="spellStart"/>
      <w:r>
        <w:t>Woolkalis</w:t>
      </w:r>
      <w:proofErr w:type="spellEnd"/>
      <w:r>
        <w:t xml:space="preserve">, M. J.; </w:t>
      </w:r>
      <w:proofErr w:type="spellStart"/>
      <w:r>
        <w:t>Woulfe</w:t>
      </w:r>
      <w:proofErr w:type="spellEnd"/>
      <w:r>
        <w:t xml:space="preserve">, D. S.; Brass, L. F. Thrombin Responses in Human Endothelial Cells. Contributions </w:t>
      </w:r>
      <w:proofErr w:type="gramStart"/>
      <w:r>
        <w:t>From</w:t>
      </w:r>
      <w:proofErr w:type="gramEnd"/>
      <w:r>
        <w:t xml:space="preserve"> Receptors Other Than PAR1 Include the Transactivation of PAR2 by Thrombin-Cleaved PAR1. </w:t>
      </w:r>
      <w:r w:rsidRPr="008570A5">
        <w:rPr>
          <w:i/>
        </w:rPr>
        <w:t>J. Biol. Chem</w:t>
      </w:r>
      <w:r>
        <w:t xml:space="preserve">. 2000, 275, 13502– 13509, DOI: 10.1074/jbc.275.18.13502 </w:t>
      </w:r>
    </w:p>
    <w:p w14:paraId="20A5B249" w14:textId="41198D8D" w:rsidR="00767B55" w:rsidRDefault="00767B55" w:rsidP="00121E9E">
      <w:pPr>
        <w:spacing w:after="0"/>
        <w:ind w:left="720" w:hanging="720"/>
      </w:pPr>
      <w:r>
        <w:t xml:space="preserve">9. </w:t>
      </w:r>
      <w:proofErr w:type="spellStart"/>
      <w:r>
        <w:t>Chackalamannil</w:t>
      </w:r>
      <w:proofErr w:type="spellEnd"/>
      <w:r>
        <w:t xml:space="preserve">, S.; Wang, Y.; Greenlee, W. J.; Hu, Z.; Xia, Y.; </w:t>
      </w:r>
      <w:proofErr w:type="spellStart"/>
      <w:r>
        <w:t>Ahn</w:t>
      </w:r>
      <w:proofErr w:type="spellEnd"/>
      <w:r>
        <w:t xml:space="preserve">, H.-S.; </w:t>
      </w:r>
      <w:proofErr w:type="spellStart"/>
      <w:r>
        <w:t>Boykow</w:t>
      </w:r>
      <w:proofErr w:type="spellEnd"/>
      <w:r>
        <w:t xml:space="preserve">, G.; Hsieh, Y.; </w:t>
      </w:r>
      <w:proofErr w:type="spellStart"/>
      <w:r>
        <w:t>Palamanda</w:t>
      </w:r>
      <w:proofErr w:type="spellEnd"/>
      <w:r>
        <w:t xml:space="preserve">, J.; </w:t>
      </w:r>
      <w:proofErr w:type="spellStart"/>
      <w:r>
        <w:t>Agans</w:t>
      </w:r>
      <w:proofErr w:type="spellEnd"/>
      <w:r>
        <w:t xml:space="preserve">-Fantuzzi, J.; </w:t>
      </w:r>
      <w:proofErr w:type="spellStart"/>
      <w:r>
        <w:t>Kurowski</w:t>
      </w:r>
      <w:proofErr w:type="spellEnd"/>
      <w:r>
        <w:t xml:space="preserve">, S.; Graziano, M.; </w:t>
      </w:r>
      <w:proofErr w:type="spellStart"/>
      <w:r>
        <w:t>Chintala</w:t>
      </w:r>
      <w:proofErr w:type="spellEnd"/>
      <w:r>
        <w:t xml:space="preserve">, M. Discovery of a Novel, Orally Active Himbacine-Based Thrombin Receptor Antagonist (SCH 530348) with Potent Antiplatelet Activity. </w:t>
      </w:r>
      <w:r w:rsidRPr="008570A5">
        <w:rPr>
          <w:i/>
        </w:rPr>
        <w:t>J. Med. Chem</w:t>
      </w:r>
      <w:r>
        <w:t xml:space="preserve">. 2008, 51, 3061– 3064, DOI: 10.1021/jm800180e </w:t>
      </w:r>
    </w:p>
    <w:p w14:paraId="0FB568F9" w14:textId="5EC18509" w:rsidR="00767B55" w:rsidRDefault="00767B55" w:rsidP="00121E9E">
      <w:pPr>
        <w:spacing w:after="0"/>
        <w:ind w:left="720" w:hanging="720"/>
      </w:pPr>
      <w:r>
        <w:t xml:space="preserve">10. </w:t>
      </w:r>
      <w:proofErr w:type="spellStart"/>
      <w:r>
        <w:t>Wiviott</w:t>
      </w:r>
      <w:proofErr w:type="spellEnd"/>
      <w:r>
        <w:t xml:space="preserve">, S. D.; </w:t>
      </w:r>
      <w:proofErr w:type="spellStart"/>
      <w:r>
        <w:t>Flather</w:t>
      </w:r>
      <w:proofErr w:type="spellEnd"/>
      <w:r>
        <w:t xml:space="preserve">, M. D.; </w:t>
      </w:r>
      <w:proofErr w:type="spellStart"/>
      <w:r>
        <w:t>O’Donoghue</w:t>
      </w:r>
      <w:proofErr w:type="spellEnd"/>
      <w:r>
        <w:t xml:space="preserve">, M. L.; </w:t>
      </w:r>
      <w:proofErr w:type="spellStart"/>
      <w:r>
        <w:t>Goto</w:t>
      </w:r>
      <w:proofErr w:type="spellEnd"/>
      <w:r>
        <w:t xml:space="preserve">, S.; Fitzgerald, D. J.; </w:t>
      </w:r>
      <w:proofErr w:type="spellStart"/>
      <w:r>
        <w:t>Cura</w:t>
      </w:r>
      <w:proofErr w:type="spellEnd"/>
      <w:r>
        <w:t xml:space="preserve">, F.; Aylward, P.; Guetta, V.; Dudek, D.; </w:t>
      </w:r>
      <w:proofErr w:type="spellStart"/>
      <w:r>
        <w:t>Contant</w:t>
      </w:r>
      <w:proofErr w:type="spellEnd"/>
      <w:r>
        <w:t xml:space="preserve">, C. F.; </w:t>
      </w:r>
      <w:proofErr w:type="spellStart"/>
      <w:r>
        <w:t>Angiolillo</w:t>
      </w:r>
      <w:proofErr w:type="spellEnd"/>
      <w:r>
        <w:t xml:space="preserve">, D. J.; Bhatt, D. L. </w:t>
      </w:r>
      <w:r w:rsidRPr="00A26239">
        <w:rPr>
          <w:i/>
        </w:rPr>
        <w:t xml:space="preserve">LANCELOT-CAD Investigators. Randomized Trial of </w:t>
      </w:r>
      <w:proofErr w:type="spellStart"/>
      <w:r w:rsidRPr="00A26239">
        <w:rPr>
          <w:i/>
        </w:rPr>
        <w:t>Atopaxar</w:t>
      </w:r>
      <w:proofErr w:type="spellEnd"/>
      <w:r w:rsidRPr="00A26239">
        <w:rPr>
          <w:i/>
        </w:rPr>
        <w:t xml:space="preserve"> in the Treatment of Patients with Coronary Artery Disease: </w:t>
      </w:r>
      <w:proofErr w:type="gramStart"/>
      <w:r w:rsidRPr="00A26239">
        <w:rPr>
          <w:i/>
        </w:rPr>
        <w:t>the</w:t>
      </w:r>
      <w:proofErr w:type="gramEnd"/>
      <w:r w:rsidRPr="00A26239">
        <w:rPr>
          <w:i/>
        </w:rPr>
        <w:t xml:space="preserve"> Lessons From Antagonizing the Cellular Effect of Thrombin–Coronary Artery Disease Trial. Circulation</w:t>
      </w:r>
      <w:r>
        <w:t xml:space="preserve"> 2011, 123, 1854– 1863, DOI: 10.1161/CIRCULATIONAHA.110.001404 </w:t>
      </w:r>
    </w:p>
    <w:p w14:paraId="3D88D2C0" w14:textId="38242C3A" w:rsidR="00767B55" w:rsidRDefault="00767B55" w:rsidP="00121E9E">
      <w:pPr>
        <w:spacing w:after="0"/>
        <w:ind w:left="720" w:hanging="720"/>
      </w:pPr>
      <w:r>
        <w:t xml:space="preserve">11. </w:t>
      </w:r>
      <w:proofErr w:type="spellStart"/>
      <w:r>
        <w:t>Gurbel</w:t>
      </w:r>
      <w:proofErr w:type="spellEnd"/>
      <w:r>
        <w:t xml:space="preserve">, P. A.; </w:t>
      </w:r>
      <w:proofErr w:type="spellStart"/>
      <w:r>
        <w:t>Bliden</w:t>
      </w:r>
      <w:proofErr w:type="spellEnd"/>
      <w:r>
        <w:t xml:space="preserve">, K. P.; Turner, S. E.; </w:t>
      </w:r>
      <w:proofErr w:type="spellStart"/>
      <w:r>
        <w:t>Tantry</w:t>
      </w:r>
      <w:proofErr w:type="spellEnd"/>
      <w:r>
        <w:t xml:space="preserve">, U. S.; </w:t>
      </w:r>
      <w:proofErr w:type="spellStart"/>
      <w:r>
        <w:t>Gesheff</w:t>
      </w:r>
      <w:proofErr w:type="spellEnd"/>
      <w:r>
        <w:t xml:space="preserve">, M. G.; Barr, T. P.; </w:t>
      </w:r>
      <w:proofErr w:type="spellStart"/>
      <w:r>
        <w:t>Covic</w:t>
      </w:r>
      <w:proofErr w:type="spellEnd"/>
      <w:r>
        <w:t xml:space="preserve">, L.; </w:t>
      </w:r>
      <w:proofErr w:type="spellStart"/>
      <w:r>
        <w:t>Kuliopulos</w:t>
      </w:r>
      <w:proofErr w:type="spellEnd"/>
      <w:r>
        <w:t xml:space="preserve">, A. Cell-Penetrating </w:t>
      </w:r>
      <w:proofErr w:type="spellStart"/>
      <w:r>
        <w:t>Pepducin</w:t>
      </w:r>
      <w:proofErr w:type="spellEnd"/>
      <w:r>
        <w:t xml:space="preserve"> Therapy Targeting PAR1 in Subjects with Coronary Artery Disease. </w:t>
      </w:r>
      <w:proofErr w:type="spellStart"/>
      <w:r w:rsidRPr="003D5265">
        <w:rPr>
          <w:i/>
        </w:rPr>
        <w:t>Arterioscler</w:t>
      </w:r>
      <w:proofErr w:type="spellEnd"/>
      <w:r w:rsidRPr="003D5265">
        <w:rPr>
          <w:i/>
        </w:rPr>
        <w:t xml:space="preserve">., </w:t>
      </w:r>
      <w:proofErr w:type="spellStart"/>
      <w:r w:rsidRPr="003D5265">
        <w:rPr>
          <w:i/>
        </w:rPr>
        <w:t>Thromb</w:t>
      </w:r>
      <w:proofErr w:type="spellEnd"/>
      <w:r w:rsidRPr="003D5265">
        <w:rPr>
          <w:i/>
        </w:rPr>
        <w:t xml:space="preserve">., </w:t>
      </w:r>
      <w:proofErr w:type="spellStart"/>
      <w:r w:rsidRPr="003D5265">
        <w:rPr>
          <w:i/>
        </w:rPr>
        <w:t>Vasc</w:t>
      </w:r>
      <w:proofErr w:type="spellEnd"/>
      <w:r>
        <w:t xml:space="preserve">. Biol. 2016, 36, 189– 197, DOI: 10.1161/ATVBAHA.115.306777 </w:t>
      </w:r>
    </w:p>
    <w:p w14:paraId="4509F5BA" w14:textId="4A382047" w:rsidR="00767B55" w:rsidRDefault="00767B55" w:rsidP="00121E9E">
      <w:pPr>
        <w:spacing w:after="0"/>
        <w:ind w:left="720" w:hanging="720"/>
      </w:pPr>
      <w:r>
        <w:t xml:space="preserve">12. Wong, P. C.; </w:t>
      </w:r>
      <w:proofErr w:type="spellStart"/>
      <w:r>
        <w:t>Seiffert</w:t>
      </w:r>
      <w:proofErr w:type="spellEnd"/>
      <w:r>
        <w:t xml:space="preserve">, D.; Bird, J. E.; Watson, C. A.; Bostwick, J. S.; </w:t>
      </w:r>
      <w:proofErr w:type="spellStart"/>
      <w:r>
        <w:t>Giancarli</w:t>
      </w:r>
      <w:proofErr w:type="spellEnd"/>
      <w:r>
        <w:t xml:space="preserve">, M.; Allegretto, N.; Hua, J.; Harden, D.; </w:t>
      </w:r>
      <w:proofErr w:type="spellStart"/>
      <w:r>
        <w:t>Guay</w:t>
      </w:r>
      <w:proofErr w:type="spellEnd"/>
      <w:r>
        <w:t xml:space="preserve">, J.; </w:t>
      </w:r>
      <w:proofErr w:type="spellStart"/>
      <w:r>
        <w:t>Callejo</w:t>
      </w:r>
      <w:proofErr w:type="spellEnd"/>
      <w:r>
        <w:t xml:space="preserve">, M.; Miller, M. M.; Lawrence, R. M.; Banville, J.; Guy, J.; Maxwell, B. D.; Priestley, E. S.; </w:t>
      </w:r>
      <w:proofErr w:type="spellStart"/>
      <w:r>
        <w:t>Marinier</w:t>
      </w:r>
      <w:proofErr w:type="spellEnd"/>
      <w:r>
        <w:t xml:space="preserve">, A.; Wexler, R. R.; Bouvier, M.; Gordon, D. A.; Schumacher, W. A.; Yang, J. Blockade of Protease-Activated Receptor-4 (PAR4) Provides Robust Antithrombotic Activity with Low Bleeding. </w:t>
      </w:r>
      <w:r w:rsidRPr="003D5265">
        <w:rPr>
          <w:i/>
        </w:rPr>
        <w:t>Sci. Transl. Med</w:t>
      </w:r>
      <w:r>
        <w:t>. 2017, 9, eaaf5294 DOI: 10.1126/</w:t>
      </w:r>
      <w:proofErr w:type="gramStart"/>
      <w:r>
        <w:t>scitranslmed.aaf</w:t>
      </w:r>
      <w:proofErr w:type="gramEnd"/>
      <w:r>
        <w:t xml:space="preserve">5294 </w:t>
      </w:r>
    </w:p>
    <w:p w14:paraId="2A24C294" w14:textId="16CCA448" w:rsidR="00767B55" w:rsidRDefault="00767B55" w:rsidP="00121E9E">
      <w:pPr>
        <w:spacing w:after="0"/>
        <w:ind w:left="720" w:hanging="720"/>
      </w:pPr>
      <w:r>
        <w:t xml:space="preserve">13. Dockendorff, C.; </w:t>
      </w:r>
      <w:proofErr w:type="spellStart"/>
      <w:r>
        <w:t>Aisiku</w:t>
      </w:r>
      <w:proofErr w:type="spellEnd"/>
      <w:r>
        <w:t xml:space="preserve">, O.; </w:t>
      </w:r>
      <w:proofErr w:type="spellStart"/>
      <w:r>
        <w:t>Verplank</w:t>
      </w:r>
      <w:proofErr w:type="spellEnd"/>
      <w:r>
        <w:t xml:space="preserve">, L.; </w:t>
      </w:r>
      <w:proofErr w:type="spellStart"/>
      <w:r>
        <w:t>Dilks</w:t>
      </w:r>
      <w:proofErr w:type="spellEnd"/>
      <w:r>
        <w:t xml:space="preserve">, J. R.; Smith, D. A.; </w:t>
      </w:r>
      <w:proofErr w:type="spellStart"/>
      <w:r>
        <w:t>Gunnink</w:t>
      </w:r>
      <w:proofErr w:type="spellEnd"/>
      <w:r>
        <w:t xml:space="preserve">, S. F.; </w:t>
      </w:r>
      <w:proofErr w:type="spellStart"/>
      <w:r>
        <w:t>Dowal</w:t>
      </w:r>
      <w:proofErr w:type="spellEnd"/>
      <w:r>
        <w:t xml:space="preserve">, L.; Negri, J.; Palmer, M.; Macpherson, L.; Schreiber, S. L.; </w:t>
      </w:r>
      <w:proofErr w:type="spellStart"/>
      <w:r>
        <w:t>Flaumenhaft</w:t>
      </w:r>
      <w:proofErr w:type="spellEnd"/>
      <w:r>
        <w:t xml:space="preserve">, R. Discovery of 1,3-Diaminobenzenes as Selective Inhibitors of Platelet Activation at the PAR1 Receptor. </w:t>
      </w:r>
      <w:r w:rsidRPr="003D5265">
        <w:rPr>
          <w:i/>
        </w:rPr>
        <w:t>ACS Med. Chem. Lett</w:t>
      </w:r>
      <w:r>
        <w:t xml:space="preserve">. 2012, 3, 232– 237, DOI: 10.1021/ml2002696 </w:t>
      </w:r>
    </w:p>
    <w:p w14:paraId="5F4971B8" w14:textId="5FCAB45D" w:rsidR="00767B55" w:rsidRDefault="00767B55" w:rsidP="00121E9E">
      <w:pPr>
        <w:spacing w:after="0"/>
        <w:ind w:left="720" w:hanging="720"/>
      </w:pPr>
      <w:r>
        <w:t xml:space="preserve">14. De </w:t>
      </w:r>
      <w:proofErr w:type="spellStart"/>
      <w:r>
        <w:t>Ceunynck</w:t>
      </w:r>
      <w:proofErr w:type="spellEnd"/>
      <w:r>
        <w:t xml:space="preserve">, K.; Peters, C. G.; Jain, A.; Higgins, S. J.; </w:t>
      </w:r>
      <w:proofErr w:type="spellStart"/>
      <w:r>
        <w:t>Aisiku</w:t>
      </w:r>
      <w:proofErr w:type="spellEnd"/>
      <w:r>
        <w:t xml:space="preserve">, O.; Fitch-Tewfik, J. L.; Chaudhry, S. A.; Dockendorff, C.; Parikh, S. M.; </w:t>
      </w:r>
      <w:proofErr w:type="spellStart"/>
      <w:r>
        <w:t>Ingber</w:t>
      </w:r>
      <w:proofErr w:type="spellEnd"/>
      <w:r>
        <w:t xml:space="preserve">, D. E.; </w:t>
      </w:r>
      <w:proofErr w:type="spellStart"/>
      <w:r>
        <w:t>Flaumenhaft</w:t>
      </w:r>
      <w:proofErr w:type="spellEnd"/>
      <w:r>
        <w:t xml:space="preserve">, R. PAR1 Agonists Stimulate APC-Like Endothelial </w:t>
      </w:r>
      <w:proofErr w:type="spellStart"/>
      <w:r>
        <w:t>Cytoprotection</w:t>
      </w:r>
      <w:proofErr w:type="spellEnd"/>
      <w:r>
        <w:t xml:space="preserve"> and Confer Resistance to </w:t>
      </w:r>
      <w:proofErr w:type="spellStart"/>
      <w:r>
        <w:t>Thromboinflammatory</w:t>
      </w:r>
      <w:proofErr w:type="spellEnd"/>
      <w:r>
        <w:t xml:space="preserve"> Injury. </w:t>
      </w:r>
      <w:r w:rsidRPr="003D5265">
        <w:rPr>
          <w:i/>
        </w:rPr>
        <w:t>Proc. Natl. Acad. Sci. U. S. A.</w:t>
      </w:r>
      <w:r>
        <w:t xml:space="preserve"> 2018, 115, E982– E991, DOI: 10.1073/pnas.1718600115 </w:t>
      </w:r>
    </w:p>
    <w:p w14:paraId="1F9C8466" w14:textId="704D47DC" w:rsidR="00767B55" w:rsidRDefault="00767B55" w:rsidP="00121E9E">
      <w:pPr>
        <w:spacing w:after="0"/>
        <w:ind w:left="720" w:hanging="720"/>
      </w:pPr>
      <w:r>
        <w:t xml:space="preserve">15. Gandhi, D. M.; Majewski, M. W.; Rosas, R.; </w:t>
      </w:r>
      <w:proofErr w:type="spellStart"/>
      <w:r>
        <w:t>Kentala</w:t>
      </w:r>
      <w:proofErr w:type="spellEnd"/>
      <w:r>
        <w:t xml:space="preserve">, K.; Foster, T. J.; </w:t>
      </w:r>
      <w:proofErr w:type="spellStart"/>
      <w:r>
        <w:t>Greve</w:t>
      </w:r>
      <w:proofErr w:type="spellEnd"/>
      <w:r>
        <w:t xml:space="preserve">, E.; Dockendorff, C. Characterization of Protease-Activated Receptor (PAR) Ligands: </w:t>
      </w:r>
      <w:proofErr w:type="spellStart"/>
      <w:r>
        <w:t>Parmodulins</w:t>
      </w:r>
      <w:proofErr w:type="spellEnd"/>
      <w:r>
        <w:t xml:space="preserve"> Are Reversible Allosteric Inhibitors of PAR1-Driven Calcium Mobilization in Endothelial Cells. </w:t>
      </w:r>
      <w:proofErr w:type="spellStart"/>
      <w:r>
        <w:t>Bioorg</w:t>
      </w:r>
      <w:proofErr w:type="spellEnd"/>
      <w:r>
        <w:t xml:space="preserve">. </w:t>
      </w:r>
      <w:r w:rsidRPr="003D5265">
        <w:rPr>
          <w:i/>
        </w:rPr>
        <w:t>Med. Chem</w:t>
      </w:r>
      <w:r>
        <w:t xml:space="preserve">. 2018, 26, 2514– 2529, DOI: 10.1016/j.bmc.2018.04.016 </w:t>
      </w:r>
    </w:p>
    <w:p w14:paraId="52900DC0" w14:textId="77CE682E" w:rsidR="00767B55" w:rsidRDefault="00767B55" w:rsidP="00715E86">
      <w:pPr>
        <w:spacing w:after="0"/>
        <w:ind w:left="720" w:hanging="720"/>
      </w:pPr>
      <w:r>
        <w:t xml:space="preserve">16. </w:t>
      </w:r>
      <w:proofErr w:type="spellStart"/>
      <w:r>
        <w:t>Portoghese</w:t>
      </w:r>
      <w:proofErr w:type="spellEnd"/>
      <w:r>
        <w:t xml:space="preserve">, P. S.; </w:t>
      </w:r>
      <w:proofErr w:type="spellStart"/>
      <w:r>
        <w:t>Ronsisvalle</w:t>
      </w:r>
      <w:proofErr w:type="spellEnd"/>
      <w:r>
        <w:t xml:space="preserve">, G.; Larson, D. L.; </w:t>
      </w:r>
      <w:proofErr w:type="spellStart"/>
      <w:r>
        <w:t>Yim</w:t>
      </w:r>
      <w:proofErr w:type="spellEnd"/>
      <w:r>
        <w:t xml:space="preserve">, C. B.; Sayre, L. M.; Takemori, A. E. Opioid Agonist and Antagonist Bivalent Ligands as Receptor Probes. </w:t>
      </w:r>
      <w:r w:rsidRPr="003D5265">
        <w:rPr>
          <w:i/>
        </w:rPr>
        <w:t>Life Sci</w:t>
      </w:r>
      <w:r>
        <w:t xml:space="preserve">. 1982, 31, 1283– 1286, DOI: 10.1016/0024-3205(82)90362-9 </w:t>
      </w:r>
    </w:p>
    <w:p w14:paraId="7B6C70A3" w14:textId="14F5E723" w:rsidR="00767B55" w:rsidRDefault="00767B55" w:rsidP="00715E86">
      <w:pPr>
        <w:spacing w:after="0"/>
        <w:ind w:left="720" w:hanging="720"/>
      </w:pPr>
      <w:r>
        <w:t xml:space="preserve">17. </w:t>
      </w:r>
      <w:proofErr w:type="spellStart"/>
      <w:r>
        <w:t>Shonberg</w:t>
      </w:r>
      <w:proofErr w:type="spellEnd"/>
      <w:r>
        <w:t xml:space="preserve">, J.; </w:t>
      </w:r>
      <w:proofErr w:type="spellStart"/>
      <w:r>
        <w:t>Scammells</w:t>
      </w:r>
      <w:proofErr w:type="spellEnd"/>
      <w:r>
        <w:t xml:space="preserve">, P. J.; Capuano, B. Design Strategies for Bivalent Ligands Targeting GPCRs. </w:t>
      </w:r>
      <w:proofErr w:type="spellStart"/>
      <w:r w:rsidRPr="003D5265">
        <w:rPr>
          <w:i/>
        </w:rPr>
        <w:t>ChemMedChem</w:t>
      </w:r>
      <w:proofErr w:type="spellEnd"/>
      <w:r>
        <w:t xml:space="preserve"> 2011, 6, 963– 974, DOI: 10.1002/cmdc.201100101 </w:t>
      </w:r>
    </w:p>
    <w:p w14:paraId="0A2A2104" w14:textId="7A1CD9CF" w:rsidR="00767B55" w:rsidRDefault="00767B55" w:rsidP="00121E9E">
      <w:pPr>
        <w:spacing w:after="0"/>
        <w:ind w:left="720" w:hanging="720"/>
      </w:pPr>
      <w:r>
        <w:t xml:space="preserve">18. Hiller, C.; </w:t>
      </w:r>
      <w:proofErr w:type="spellStart"/>
      <w:r>
        <w:t>Kühhorn</w:t>
      </w:r>
      <w:proofErr w:type="spellEnd"/>
      <w:r>
        <w:t xml:space="preserve">, J.; </w:t>
      </w:r>
      <w:proofErr w:type="spellStart"/>
      <w:r>
        <w:t>Gmeiner</w:t>
      </w:r>
      <w:proofErr w:type="spellEnd"/>
      <w:r>
        <w:t xml:space="preserve">, P. Class a G-Protein-Coupled Receptor (GPCR) Dimers and Bivalent Ligands. J. Med. Chem. 2013, 56, 6542– 6559, DOI: 10.1021/jm4004335 </w:t>
      </w:r>
    </w:p>
    <w:p w14:paraId="0D415D6A" w14:textId="2D799D70" w:rsidR="00767B55" w:rsidRDefault="00767B55" w:rsidP="00715E86">
      <w:pPr>
        <w:spacing w:after="0"/>
        <w:ind w:left="720" w:hanging="720"/>
      </w:pPr>
      <w:r>
        <w:t xml:space="preserve">19. Daniels, D. J.; Lenard, N. R.; Etienne, C. L.; Law, P.-Y.; </w:t>
      </w:r>
      <w:proofErr w:type="spellStart"/>
      <w:r>
        <w:t>Roerig</w:t>
      </w:r>
      <w:proofErr w:type="spellEnd"/>
      <w:r>
        <w:t xml:space="preserve">, S. C.; </w:t>
      </w:r>
      <w:proofErr w:type="spellStart"/>
      <w:r>
        <w:t>Portoghese</w:t>
      </w:r>
      <w:proofErr w:type="spellEnd"/>
      <w:r>
        <w:t xml:space="preserve">, P. S. Opioid-Induced Tolerance and Dependence in Mice Is Modulated by the Distance Between Pharmacophores in a Bivalent Ligand Series. </w:t>
      </w:r>
      <w:r w:rsidRPr="003D5265">
        <w:rPr>
          <w:i/>
        </w:rPr>
        <w:t>Proc. Natl. Acad. Sci. U. S. A</w:t>
      </w:r>
      <w:r>
        <w:t xml:space="preserve">. 2005, 102, 19208– 19213, DOI: 10.1073/pnas.0506627102 </w:t>
      </w:r>
    </w:p>
    <w:p w14:paraId="1FA95F83" w14:textId="75A30E5F" w:rsidR="00767B55" w:rsidRDefault="00767B55" w:rsidP="00715E86">
      <w:pPr>
        <w:spacing w:after="0"/>
        <w:ind w:left="720" w:hanging="720"/>
      </w:pPr>
      <w:r>
        <w:t xml:space="preserve">20. Xu, L.; </w:t>
      </w:r>
      <w:proofErr w:type="spellStart"/>
      <w:r>
        <w:t>Josan</w:t>
      </w:r>
      <w:proofErr w:type="spellEnd"/>
      <w:r>
        <w:t xml:space="preserve">, J. S.; </w:t>
      </w:r>
      <w:proofErr w:type="spellStart"/>
      <w:r>
        <w:t>Vagner</w:t>
      </w:r>
      <w:proofErr w:type="spellEnd"/>
      <w:r>
        <w:t xml:space="preserve">, J.; Caplan, M. R.; Hruby, V. J.; Mash, E. A.; Lynch, R. M.; Morse, D. L.; Gillies, R. J. </w:t>
      </w:r>
      <w:proofErr w:type="spellStart"/>
      <w:r>
        <w:t>Heterobivalent</w:t>
      </w:r>
      <w:proofErr w:type="spellEnd"/>
      <w:r>
        <w:t xml:space="preserve"> Ligands Target Cell-Surface Receptor Combinations in Vivo. </w:t>
      </w:r>
      <w:r w:rsidRPr="003D5265">
        <w:rPr>
          <w:i/>
        </w:rPr>
        <w:t>Proc. Natl. Acad. Sci. U. S. A</w:t>
      </w:r>
      <w:r>
        <w:t xml:space="preserve">. 2012, 109, 21295– 21300, DOI: 10.1073/pnas.1211762109 </w:t>
      </w:r>
    </w:p>
    <w:p w14:paraId="3FC1DA50" w14:textId="6680C8C5" w:rsidR="00767B55" w:rsidRDefault="00767B55" w:rsidP="00715E86">
      <w:pPr>
        <w:spacing w:after="0"/>
        <w:ind w:left="720" w:hanging="720"/>
      </w:pPr>
      <w:r>
        <w:t xml:space="preserve">21. Lensing, C. J.; </w:t>
      </w:r>
      <w:proofErr w:type="spellStart"/>
      <w:r>
        <w:t>Adank</w:t>
      </w:r>
      <w:proofErr w:type="spellEnd"/>
      <w:r>
        <w:t xml:space="preserve">, D. N.; Wilber, S. L.; Freeman, K. T.; Schnell, S. M.; </w:t>
      </w:r>
      <w:proofErr w:type="spellStart"/>
      <w:r>
        <w:t>Speth</w:t>
      </w:r>
      <w:proofErr w:type="spellEnd"/>
      <w:r>
        <w:t xml:space="preserve">, R. C.; </w:t>
      </w:r>
      <w:proofErr w:type="spellStart"/>
      <w:r>
        <w:t>Zarth</w:t>
      </w:r>
      <w:proofErr w:type="spellEnd"/>
      <w:r>
        <w:t>, A. T.; Haskell-</w:t>
      </w:r>
      <w:proofErr w:type="spellStart"/>
      <w:r>
        <w:t>Luevano</w:t>
      </w:r>
      <w:proofErr w:type="spellEnd"/>
      <w:r>
        <w:t xml:space="preserve">, C. A Direct in Vivo Comparison of the Melanocortin Monovalent Agonist Ac-His-DPhe-Arg-Trp-NH2 Versus the Bivalent Agonist Ac-His-DPhe-Arg-Trp-PEDG20-His-DPhe-Arg-Trp-NH2: a Bivalent Advantage. </w:t>
      </w:r>
      <w:r w:rsidRPr="003D5265">
        <w:rPr>
          <w:i/>
        </w:rPr>
        <w:t xml:space="preserve">ACS Chem. </w:t>
      </w:r>
      <w:proofErr w:type="spellStart"/>
      <w:r w:rsidRPr="003D5265">
        <w:rPr>
          <w:i/>
        </w:rPr>
        <w:t>Neurosci</w:t>
      </w:r>
      <w:proofErr w:type="spellEnd"/>
      <w:r>
        <w:t xml:space="preserve">. 2017, 8, 1262– 1278, DOI: 10.1021/acschemneuro.6b00399 </w:t>
      </w:r>
    </w:p>
    <w:p w14:paraId="0AE111F9" w14:textId="615275C7" w:rsidR="00767B55" w:rsidRDefault="00767B55" w:rsidP="00715E86">
      <w:pPr>
        <w:spacing w:after="0"/>
        <w:ind w:left="720" w:hanging="720"/>
      </w:pPr>
      <w:r>
        <w:t xml:space="preserve">22. </w:t>
      </w:r>
      <w:proofErr w:type="spellStart"/>
      <w:r>
        <w:t>Hübner</w:t>
      </w:r>
      <w:proofErr w:type="spellEnd"/>
      <w:r>
        <w:t xml:space="preserve">, H.; </w:t>
      </w:r>
      <w:proofErr w:type="spellStart"/>
      <w:r>
        <w:t>Schellhorn</w:t>
      </w:r>
      <w:proofErr w:type="spellEnd"/>
      <w:r>
        <w:t xml:space="preserve">, T.; </w:t>
      </w:r>
      <w:proofErr w:type="spellStart"/>
      <w:r>
        <w:t>Gienger</w:t>
      </w:r>
      <w:proofErr w:type="spellEnd"/>
      <w:r>
        <w:t xml:space="preserve">, M.; </w:t>
      </w:r>
      <w:proofErr w:type="spellStart"/>
      <w:r>
        <w:t>Schaab</w:t>
      </w:r>
      <w:proofErr w:type="spellEnd"/>
      <w:r>
        <w:t xml:space="preserve">, C.; </w:t>
      </w:r>
      <w:proofErr w:type="spellStart"/>
      <w:r>
        <w:t>Kaindl</w:t>
      </w:r>
      <w:proofErr w:type="spellEnd"/>
      <w:r>
        <w:t xml:space="preserve">, J.; </w:t>
      </w:r>
      <w:proofErr w:type="spellStart"/>
      <w:r>
        <w:t>Leeb</w:t>
      </w:r>
      <w:proofErr w:type="spellEnd"/>
      <w:r>
        <w:t xml:space="preserve">, L.; Clark, T.; </w:t>
      </w:r>
      <w:proofErr w:type="spellStart"/>
      <w:r>
        <w:t>Möller</w:t>
      </w:r>
      <w:proofErr w:type="spellEnd"/>
      <w:r>
        <w:t xml:space="preserve">, D.; </w:t>
      </w:r>
      <w:proofErr w:type="spellStart"/>
      <w:r>
        <w:t>Gmeiner</w:t>
      </w:r>
      <w:proofErr w:type="spellEnd"/>
      <w:r>
        <w:t xml:space="preserve">, P. Structure-Guided Development of Heterodimer-Selective GPCR Ligands. </w:t>
      </w:r>
      <w:r w:rsidRPr="003D5265">
        <w:rPr>
          <w:i/>
        </w:rPr>
        <w:t xml:space="preserve">Nat. </w:t>
      </w:r>
      <w:proofErr w:type="spellStart"/>
      <w:r w:rsidRPr="003D5265">
        <w:rPr>
          <w:i/>
        </w:rPr>
        <w:t>Commun</w:t>
      </w:r>
      <w:proofErr w:type="spellEnd"/>
      <w:r>
        <w:t xml:space="preserve">. 2016, 7, 12298, DOI: 10.1038/ncomms12298 </w:t>
      </w:r>
    </w:p>
    <w:p w14:paraId="777B27F0" w14:textId="54E5DC87" w:rsidR="00767B55" w:rsidRDefault="00767B55" w:rsidP="00715E86">
      <w:pPr>
        <w:spacing w:after="0"/>
        <w:ind w:left="720" w:hanging="720"/>
      </w:pPr>
      <w:r>
        <w:t xml:space="preserve">23. Shi, X.; </w:t>
      </w:r>
      <w:proofErr w:type="spellStart"/>
      <w:r>
        <w:t>Gangadharan</w:t>
      </w:r>
      <w:proofErr w:type="spellEnd"/>
      <w:r>
        <w:t xml:space="preserve">, B.; Brass, L. F.; </w:t>
      </w:r>
      <w:proofErr w:type="spellStart"/>
      <w:r>
        <w:t>Ruf</w:t>
      </w:r>
      <w:proofErr w:type="spellEnd"/>
      <w:r>
        <w:t xml:space="preserve">, W.; Mueller, B. M. Protease-Activated Receptors (PAR1 and PAR2) Contribute to Tumor Cell Motility and Metastasis. </w:t>
      </w:r>
      <w:r w:rsidRPr="003D5265">
        <w:rPr>
          <w:i/>
        </w:rPr>
        <w:t>Mol. Cancer Res</w:t>
      </w:r>
      <w:r>
        <w:t>. 2004, 2, 395– 402</w:t>
      </w:r>
    </w:p>
    <w:p w14:paraId="4AB82204" w14:textId="381349CF" w:rsidR="00767B55" w:rsidRDefault="00767B55" w:rsidP="00715E86">
      <w:pPr>
        <w:spacing w:after="0"/>
        <w:ind w:left="720" w:hanging="720"/>
      </w:pPr>
      <w:r>
        <w:t xml:space="preserve">24. Jaber, M.; </w:t>
      </w:r>
      <w:proofErr w:type="spellStart"/>
      <w:r>
        <w:t>Maoz</w:t>
      </w:r>
      <w:proofErr w:type="spellEnd"/>
      <w:r>
        <w:t xml:space="preserve">, M.; </w:t>
      </w:r>
      <w:proofErr w:type="spellStart"/>
      <w:r>
        <w:t>Kancharla</w:t>
      </w:r>
      <w:proofErr w:type="spellEnd"/>
      <w:r>
        <w:t xml:space="preserve">, A.; </w:t>
      </w:r>
      <w:proofErr w:type="spellStart"/>
      <w:r>
        <w:t>Agranovich</w:t>
      </w:r>
      <w:proofErr w:type="spellEnd"/>
      <w:r>
        <w:t xml:space="preserve">, D.; </w:t>
      </w:r>
      <w:proofErr w:type="spellStart"/>
      <w:r>
        <w:t>Peretz</w:t>
      </w:r>
      <w:proofErr w:type="spellEnd"/>
      <w:r>
        <w:t xml:space="preserve">, T.; </w:t>
      </w:r>
      <w:proofErr w:type="spellStart"/>
      <w:r>
        <w:t>Grisaru-Granovsky</w:t>
      </w:r>
      <w:proofErr w:type="spellEnd"/>
      <w:r>
        <w:t xml:space="preserve">, S.; </w:t>
      </w:r>
      <w:proofErr w:type="spellStart"/>
      <w:r>
        <w:t>Uziely</w:t>
      </w:r>
      <w:proofErr w:type="spellEnd"/>
      <w:r>
        <w:t>, B.; Bar-</w:t>
      </w:r>
      <w:proofErr w:type="spellStart"/>
      <w:r>
        <w:t>Shavit</w:t>
      </w:r>
      <w:proofErr w:type="spellEnd"/>
      <w:r>
        <w:t xml:space="preserve">, R. Protease-Activated-Receptor-2 Affects Protease-Activated-Receptor-1-Driven Breast Cancer. </w:t>
      </w:r>
      <w:r w:rsidRPr="003D5265">
        <w:rPr>
          <w:i/>
        </w:rPr>
        <w:t>Cell. Mol. Life Sci</w:t>
      </w:r>
      <w:r>
        <w:t xml:space="preserve">. 2014, 71, 2517– 2533, DOI: 10.1007/s00018-013-1498-7 </w:t>
      </w:r>
    </w:p>
    <w:p w14:paraId="14FDC8CD" w14:textId="0799DE8F" w:rsidR="00767B55" w:rsidRDefault="00767B55" w:rsidP="00715E86">
      <w:pPr>
        <w:spacing w:after="0"/>
        <w:ind w:left="720" w:hanging="720"/>
      </w:pPr>
      <w:r>
        <w:t xml:space="preserve">25. </w:t>
      </w:r>
      <w:proofErr w:type="spellStart"/>
      <w:r>
        <w:t>Kancharla</w:t>
      </w:r>
      <w:proofErr w:type="spellEnd"/>
      <w:r>
        <w:t xml:space="preserve">, A.; </w:t>
      </w:r>
      <w:proofErr w:type="spellStart"/>
      <w:r>
        <w:t>Maoz</w:t>
      </w:r>
      <w:proofErr w:type="spellEnd"/>
      <w:r>
        <w:t xml:space="preserve">, M.; Jaber, M.; </w:t>
      </w:r>
      <w:proofErr w:type="spellStart"/>
      <w:r>
        <w:t>Agranovich</w:t>
      </w:r>
      <w:proofErr w:type="spellEnd"/>
      <w:r>
        <w:t xml:space="preserve">, D.; </w:t>
      </w:r>
      <w:proofErr w:type="spellStart"/>
      <w:r>
        <w:t>Peretz</w:t>
      </w:r>
      <w:proofErr w:type="spellEnd"/>
      <w:r>
        <w:t xml:space="preserve">, T.; </w:t>
      </w:r>
      <w:proofErr w:type="spellStart"/>
      <w:r>
        <w:t>Grisaru-Granovsky</w:t>
      </w:r>
      <w:proofErr w:type="spellEnd"/>
      <w:r>
        <w:t xml:space="preserve">, S.; </w:t>
      </w:r>
      <w:proofErr w:type="spellStart"/>
      <w:r>
        <w:t>Uziely</w:t>
      </w:r>
      <w:proofErr w:type="spellEnd"/>
      <w:r>
        <w:t>, B.; Bar-</w:t>
      </w:r>
      <w:proofErr w:type="spellStart"/>
      <w:r>
        <w:t>Shavit</w:t>
      </w:r>
      <w:proofErr w:type="spellEnd"/>
      <w:r>
        <w:t xml:space="preserve">, R. PH Motifs in PAR1&amp;2 Endow Breast Cancer Growth. </w:t>
      </w:r>
      <w:r w:rsidRPr="003D5265">
        <w:rPr>
          <w:i/>
        </w:rPr>
        <w:t xml:space="preserve">Nat. </w:t>
      </w:r>
      <w:proofErr w:type="spellStart"/>
      <w:r w:rsidRPr="003D5265">
        <w:rPr>
          <w:i/>
        </w:rPr>
        <w:t>Commun</w:t>
      </w:r>
      <w:proofErr w:type="spellEnd"/>
      <w:r>
        <w:t xml:space="preserve">. 2015, 6, 8853, DOI: 10.1038/ncomms9853 </w:t>
      </w:r>
    </w:p>
    <w:p w14:paraId="670D0FAD" w14:textId="50588A4F" w:rsidR="00767B55" w:rsidRDefault="00767B55" w:rsidP="00715E86">
      <w:pPr>
        <w:spacing w:after="0"/>
        <w:ind w:left="720" w:hanging="720"/>
      </w:pPr>
      <w:r>
        <w:t xml:space="preserve">26. Sevigny, L. M.; Austin, K. M.; Zhang, P.; </w:t>
      </w:r>
      <w:proofErr w:type="spellStart"/>
      <w:r>
        <w:t>Kasuda</w:t>
      </w:r>
      <w:proofErr w:type="spellEnd"/>
      <w:r>
        <w:t xml:space="preserve">, S.; </w:t>
      </w:r>
      <w:proofErr w:type="spellStart"/>
      <w:r>
        <w:t>Koukos</w:t>
      </w:r>
      <w:proofErr w:type="spellEnd"/>
      <w:r>
        <w:t xml:space="preserve">, G.; Sharifi, S.; </w:t>
      </w:r>
      <w:proofErr w:type="spellStart"/>
      <w:r>
        <w:t>Covic</w:t>
      </w:r>
      <w:proofErr w:type="spellEnd"/>
      <w:r>
        <w:t xml:space="preserve">, L.; </w:t>
      </w:r>
      <w:proofErr w:type="spellStart"/>
      <w:r>
        <w:t>Kuliopulos</w:t>
      </w:r>
      <w:proofErr w:type="spellEnd"/>
      <w:r>
        <w:t xml:space="preserve">, A. Protease-Activated Receptor-2 Modulates Protease-Activated Receptor-1-Driven Neointimal Hyperplasia. </w:t>
      </w:r>
      <w:proofErr w:type="spellStart"/>
      <w:r>
        <w:t>Arterioscler</w:t>
      </w:r>
      <w:proofErr w:type="spellEnd"/>
      <w:r>
        <w:t xml:space="preserve">., </w:t>
      </w:r>
      <w:proofErr w:type="spellStart"/>
      <w:r>
        <w:t>Thromb</w:t>
      </w:r>
      <w:proofErr w:type="spellEnd"/>
      <w:r>
        <w:t xml:space="preserve">., </w:t>
      </w:r>
      <w:proofErr w:type="spellStart"/>
      <w:r w:rsidRPr="003D5265">
        <w:rPr>
          <w:i/>
        </w:rPr>
        <w:t>Vasc</w:t>
      </w:r>
      <w:proofErr w:type="spellEnd"/>
      <w:r w:rsidRPr="003D5265">
        <w:rPr>
          <w:i/>
        </w:rPr>
        <w:t>. Biol</w:t>
      </w:r>
      <w:r>
        <w:t xml:space="preserve">. 2011, 31, e100– e106, DOI: 10.1161/ATVBAHA.111.238261 </w:t>
      </w:r>
    </w:p>
    <w:p w14:paraId="7B1F4A51" w14:textId="2A66D73C" w:rsidR="00767B55" w:rsidRDefault="00767B55" w:rsidP="00715E86">
      <w:pPr>
        <w:spacing w:after="0"/>
        <w:ind w:left="720" w:hanging="720"/>
      </w:pPr>
      <w:r>
        <w:t xml:space="preserve">27. Zhang, H.-C.; </w:t>
      </w:r>
      <w:proofErr w:type="spellStart"/>
      <w:r>
        <w:t>Derian</w:t>
      </w:r>
      <w:proofErr w:type="spellEnd"/>
      <w:r>
        <w:t xml:space="preserve">, C. K.; Andrade-Gordon, P.; Hoekstra, W. J.; </w:t>
      </w:r>
      <w:proofErr w:type="spellStart"/>
      <w:r>
        <w:t>McComsey</w:t>
      </w:r>
      <w:proofErr w:type="spellEnd"/>
      <w:r>
        <w:t xml:space="preserve">, D. F.; White, K. B.; Poulter, B. L.; Addo, M. F.; Cheung, W.-M.; Damiano, B. P.; </w:t>
      </w:r>
      <w:proofErr w:type="spellStart"/>
      <w:r>
        <w:t>Oksenberg</w:t>
      </w:r>
      <w:proofErr w:type="spellEnd"/>
      <w:r>
        <w:t xml:space="preserve">, D.; Reynolds, E. E.; Pandey, A.; Scarborough, R. M.; </w:t>
      </w:r>
      <w:proofErr w:type="spellStart"/>
      <w:r>
        <w:t>Maryanoff</w:t>
      </w:r>
      <w:proofErr w:type="spellEnd"/>
      <w:r>
        <w:t xml:space="preserve">, B. E. Discovery and Optimization of a Novel Series of Thrombin Receptor (PAR-1) Antagonists: Potent, Selective Peptide Mimetics Based on Indole and Indazole Templates. </w:t>
      </w:r>
      <w:r w:rsidRPr="003D5265">
        <w:rPr>
          <w:i/>
        </w:rPr>
        <w:t>J. Med. Chem</w:t>
      </w:r>
      <w:r>
        <w:t xml:space="preserve">. 2001, 44, 1021– 1024, DOI: 10.1021/jm000506s </w:t>
      </w:r>
    </w:p>
    <w:p w14:paraId="7A7309E5" w14:textId="1F0987FE" w:rsidR="00767B55" w:rsidRDefault="00767B55" w:rsidP="00715E86">
      <w:pPr>
        <w:spacing w:after="0"/>
        <w:ind w:left="720" w:hanging="720"/>
      </w:pPr>
      <w:r>
        <w:t xml:space="preserve">28. </w:t>
      </w:r>
      <w:proofErr w:type="spellStart"/>
      <w:r>
        <w:t>Chieng-Yane</w:t>
      </w:r>
      <w:proofErr w:type="spellEnd"/>
      <w:r>
        <w:t xml:space="preserve">, P.; </w:t>
      </w:r>
      <w:proofErr w:type="spellStart"/>
      <w:r>
        <w:t>Bocquet</w:t>
      </w:r>
      <w:proofErr w:type="spellEnd"/>
      <w:r>
        <w:t xml:space="preserve">, A.; </w:t>
      </w:r>
      <w:proofErr w:type="spellStart"/>
      <w:r>
        <w:t>Letienne</w:t>
      </w:r>
      <w:proofErr w:type="spellEnd"/>
      <w:r>
        <w:t xml:space="preserve">, R.; Bourbon, T.; </w:t>
      </w:r>
      <w:proofErr w:type="spellStart"/>
      <w:r>
        <w:t>Sablayrolles</w:t>
      </w:r>
      <w:proofErr w:type="spellEnd"/>
      <w:r>
        <w:t xml:space="preserve">, S.; Perez, M.; Hatem, S. N.; </w:t>
      </w:r>
      <w:proofErr w:type="spellStart"/>
      <w:r>
        <w:t>Lompre</w:t>
      </w:r>
      <w:proofErr w:type="spellEnd"/>
      <w:r>
        <w:t>, A.-M.; Le Grand, B.; David-</w:t>
      </w:r>
      <w:proofErr w:type="spellStart"/>
      <w:r>
        <w:t>Dufilho</w:t>
      </w:r>
      <w:proofErr w:type="spellEnd"/>
      <w:r>
        <w:t xml:space="preserve">, M. Protease-Activated Receptor-1 Antagonist F 16618 Reduces Arterial Restenosis by Down-Regulation of Tumor Necrosis Factor Alpha and Matrix Metalloproteinase 7 Expression, Migration, and Proliferation of Vascular Smooth Muscle Cells. </w:t>
      </w:r>
      <w:r w:rsidRPr="003D5265">
        <w:rPr>
          <w:i/>
        </w:rPr>
        <w:t xml:space="preserve">J. </w:t>
      </w:r>
      <w:proofErr w:type="spellStart"/>
      <w:r w:rsidRPr="003D5265">
        <w:rPr>
          <w:i/>
        </w:rPr>
        <w:t>Pharmacol</w:t>
      </w:r>
      <w:proofErr w:type="spellEnd"/>
      <w:r w:rsidRPr="003D5265">
        <w:rPr>
          <w:i/>
        </w:rPr>
        <w:t xml:space="preserve">. Exp. </w:t>
      </w:r>
      <w:proofErr w:type="spellStart"/>
      <w:r w:rsidRPr="003D5265">
        <w:rPr>
          <w:i/>
        </w:rPr>
        <w:t>Ther</w:t>
      </w:r>
      <w:proofErr w:type="spellEnd"/>
      <w:r>
        <w:t xml:space="preserve">. 2011, 336, 643– 651, DOI: 10.1124/jpet.110.175182 </w:t>
      </w:r>
    </w:p>
    <w:p w14:paraId="2A4F9BCA" w14:textId="2CB29BD1" w:rsidR="00767B55" w:rsidRDefault="00767B55" w:rsidP="00715E86">
      <w:pPr>
        <w:spacing w:after="0"/>
        <w:ind w:left="720" w:hanging="720"/>
      </w:pPr>
      <w:r>
        <w:t xml:space="preserve">29. </w:t>
      </w:r>
      <w:proofErr w:type="spellStart"/>
      <w:r>
        <w:t>Boire</w:t>
      </w:r>
      <w:proofErr w:type="spellEnd"/>
      <w:r>
        <w:t xml:space="preserve">, A.; </w:t>
      </w:r>
      <w:proofErr w:type="spellStart"/>
      <w:r>
        <w:t>Covic</w:t>
      </w:r>
      <w:proofErr w:type="spellEnd"/>
      <w:r>
        <w:t xml:space="preserve">, L.; Agarwal, A.; Jacques, S.; </w:t>
      </w:r>
      <w:proofErr w:type="spellStart"/>
      <w:r>
        <w:t>Sherifi</w:t>
      </w:r>
      <w:proofErr w:type="spellEnd"/>
      <w:r>
        <w:t xml:space="preserve">, S.; </w:t>
      </w:r>
      <w:proofErr w:type="spellStart"/>
      <w:r>
        <w:t>Kuliopulos</w:t>
      </w:r>
      <w:proofErr w:type="spellEnd"/>
      <w:r>
        <w:t xml:space="preserve">, A. </w:t>
      </w:r>
      <w:r w:rsidRPr="003D5265">
        <w:rPr>
          <w:i/>
        </w:rPr>
        <w:t>PAR1 Is a Matrix Metalloprotease-1 Receptor That Promotes Invasion and Tumorigenesis of Breast Cancer Cells. Cell</w:t>
      </w:r>
      <w:r>
        <w:t xml:space="preserve"> 2005, 120, 303– 313, DOI: 10.1016/j.cell.2004.12.018 </w:t>
      </w:r>
    </w:p>
    <w:p w14:paraId="4B186920" w14:textId="0CE04AF2" w:rsidR="00767B55" w:rsidRDefault="00767B55" w:rsidP="00715E86">
      <w:pPr>
        <w:spacing w:after="0"/>
        <w:ind w:left="720" w:hanging="720"/>
      </w:pPr>
      <w:r>
        <w:t xml:space="preserve">30. Kaufmann, R.; </w:t>
      </w:r>
      <w:proofErr w:type="spellStart"/>
      <w:r>
        <w:t>Rahn</w:t>
      </w:r>
      <w:proofErr w:type="spellEnd"/>
      <w:r>
        <w:t xml:space="preserve">, S.; </w:t>
      </w:r>
      <w:proofErr w:type="spellStart"/>
      <w:r>
        <w:t>Pollrich</w:t>
      </w:r>
      <w:proofErr w:type="spellEnd"/>
      <w:r>
        <w:t xml:space="preserve">, K.; Hertel, J.; Dittmar, Y.; </w:t>
      </w:r>
      <w:proofErr w:type="spellStart"/>
      <w:r>
        <w:t>Hommann</w:t>
      </w:r>
      <w:proofErr w:type="spellEnd"/>
      <w:r>
        <w:t xml:space="preserve">, M.; </w:t>
      </w:r>
      <w:proofErr w:type="spellStart"/>
      <w:r>
        <w:t>Henklein</w:t>
      </w:r>
      <w:proofErr w:type="spellEnd"/>
      <w:r>
        <w:t xml:space="preserve">, P.; </w:t>
      </w:r>
      <w:proofErr w:type="spellStart"/>
      <w:r>
        <w:t>Biskup</w:t>
      </w:r>
      <w:proofErr w:type="spellEnd"/>
      <w:r>
        <w:t xml:space="preserve">, C.; Westermann, M.; </w:t>
      </w:r>
      <w:proofErr w:type="spellStart"/>
      <w:r>
        <w:t>Hollenberg</w:t>
      </w:r>
      <w:proofErr w:type="spellEnd"/>
      <w:r>
        <w:t xml:space="preserve">, M. D.; </w:t>
      </w:r>
      <w:proofErr w:type="spellStart"/>
      <w:r>
        <w:t>Settmacher</w:t>
      </w:r>
      <w:proofErr w:type="spellEnd"/>
      <w:r>
        <w:t xml:space="preserve">, U. Thrombin-Mediated Hepatocellular Carcinoma Cell Migration: Cooperative Action via Proteinase-Activated Receptors 1 and 4. </w:t>
      </w:r>
      <w:r w:rsidRPr="003D5265">
        <w:rPr>
          <w:i/>
        </w:rPr>
        <w:t>J. Cell. Physiol.</w:t>
      </w:r>
      <w:r>
        <w:t xml:space="preserve"> 2007, 211, 699– 707, DOI: 10.1002/jcp.21027 </w:t>
      </w:r>
    </w:p>
    <w:p w14:paraId="0285DB2D" w14:textId="7E999790" w:rsidR="00767B55" w:rsidRDefault="00767B55" w:rsidP="00715E86">
      <w:pPr>
        <w:spacing w:after="0"/>
        <w:ind w:left="720" w:hanging="720"/>
      </w:pPr>
      <w:r>
        <w:t xml:space="preserve">31. Kaufmann, R.; </w:t>
      </w:r>
      <w:proofErr w:type="spellStart"/>
      <w:r>
        <w:t>Mussbach</w:t>
      </w:r>
      <w:proofErr w:type="spellEnd"/>
      <w:r>
        <w:t xml:space="preserve">, F.; </w:t>
      </w:r>
      <w:proofErr w:type="spellStart"/>
      <w:r>
        <w:t>Henklein</w:t>
      </w:r>
      <w:proofErr w:type="spellEnd"/>
      <w:r>
        <w:t xml:space="preserve">, P.; </w:t>
      </w:r>
      <w:proofErr w:type="spellStart"/>
      <w:r>
        <w:t>Settmacher</w:t>
      </w:r>
      <w:proofErr w:type="spellEnd"/>
      <w:r>
        <w:t xml:space="preserve">, U. Proteinase-Activated Receptor 2-Mediated Calcium Signaling in Hepatocellular Carcinoma Cells. </w:t>
      </w:r>
      <w:r w:rsidRPr="003D5265">
        <w:rPr>
          <w:i/>
        </w:rPr>
        <w:t>J. Cancer Res. Clin. Oncol</w:t>
      </w:r>
      <w:r>
        <w:t xml:space="preserve">. 2011, 137, 965– 973, DOI: 10.1007/s00432-010-0961-1 </w:t>
      </w:r>
    </w:p>
    <w:p w14:paraId="64360C10" w14:textId="15F1F6E6" w:rsidR="00767B55" w:rsidRDefault="00767B55" w:rsidP="00715E86">
      <w:pPr>
        <w:spacing w:after="0"/>
        <w:ind w:left="720" w:hanging="720"/>
      </w:pPr>
      <w:r>
        <w:t xml:space="preserve">32. Damiano, B. P.; </w:t>
      </w:r>
      <w:proofErr w:type="spellStart"/>
      <w:r>
        <w:t>Derian</w:t>
      </w:r>
      <w:proofErr w:type="spellEnd"/>
      <w:r>
        <w:t xml:space="preserve">, C. K.; </w:t>
      </w:r>
      <w:proofErr w:type="spellStart"/>
      <w:r>
        <w:t>Maryanoff</w:t>
      </w:r>
      <w:proofErr w:type="spellEnd"/>
      <w:r>
        <w:t xml:space="preserve">, B. E.; Zhang, H.-C.; Gordon, P. A. RWJ-58259: </w:t>
      </w:r>
      <w:proofErr w:type="gramStart"/>
      <w:r>
        <w:t>a</w:t>
      </w:r>
      <w:proofErr w:type="gramEnd"/>
      <w:r>
        <w:t xml:space="preserve"> Selective Antagonist of Protease Activated Receptor-1. </w:t>
      </w:r>
      <w:r w:rsidRPr="003D5265">
        <w:rPr>
          <w:i/>
        </w:rPr>
        <w:t>Cardiovasc. Drug Rev</w:t>
      </w:r>
      <w:r>
        <w:t>. 2003, 21, 313– 326, DOI: 10.1111/j.1527-</w:t>
      </w:r>
      <w:proofErr w:type="gramStart"/>
      <w:r>
        <w:t>3466.2003.tb</w:t>
      </w:r>
      <w:proofErr w:type="gramEnd"/>
      <w:r>
        <w:t xml:space="preserve">00124.x </w:t>
      </w:r>
    </w:p>
    <w:p w14:paraId="08799CEE" w14:textId="3A7A0517" w:rsidR="00767B55" w:rsidRDefault="00767B55" w:rsidP="00715E86">
      <w:pPr>
        <w:spacing w:after="0"/>
        <w:ind w:left="720" w:hanging="720"/>
      </w:pPr>
      <w:r>
        <w:t xml:space="preserve">33. Farmer, L. J.; Lessard, S.; Liu, B.; St-Onge, M.; </w:t>
      </w:r>
      <w:proofErr w:type="spellStart"/>
      <w:r>
        <w:t>Sturino</w:t>
      </w:r>
      <w:proofErr w:type="spellEnd"/>
      <w:r>
        <w:t xml:space="preserve">, C.; </w:t>
      </w:r>
      <w:proofErr w:type="spellStart"/>
      <w:r>
        <w:t>Szychowski</w:t>
      </w:r>
      <w:proofErr w:type="spellEnd"/>
      <w:r>
        <w:t xml:space="preserve">, J.; </w:t>
      </w:r>
      <w:proofErr w:type="spellStart"/>
      <w:r>
        <w:t>Yannopoulos</w:t>
      </w:r>
      <w:proofErr w:type="spellEnd"/>
      <w:r>
        <w:t xml:space="preserve">, C. </w:t>
      </w:r>
      <w:proofErr w:type="spellStart"/>
      <w:r w:rsidRPr="003D5265">
        <w:rPr>
          <w:i/>
        </w:rPr>
        <w:t>Imidazopyridazines</w:t>
      </w:r>
      <w:proofErr w:type="spellEnd"/>
      <w:r w:rsidRPr="003D5265">
        <w:rPr>
          <w:i/>
        </w:rPr>
        <w:t xml:space="preserve"> Useful as Inhibitors of the PAR-2 Signaling Pathway</w:t>
      </w:r>
      <w:r>
        <w:t>. WO 2015/048245.</w:t>
      </w:r>
    </w:p>
    <w:p w14:paraId="3C861C25" w14:textId="45BA7683" w:rsidR="00767B55" w:rsidRDefault="00767B55" w:rsidP="00715E86">
      <w:pPr>
        <w:spacing w:after="0"/>
        <w:ind w:left="720" w:hanging="720"/>
      </w:pPr>
      <w:r>
        <w:t xml:space="preserve">34. Krishnamurthy, V. M.; </w:t>
      </w:r>
      <w:proofErr w:type="spellStart"/>
      <w:r>
        <w:t>Semetey</w:t>
      </w:r>
      <w:proofErr w:type="spellEnd"/>
      <w:r>
        <w:t xml:space="preserve">, V.; </w:t>
      </w:r>
      <w:proofErr w:type="spellStart"/>
      <w:r>
        <w:t>Bracher</w:t>
      </w:r>
      <w:proofErr w:type="spellEnd"/>
      <w:r>
        <w:t xml:space="preserve">, P. J.; Shen, N.; </w:t>
      </w:r>
      <w:proofErr w:type="spellStart"/>
      <w:r>
        <w:t>Whitesides</w:t>
      </w:r>
      <w:proofErr w:type="spellEnd"/>
      <w:r>
        <w:t xml:space="preserve">, G. M. Dependence of Effective Molarity on Linker Length for an Intramolecular Protein–Ligand System. </w:t>
      </w:r>
      <w:r w:rsidRPr="003D5265">
        <w:rPr>
          <w:i/>
        </w:rPr>
        <w:t>J. Am. Chem. Soc.</w:t>
      </w:r>
      <w:r>
        <w:t xml:space="preserve"> 2007, 129, 1312– 1320, DOI: 10.1021/ja066780e </w:t>
      </w:r>
    </w:p>
    <w:p w14:paraId="7FF28E6E" w14:textId="3B7ED8DB" w:rsidR="00767B55" w:rsidRDefault="00767B55" w:rsidP="00715E86">
      <w:pPr>
        <w:spacing w:after="0"/>
        <w:ind w:left="720" w:hanging="720"/>
      </w:pPr>
      <w:r>
        <w:t xml:space="preserve">35. </w:t>
      </w:r>
      <w:proofErr w:type="spellStart"/>
      <w:r>
        <w:t>Meldal</w:t>
      </w:r>
      <w:proofErr w:type="spellEnd"/>
      <w:r>
        <w:t xml:space="preserve">, M.; </w:t>
      </w:r>
      <w:proofErr w:type="spellStart"/>
      <w:r>
        <w:t>Tornøe</w:t>
      </w:r>
      <w:proofErr w:type="spellEnd"/>
      <w:r>
        <w:t xml:space="preserve">, C. W. Cu-Catalyzed </w:t>
      </w:r>
      <w:proofErr w:type="spellStart"/>
      <w:r>
        <w:t>Azide</w:t>
      </w:r>
      <w:proofErr w:type="spellEnd"/>
      <w:r>
        <w:t xml:space="preserve">–Alkyne Cycloaddition. </w:t>
      </w:r>
      <w:r w:rsidRPr="003D5265">
        <w:rPr>
          <w:i/>
        </w:rPr>
        <w:t>Chem. Rev</w:t>
      </w:r>
      <w:r>
        <w:t xml:space="preserve">. 2008, 108, 2952– 3015, DOI: 10.1021/cr0783479 </w:t>
      </w:r>
    </w:p>
    <w:p w14:paraId="174F0DBF" w14:textId="1DEA8223" w:rsidR="00767B55" w:rsidRDefault="00767B55" w:rsidP="00715E86">
      <w:pPr>
        <w:spacing w:after="0"/>
        <w:ind w:left="720" w:hanging="720"/>
      </w:pPr>
      <w:r>
        <w:t xml:space="preserve">36. Chan, T. R.; </w:t>
      </w:r>
      <w:proofErr w:type="spellStart"/>
      <w:r>
        <w:t>Hilgraf</w:t>
      </w:r>
      <w:proofErr w:type="spellEnd"/>
      <w:r>
        <w:t xml:space="preserve">, R.; Sharpless, K. B.; </w:t>
      </w:r>
      <w:proofErr w:type="spellStart"/>
      <w:r>
        <w:t>Fokin</w:t>
      </w:r>
      <w:proofErr w:type="spellEnd"/>
      <w:r>
        <w:t xml:space="preserve">, V. V. </w:t>
      </w:r>
      <w:proofErr w:type="spellStart"/>
      <w:r>
        <w:t>Polytriazoles</w:t>
      </w:r>
      <w:proofErr w:type="spellEnd"/>
      <w:r>
        <w:t xml:space="preserve"> as Copper(I)-Stabilizing Ligands in Catalysis. </w:t>
      </w:r>
      <w:r w:rsidRPr="003D5265">
        <w:rPr>
          <w:i/>
        </w:rPr>
        <w:t>Org. Lett</w:t>
      </w:r>
      <w:r>
        <w:t xml:space="preserve">. 2004, 6, 2853– 2855, DOI: 10.1021/ol0493094 </w:t>
      </w:r>
    </w:p>
    <w:p w14:paraId="4ECF0E8F" w14:textId="2FB71698" w:rsidR="00767B55" w:rsidRDefault="00767B55" w:rsidP="00715E86">
      <w:pPr>
        <w:spacing w:after="0"/>
        <w:ind w:left="720" w:hanging="720"/>
      </w:pPr>
      <w:r>
        <w:t xml:space="preserve">37. Cheng, R. K. Y.; </w:t>
      </w:r>
      <w:proofErr w:type="spellStart"/>
      <w:r>
        <w:t>Fiez</w:t>
      </w:r>
      <w:proofErr w:type="spellEnd"/>
      <w:r>
        <w:t xml:space="preserve">-Vandal, C.; </w:t>
      </w:r>
      <w:proofErr w:type="spellStart"/>
      <w:r>
        <w:t>Schlenker</w:t>
      </w:r>
      <w:proofErr w:type="spellEnd"/>
      <w:r>
        <w:t xml:space="preserve">, O.; Edman, K.; </w:t>
      </w:r>
      <w:proofErr w:type="spellStart"/>
      <w:r>
        <w:t>Aggeler</w:t>
      </w:r>
      <w:proofErr w:type="spellEnd"/>
      <w:r>
        <w:t xml:space="preserve">, B.; Brown, D. G.; Brown, G. A.; Cooke, R. M.; </w:t>
      </w:r>
      <w:proofErr w:type="spellStart"/>
      <w:r>
        <w:t>Dumelin</w:t>
      </w:r>
      <w:proofErr w:type="spellEnd"/>
      <w:r>
        <w:t xml:space="preserve">, C. E.; </w:t>
      </w:r>
      <w:proofErr w:type="spellStart"/>
      <w:r>
        <w:t>Doré</w:t>
      </w:r>
      <w:proofErr w:type="spellEnd"/>
      <w:r>
        <w:t xml:space="preserve">, A. S.; </w:t>
      </w:r>
      <w:proofErr w:type="spellStart"/>
      <w:r>
        <w:t>Geschwindner</w:t>
      </w:r>
      <w:proofErr w:type="spellEnd"/>
      <w:r>
        <w:t xml:space="preserve">, S.; </w:t>
      </w:r>
      <w:proofErr w:type="spellStart"/>
      <w:r>
        <w:t>Grebner</w:t>
      </w:r>
      <w:proofErr w:type="spellEnd"/>
      <w:r>
        <w:t xml:space="preserve">, C.; </w:t>
      </w:r>
      <w:proofErr w:type="spellStart"/>
      <w:r>
        <w:t>Hermansson</w:t>
      </w:r>
      <w:proofErr w:type="spellEnd"/>
      <w:r>
        <w:t xml:space="preserve">, N.-O.; </w:t>
      </w:r>
      <w:proofErr w:type="spellStart"/>
      <w:r>
        <w:t>Jazayeri</w:t>
      </w:r>
      <w:proofErr w:type="spellEnd"/>
      <w:r>
        <w:t xml:space="preserve">, A.; Johansson, P.; Leong, L.; </w:t>
      </w:r>
      <w:proofErr w:type="spellStart"/>
      <w:r>
        <w:t>Prihandoko</w:t>
      </w:r>
      <w:proofErr w:type="spellEnd"/>
      <w:r>
        <w:t xml:space="preserve">, R.; </w:t>
      </w:r>
      <w:proofErr w:type="spellStart"/>
      <w:r>
        <w:t>Rappas</w:t>
      </w:r>
      <w:proofErr w:type="spellEnd"/>
      <w:r>
        <w:t xml:space="preserve">, M.; </w:t>
      </w:r>
      <w:proofErr w:type="spellStart"/>
      <w:r>
        <w:t>Soutter</w:t>
      </w:r>
      <w:proofErr w:type="spellEnd"/>
      <w:r>
        <w:t xml:space="preserve">, H.; </w:t>
      </w:r>
      <w:proofErr w:type="spellStart"/>
      <w:r>
        <w:t>Snijder</w:t>
      </w:r>
      <w:proofErr w:type="spellEnd"/>
      <w:r>
        <w:t xml:space="preserve">, A.; </w:t>
      </w:r>
      <w:proofErr w:type="spellStart"/>
      <w:r>
        <w:t>Sundström</w:t>
      </w:r>
      <w:proofErr w:type="spellEnd"/>
      <w:r>
        <w:t xml:space="preserve">, L.; </w:t>
      </w:r>
      <w:proofErr w:type="spellStart"/>
      <w:r>
        <w:t>Tehan</w:t>
      </w:r>
      <w:proofErr w:type="spellEnd"/>
      <w:r>
        <w:t xml:space="preserve">, B.; Thornton, P.; </w:t>
      </w:r>
      <w:proofErr w:type="spellStart"/>
      <w:r>
        <w:t>Troast</w:t>
      </w:r>
      <w:proofErr w:type="spellEnd"/>
      <w:r>
        <w:t xml:space="preserve">, D.; Wiggin, G.; Zhukov, A.; Marshall, F. H.; Dekker, N. Structural Insight Into Allosteric Modulation of Protease-Activated Receptor 2. </w:t>
      </w:r>
      <w:r w:rsidRPr="003D5265">
        <w:rPr>
          <w:i/>
        </w:rPr>
        <w:t>Nature</w:t>
      </w:r>
      <w:r>
        <w:t xml:space="preserve"> 2017, 545, 112– 115, DOI: 10.1038/nature22309 </w:t>
      </w:r>
    </w:p>
    <w:p w14:paraId="6F75ADB6" w14:textId="77777777" w:rsidR="0009537F" w:rsidRDefault="00767B55" w:rsidP="00715E86">
      <w:pPr>
        <w:spacing w:after="0"/>
        <w:ind w:left="720" w:hanging="720"/>
      </w:pPr>
      <w:r>
        <w:t xml:space="preserve">38. </w:t>
      </w:r>
      <w:proofErr w:type="spellStart"/>
      <w:r>
        <w:t>Corbeil</w:t>
      </w:r>
      <w:proofErr w:type="spellEnd"/>
      <w:r>
        <w:t xml:space="preserve">, C. R.; </w:t>
      </w:r>
      <w:proofErr w:type="spellStart"/>
      <w:r>
        <w:t>Englebienne</w:t>
      </w:r>
      <w:proofErr w:type="spellEnd"/>
      <w:r>
        <w:t xml:space="preserve">, P.; </w:t>
      </w:r>
      <w:proofErr w:type="spellStart"/>
      <w:r>
        <w:t>Moitessier</w:t>
      </w:r>
      <w:proofErr w:type="spellEnd"/>
      <w:r>
        <w:t xml:space="preserve">, N. Docking Ligands </w:t>
      </w:r>
      <w:proofErr w:type="gramStart"/>
      <w:r>
        <w:t>Into</w:t>
      </w:r>
      <w:proofErr w:type="gramEnd"/>
      <w:r>
        <w:t xml:space="preserve"> Flexible and Solvated Macromolecules. 1. Development and Validation of FITTED 1.0. </w:t>
      </w:r>
      <w:r w:rsidRPr="003D5265">
        <w:rPr>
          <w:i/>
        </w:rPr>
        <w:t>J. Chem. Inf. Model</w:t>
      </w:r>
      <w:r>
        <w:t xml:space="preserve">. 2007, 47, 435– 449, DOI: 10.1021/ci6002637 </w:t>
      </w:r>
    </w:p>
    <w:p w14:paraId="317B6819" w14:textId="2BD826FF" w:rsidR="0009537F" w:rsidRPr="0009537F" w:rsidRDefault="00715E86" w:rsidP="0009537F">
      <w:pPr>
        <w:spacing w:after="0"/>
        <w:ind w:left="720" w:hanging="720"/>
      </w:pPr>
      <w:r>
        <w:t xml:space="preserve">39. </w:t>
      </w:r>
      <w:r w:rsidR="0009537F">
        <w:rPr>
          <w:rStyle w:val="nlmstring-name"/>
          <w:rFonts w:ascii="Helvetica" w:hAnsi="Helvetica" w:cs="Helvetica"/>
          <w:color w:val="000000"/>
          <w:sz w:val="21"/>
          <w:szCs w:val="21"/>
        </w:rPr>
        <w:t>Jiang, Y.</w:t>
      </w:r>
      <w:r w:rsidR="0009537F">
        <w:rPr>
          <w:rFonts w:ascii="Helvetica" w:hAnsi="Helvetica" w:cs="Helvetica"/>
          <w:color w:val="000000"/>
          <w:sz w:val="21"/>
          <w:szCs w:val="21"/>
        </w:rPr>
        <w:t>; </w:t>
      </w:r>
      <w:proofErr w:type="spellStart"/>
      <w:r w:rsidR="0009537F">
        <w:rPr>
          <w:rStyle w:val="nlmstring-name"/>
          <w:rFonts w:ascii="Helvetica" w:hAnsi="Helvetica" w:cs="Helvetica"/>
          <w:color w:val="000000"/>
          <w:sz w:val="21"/>
          <w:szCs w:val="21"/>
        </w:rPr>
        <w:t>Yau</w:t>
      </w:r>
      <w:proofErr w:type="spellEnd"/>
      <w:r w:rsidR="0009537F">
        <w:rPr>
          <w:rStyle w:val="nlmstring-name"/>
          <w:rFonts w:ascii="Helvetica" w:hAnsi="Helvetica" w:cs="Helvetica"/>
          <w:color w:val="000000"/>
          <w:sz w:val="21"/>
          <w:szCs w:val="21"/>
        </w:rPr>
        <w:t>, M.-K.</w:t>
      </w:r>
      <w:r w:rsidR="0009537F">
        <w:rPr>
          <w:rFonts w:ascii="Helvetica" w:hAnsi="Helvetica" w:cs="Helvetica"/>
          <w:color w:val="000000"/>
          <w:sz w:val="21"/>
          <w:szCs w:val="21"/>
        </w:rPr>
        <w:t>; </w:t>
      </w:r>
      <w:r w:rsidR="0009537F">
        <w:rPr>
          <w:rStyle w:val="nlmstring-name"/>
          <w:rFonts w:ascii="Helvetica" w:hAnsi="Helvetica" w:cs="Helvetica"/>
          <w:color w:val="000000"/>
          <w:sz w:val="21"/>
          <w:szCs w:val="21"/>
        </w:rPr>
        <w:t>Lim, J.</w:t>
      </w:r>
      <w:r w:rsidR="0009537F">
        <w:rPr>
          <w:rFonts w:ascii="Helvetica" w:hAnsi="Helvetica" w:cs="Helvetica"/>
          <w:color w:val="000000"/>
          <w:sz w:val="21"/>
          <w:szCs w:val="21"/>
        </w:rPr>
        <w:t>; </w:t>
      </w:r>
      <w:r w:rsidR="0009537F">
        <w:rPr>
          <w:rStyle w:val="nlmstring-name"/>
          <w:rFonts w:ascii="Helvetica" w:hAnsi="Helvetica" w:cs="Helvetica"/>
          <w:color w:val="000000"/>
          <w:sz w:val="21"/>
          <w:szCs w:val="21"/>
        </w:rPr>
        <w:t>Wu, K.-C.</w:t>
      </w:r>
      <w:r w:rsidR="0009537F">
        <w:rPr>
          <w:rFonts w:ascii="Helvetica" w:hAnsi="Helvetica" w:cs="Helvetica"/>
          <w:color w:val="000000"/>
          <w:sz w:val="21"/>
          <w:szCs w:val="21"/>
        </w:rPr>
        <w:t>; </w:t>
      </w:r>
      <w:r w:rsidR="0009537F">
        <w:rPr>
          <w:rStyle w:val="nlmstring-name"/>
          <w:rFonts w:ascii="Helvetica" w:hAnsi="Helvetica" w:cs="Helvetica"/>
          <w:color w:val="000000"/>
          <w:sz w:val="21"/>
          <w:szCs w:val="21"/>
        </w:rPr>
        <w:t>Xu, W.</w:t>
      </w:r>
      <w:r w:rsidR="0009537F">
        <w:rPr>
          <w:rFonts w:ascii="Helvetica" w:hAnsi="Helvetica" w:cs="Helvetica"/>
          <w:color w:val="000000"/>
          <w:sz w:val="21"/>
          <w:szCs w:val="21"/>
        </w:rPr>
        <w:t>; </w:t>
      </w:r>
      <w:r w:rsidR="0009537F">
        <w:rPr>
          <w:rStyle w:val="nlmstring-name"/>
          <w:rFonts w:ascii="Helvetica" w:hAnsi="Helvetica" w:cs="Helvetica"/>
          <w:color w:val="000000"/>
          <w:sz w:val="21"/>
          <w:szCs w:val="21"/>
        </w:rPr>
        <w:t>Suen, J. Y.</w:t>
      </w:r>
      <w:r w:rsidR="0009537F">
        <w:rPr>
          <w:rFonts w:ascii="Helvetica" w:hAnsi="Helvetica" w:cs="Helvetica"/>
          <w:color w:val="000000"/>
          <w:sz w:val="21"/>
          <w:szCs w:val="21"/>
        </w:rPr>
        <w:t>; </w:t>
      </w:r>
      <w:proofErr w:type="spellStart"/>
      <w:r w:rsidR="0009537F">
        <w:rPr>
          <w:rStyle w:val="nlmstring-name"/>
          <w:rFonts w:ascii="Helvetica" w:hAnsi="Helvetica" w:cs="Helvetica"/>
          <w:color w:val="000000"/>
          <w:sz w:val="21"/>
          <w:szCs w:val="21"/>
        </w:rPr>
        <w:t>Fairlie</w:t>
      </w:r>
      <w:proofErr w:type="spellEnd"/>
      <w:r w:rsidR="0009537F">
        <w:rPr>
          <w:rStyle w:val="nlmstring-name"/>
          <w:rFonts w:ascii="Helvetica" w:hAnsi="Helvetica" w:cs="Helvetica"/>
          <w:color w:val="000000"/>
          <w:sz w:val="21"/>
          <w:szCs w:val="21"/>
        </w:rPr>
        <w:t>, D. P.</w:t>
      </w:r>
      <w:r w:rsidR="0009537F">
        <w:rPr>
          <w:rFonts w:ascii="Helvetica" w:hAnsi="Helvetica" w:cs="Helvetica"/>
          <w:color w:val="000000"/>
          <w:sz w:val="21"/>
          <w:szCs w:val="21"/>
        </w:rPr>
        <w:t> </w:t>
      </w:r>
      <w:r w:rsidR="0009537F">
        <w:rPr>
          <w:rStyle w:val="nlmarticle-title"/>
          <w:rFonts w:ascii="Helvetica" w:hAnsi="Helvetica" w:cs="Helvetica"/>
          <w:color w:val="000000"/>
          <w:sz w:val="21"/>
          <w:szCs w:val="21"/>
        </w:rPr>
        <w:t>A Potent Antagonist of Protease-Activated Receptor 2 That Inhibits Multiple Signaling Functions in Human Cancer Cells</w:t>
      </w:r>
      <w:r w:rsidR="0009537F">
        <w:rPr>
          <w:rFonts w:ascii="Helvetica" w:hAnsi="Helvetica" w:cs="Helvetica"/>
          <w:color w:val="000000"/>
          <w:sz w:val="21"/>
          <w:szCs w:val="21"/>
        </w:rPr>
        <w:t>. </w:t>
      </w:r>
      <w:r w:rsidR="0009537F">
        <w:rPr>
          <w:rFonts w:ascii="Helvetica" w:hAnsi="Helvetica" w:cs="Helvetica"/>
          <w:i/>
          <w:iCs/>
          <w:color w:val="000000"/>
          <w:sz w:val="21"/>
          <w:szCs w:val="21"/>
        </w:rPr>
        <w:t xml:space="preserve">J. </w:t>
      </w:r>
      <w:proofErr w:type="spellStart"/>
      <w:r w:rsidR="0009537F">
        <w:rPr>
          <w:rFonts w:ascii="Helvetica" w:hAnsi="Helvetica" w:cs="Helvetica"/>
          <w:i/>
          <w:iCs/>
          <w:color w:val="000000"/>
          <w:sz w:val="21"/>
          <w:szCs w:val="21"/>
        </w:rPr>
        <w:t>Pharmacol</w:t>
      </w:r>
      <w:proofErr w:type="spellEnd"/>
      <w:r w:rsidR="0009537F">
        <w:rPr>
          <w:rFonts w:ascii="Helvetica" w:hAnsi="Helvetica" w:cs="Helvetica"/>
          <w:i/>
          <w:iCs/>
          <w:color w:val="000000"/>
          <w:sz w:val="21"/>
          <w:szCs w:val="21"/>
        </w:rPr>
        <w:t xml:space="preserve">. Exp. </w:t>
      </w:r>
      <w:proofErr w:type="spellStart"/>
      <w:r w:rsidR="0009537F">
        <w:rPr>
          <w:rFonts w:ascii="Helvetica" w:hAnsi="Helvetica" w:cs="Helvetica"/>
          <w:i/>
          <w:iCs/>
          <w:color w:val="000000"/>
          <w:sz w:val="21"/>
          <w:szCs w:val="21"/>
        </w:rPr>
        <w:t>Ther</w:t>
      </w:r>
      <w:proofErr w:type="spellEnd"/>
      <w:r w:rsidR="0009537F">
        <w:rPr>
          <w:rFonts w:ascii="Helvetica" w:hAnsi="Helvetica" w:cs="Helvetica"/>
          <w:i/>
          <w:iCs/>
          <w:color w:val="000000"/>
          <w:sz w:val="21"/>
          <w:szCs w:val="21"/>
        </w:rPr>
        <w:t>.</w:t>
      </w:r>
      <w:r w:rsidR="0009537F">
        <w:rPr>
          <w:rFonts w:ascii="Helvetica" w:hAnsi="Helvetica" w:cs="Helvetica"/>
          <w:color w:val="000000"/>
          <w:sz w:val="21"/>
          <w:szCs w:val="21"/>
        </w:rPr>
        <w:t> </w:t>
      </w:r>
      <w:r w:rsidR="0009537F">
        <w:rPr>
          <w:rStyle w:val="nlmyear"/>
          <w:rFonts w:ascii="Helvetica" w:hAnsi="Helvetica" w:cs="Helvetica"/>
          <w:b/>
          <w:bCs/>
          <w:color w:val="000000"/>
          <w:sz w:val="21"/>
          <w:szCs w:val="21"/>
        </w:rPr>
        <w:t>2018</w:t>
      </w:r>
      <w:r w:rsidR="0009537F">
        <w:rPr>
          <w:rFonts w:ascii="Helvetica" w:hAnsi="Helvetica" w:cs="Helvetica"/>
          <w:color w:val="000000"/>
          <w:sz w:val="21"/>
          <w:szCs w:val="21"/>
        </w:rPr>
        <w:t>, </w:t>
      </w:r>
      <w:r w:rsidR="0009537F">
        <w:rPr>
          <w:rStyle w:val="nlmvolume"/>
          <w:rFonts w:ascii="Helvetica" w:hAnsi="Helvetica" w:cs="Helvetica"/>
          <w:i/>
          <w:iCs/>
          <w:color w:val="000000"/>
          <w:sz w:val="21"/>
          <w:szCs w:val="21"/>
        </w:rPr>
        <w:t>364</w:t>
      </w:r>
      <w:r w:rsidR="0009537F">
        <w:rPr>
          <w:rFonts w:ascii="Helvetica" w:hAnsi="Helvetica" w:cs="Helvetica"/>
          <w:color w:val="000000"/>
          <w:sz w:val="21"/>
          <w:szCs w:val="21"/>
        </w:rPr>
        <w:t>, </w:t>
      </w:r>
      <w:r w:rsidR="0009537F">
        <w:rPr>
          <w:rStyle w:val="nlmfpage"/>
          <w:rFonts w:ascii="Helvetica" w:hAnsi="Helvetica" w:cs="Helvetica"/>
          <w:color w:val="000000"/>
          <w:sz w:val="21"/>
          <w:szCs w:val="21"/>
        </w:rPr>
        <w:t>246</w:t>
      </w:r>
      <w:r w:rsidR="0009537F">
        <w:rPr>
          <w:rFonts w:ascii="Helvetica" w:hAnsi="Helvetica" w:cs="Helvetica"/>
          <w:color w:val="000000"/>
          <w:sz w:val="21"/>
          <w:szCs w:val="21"/>
        </w:rPr>
        <w:t>– </w:t>
      </w:r>
      <w:r w:rsidR="0009537F">
        <w:rPr>
          <w:rStyle w:val="nlmlpage"/>
          <w:rFonts w:ascii="Helvetica" w:hAnsi="Helvetica" w:cs="Helvetica"/>
          <w:color w:val="000000"/>
          <w:sz w:val="21"/>
          <w:szCs w:val="21"/>
        </w:rPr>
        <w:t>257</w:t>
      </w:r>
      <w:r w:rsidR="0009537F">
        <w:rPr>
          <w:rFonts w:ascii="Helvetica" w:hAnsi="Helvetica" w:cs="Helvetica"/>
          <w:color w:val="000000"/>
          <w:sz w:val="21"/>
          <w:szCs w:val="21"/>
        </w:rPr>
        <w:t>, </w:t>
      </w:r>
      <w:r w:rsidR="0009537F">
        <w:rPr>
          <w:rStyle w:val="refdoi"/>
          <w:rFonts w:ascii="Helvetica" w:hAnsi="Helvetica" w:cs="Helvetica"/>
          <w:color w:val="000000"/>
        </w:rPr>
        <w:t>DOI: 10.1124/jpet.117.245027</w:t>
      </w:r>
      <w:r w:rsidR="0009537F">
        <w:rPr>
          <w:rFonts w:ascii="Helvetica" w:hAnsi="Helvetica" w:cs="Helvetica"/>
          <w:color w:val="000000"/>
          <w:sz w:val="21"/>
          <w:szCs w:val="21"/>
        </w:rPr>
        <w:t> </w:t>
      </w:r>
    </w:p>
    <w:p w14:paraId="2B59ACA4" w14:textId="27990FEB" w:rsidR="0009537F" w:rsidRPr="00715E86" w:rsidRDefault="00715E86" w:rsidP="00715E86">
      <w:pPr>
        <w:shd w:val="clear" w:color="auto" w:fill="FFFFFF"/>
        <w:spacing w:after="150" w:line="300" w:lineRule="atLeast"/>
        <w:ind w:left="720" w:hanging="720"/>
        <w:rPr>
          <w:rFonts w:ascii="Helvetica" w:hAnsi="Helvetica" w:cs="Helvetica"/>
          <w:color w:val="000000"/>
          <w:sz w:val="21"/>
          <w:szCs w:val="21"/>
        </w:rPr>
      </w:pPr>
      <w:r>
        <w:rPr>
          <w:rStyle w:val="Strong"/>
          <w:rFonts w:ascii="Helvetica" w:hAnsi="Helvetica" w:cs="Helvetica"/>
          <w:b w:val="0"/>
          <w:bCs w:val="0"/>
          <w:color w:val="000000"/>
          <w:sz w:val="21"/>
          <w:szCs w:val="21"/>
        </w:rPr>
        <w:t xml:space="preserve">40. </w:t>
      </w:r>
      <w:r w:rsidR="0009537F" w:rsidRPr="00715E86">
        <w:rPr>
          <w:rStyle w:val="nlmstring-name"/>
          <w:rFonts w:ascii="Helvetica" w:hAnsi="Helvetica" w:cs="Helvetica"/>
          <w:color w:val="000000"/>
          <w:sz w:val="21"/>
          <w:szCs w:val="21"/>
        </w:rPr>
        <w:t>Jimenez-Vargas, N. N.</w:t>
      </w:r>
      <w:r w:rsidR="0009537F" w:rsidRPr="00715E86">
        <w:rPr>
          <w:rFonts w:ascii="Helvetica" w:hAnsi="Helvetica" w:cs="Helvetica"/>
          <w:color w:val="000000"/>
          <w:sz w:val="21"/>
          <w:szCs w:val="21"/>
        </w:rPr>
        <w:t>; </w:t>
      </w:r>
      <w:r w:rsidR="0009537F" w:rsidRPr="00715E86">
        <w:rPr>
          <w:rStyle w:val="nlmstring-name"/>
          <w:rFonts w:ascii="Helvetica" w:hAnsi="Helvetica" w:cs="Helvetica"/>
          <w:color w:val="000000"/>
          <w:sz w:val="21"/>
          <w:szCs w:val="21"/>
        </w:rPr>
        <w:t>Pattison, L. A.</w:t>
      </w:r>
      <w:r w:rsidR="0009537F" w:rsidRPr="00715E86">
        <w:rPr>
          <w:rFonts w:ascii="Helvetica" w:hAnsi="Helvetica" w:cs="Helvetica"/>
          <w:color w:val="000000"/>
          <w:sz w:val="21"/>
          <w:szCs w:val="21"/>
        </w:rPr>
        <w:t>; </w:t>
      </w:r>
      <w:r w:rsidR="0009537F" w:rsidRPr="00715E86">
        <w:rPr>
          <w:rStyle w:val="nlmstring-name"/>
          <w:rFonts w:ascii="Helvetica" w:hAnsi="Helvetica" w:cs="Helvetica"/>
          <w:color w:val="000000"/>
          <w:sz w:val="21"/>
          <w:szCs w:val="21"/>
        </w:rPr>
        <w:t>Zhao, P.</w:t>
      </w:r>
      <w:r w:rsidR="0009537F" w:rsidRPr="00715E86">
        <w:rPr>
          <w:rFonts w:ascii="Helvetica" w:hAnsi="Helvetica" w:cs="Helvetica"/>
          <w:color w:val="000000"/>
          <w:sz w:val="21"/>
          <w:szCs w:val="21"/>
        </w:rPr>
        <w:t>; </w:t>
      </w:r>
      <w:r w:rsidR="0009537F" w:rsidRPr="00715E86">
        <w:rPr>
          <w:rStyle w:val="nlmstring-name"/>
          <w:rFonts w:ascii="Helvetica" w:hAnsi="Helvetica" w:cs="Helvetica"/>
          <w:color w:val="000000"/>
          <w:sz w:val="21"/>
          <w:szCs w:val="21"/>
        </w:rPr>
        <w:t>Lieu, T.</w:t>
      </w:r>
      <w:r w:rsidR="0009537F" w:rsidRPr="00715E86">
        <w:rPr>
          <w:rFonts w:ascii="Helvetica" w:hAnsi="Helvetica" w:cs="Helvetica"/>
          <w:color w:val="000000"/>
          <w:sz w:val="21"/>
          <w:szCs w:val="21"/>
        </w:rPr>
        <w:t>; </w:t>
      </w:r>
      <w:proofErr w:type="spellStart"/>
      <w:r w:rsidR="0009537F" w:rsidRPr="00715E86">
        <w:rPr>
          <w:rStyle w:val="nlmstring-name"/>
          <w:rFonts w:ascii="Helvetica" w:hAnsi="Helvetica" w:cs="Helvetica"/>
          <w:color w:val="000000"/>
          <w:sz w:val="21"/>
          <w:szCs w:val="21"/>
        </w:rPr>
        <w:t>Latorre</w:t>
      </w:r>
      <w:proofErr w:type="spellEnd"/>
      <w:r w:rsidR="0009537F" w:rsidRPr="00715E86">
        <w:rPr>
          <w:rStyle w:val="nlmstring-name"/>
          <w:rFonts w:ascii="Helvetica" w:hAnsi="Helvetica" w:cs="Helvetica"/>
          <w:color w:val="000000"/>
          <w:sz w:val="21"/>
          <w:szCs w:val="21"/>
        </w:rPr>
        <w:t>, R.</w:t>
      </w:r>
      <w:r w:rsidR="0009537F" w:rsidRPr="00715E86">
        <w:rPr>
          <w:rFonts w:ascii="Helvetica" w:hAnsi="Helvetica" w:cs="Helvetica"/>
          <w:color w:val="000000"/>
          <w:sz w:val="21"/>
          <w:szCs w:val="21"/>
        </w:rPr>
        <w:t>; </w:t>
      </w:r>
      <w:r w:rsidR="0009537F" w:rsidRPr="00715E86">
        <w:rPr>
          <w:rStyle w:val="nlmstring-name"/>
          <w:rFonts w:ascii="Helvetica" w:hAnsi="Helvetica" w:cs="Helvetica"/>
          <w:color w:val="000000"/>
          <w:sz w:val="21"/>
          <w:szCs w:val="21"/>
        </w:rPr>
        <w:t>Jensen, D. D.</w:t>
      </w:r>
      <w:r w:rsidR="0009537F" w:rsidRPr="00715E86">
        <w:rPr>
          <w:rFonts w:ascii="Helvetica" w:hAnsi="Helvetica" w:cs="Helvetica"/>
          <w:color w:val="000000"/>
          <w:sz w:val="21"/>
          <w:szCs w:val="21"/>
        </w:rPr>
        <w:t>; </w:t>
      </w:r>
      <w:r w:rsidR="0009537F" w:rsidRPr="00715E86">
        <w:rPr>
          <w:rStyle w:val="nlmstring-name"/>
          <w:rFonts w:ascii="Helvetica" w:hAnsi="Helvetica" w:cs="Helvetica"/>
          <w:color w:val="000000"/>
          <w:sz w:val="21"/>
          <w:szCs w:val="21"/>
        </w:rPr>
        <w:t>Castro, J.</w:t>
      </w:r>
      <w:r w:rsidR="0009537F" w:rsidRPr="00715E86">
        <w:rPr>
          <w:rFonts w:ascii="Helvetica" w:hAnsi="Helvetica" w:cs="Helvetica"/>
          <w:color w:val="000000"/>
          <w:sz w:val="21"/>
          <w:szCs w:val="21"/>
        </w:rPr>
        <w:t>; </w:t>
      </w:r>
      <w:r w:rsidR="0009537F" w:rsidRPr="00715E86">
        <w:rPr>
          <w:rStyle w:val="nlmstring-name"/>
          <w:rFonts w:ascii="Helvetica" w:hAnsi="Helvetica" w:cs="Helvetica"/>
          <w:color w:val="000000"/>
          <w:sz w:val="21"/>
          <w:szCs w:val="21"/>
        </w:rPr>
        <w:t xml:space="preserve">Aurelio, </w:t>
      </w:r>
      <w:proofErr w:type="spellStart"/>
      <w:r w:rsidR="0009537F" w:rsidRPr="00715E86">
        <w:rPr>
          <w:rStyle w:val="nlmstring-name"/>
          <w:rFonts w:ascii="Helvetica" w:hAnsi="Helvetica" w:cs="Helvetica"/>
          <w:color w:val="000000"/>
          <w:sz w:val="21"/>
          <w:szCs w:val="21"/>
        </w:rPr>
        <w:t>L.</w:t>
      </w:r>
      <w:r w:rsidR="0009537F" w:rsidRPr="00715E86">
        <w:rPr>
          <w:rFonts w:ascii="Helvetica" w:hAnsi="Helvetica" w:cs="Helvetica"/>
          <w:color w:val="000000"/>
          <w:sz w:val="21"/>
          <w:szCs w:val="21"/>
        </w:rPr>
        <w:t>;</w:t>
      </w:r>
      <w:r w:rsidR="0009537F" w:rsidRPr="00715E86">
        <w:rPr>
          <w:rStyle w:val="nlmstring-name"/>
          <w:rFonts w:ascii="Helvetica" w:hAnsi="Helvetica" w:cs="Helvetica"/>
          <w:color w:val="000000"/>
          <w:sz w:val="21"/>
          <w:szCs w:val="21"/>
        </w:rPr>
        <w:t>Le</w:t>
      </w:r>
      <w:proofErr w:type="spellEnd"/>
      <w:r w:rsidR="0009537F" w:rsidRPr="00715E86">
        <w:rPr>
          <w:rStyle w:val="nlmstring-name"/>
          <w:rFonts w:ascii="Helvetica" w:hAnsi="Helvetica" w:cs="Helvetica"/>
          <w:color w:val="000000"/>
          <w:sz w:val="21"/>
          <w:szCs w:val="21"/>
        </w:rPr>
        <w:t>, G. T.</w:t>
      </w:r>
      <w:r w:rsidR="0009537F" w:rsidRPr="00715E86">
        <w:rPr>
          <w:rFonts w:ascii="Helvetica" w:hAnsi="Helvetica" w:cs="Helvetica"/>
          <w:color w:val="000000"/>
          <w:sz w:val="21"/>
          <w:szCs w:val="21"/>
        </w:rPr>
        <w:t>; </w:t>
      </w:r>
      <w:r w:rsidR="0009537F" w:rsidRPr="00715E86">
        <w:rPr>
          <w:rStyle w:val="nlmstring-name"/>
          <w:rFonts w:ascii="Helvetica" w:hAnsi="Helvetica" w:cs="Helvetica"/>
          <w:color w:val="000000"/>
          <w:sz w:val="21"/>
          <w:szCs w:val="21"/>
        </w:rPr>
        <w:t>Flynn, B.</w:t>
      </w:r>
      <w:r w:rsidR="0009537F" w:rsidRPr="00715E86">
        <w:rPr>
          <w:rFonts w:ascii="Helvetica" w:hAnsi="Helvetica" w:cs="Helvetica"/>
          <w:color w:val="000000"/>
          <w:sz w:val="21"/>
          <w:szCs w:val="21"/>
        </w:rPr>
        <w:t>; </w:t>
      </w:r>
      <w:proofErr w:type="spellStart"/>
      <w:r w:rsidR="0009537F" w:rsidRPr="00715E86">
        <w:rPr>
          <w:rStyle w:val="nlmstring-name"/>
          <w:rFonts w:ascii="Helvetica" w:hAnsi="Helvetica" w:cs="Helvetica"/>
          <w:color w:val="000000"/>
          <w:sz w:val="21"/>
          <w:szCs w:val="21"/>
        </w:rPr>
        <w:t>Herenbrink</w:t>
      </w:r>
      <w:proofErr w:type="spellEnd"/>
      <w:r w:rsidR="0009537F" w:rsidRPr="00715E86">
        <w:rPr>
          <w:rStyle w:val="nlmstring-name"/>
          <w:rFonts w:ascii="Helvetica" w:hAnsi="Helvetica" w:cs="Helvetica"/>
          <w:color w:val="000000"/>
          <w:sz w:val="21"/>
          <w:szCs w:val="21"/>
        </w:rPr>
        <w:t>, C. K.</w:t>
      </w:r>
      <w:r w:rsidR="0009537F" w:rsidRPr="00715E86">
        <w:rPr>
          <w:rFonts w:ascii="Helvetica" w:hAnsi="Helvetica" w:cs="Helvetica"/>
          <w:color w:val="000000"/>
          <w:sz w:val="21"/>
          <w:szCs w:val="21"/>
        </w:rPr>
        <w:t>; </w:t>
      </w:r>
      <w:proofErr w:type="spellStart"/>
      <w:r w:rsidR="0009537F" w:rsidRPr="00715E86">
        <w:rPr>
          <w:rStyle w:val="nlmstring-name"/>
          <w:rFonts w:ascii="Helvetica" w:hAnsi="Helvetica" w:cs="Helvetica"/>
          <w:color w:val="000000"/>
          <w:sz w:val="21"/>
          <w:szCs w:val="21"/>
        </w:rPr>
        <w:t>Yeatman</w:t>
      </w:r>
      <w:proofErr w:type="spellEnd"/>
      <w:r w:rsidR="0009537F" w:rsidRPr="00715E86">
        <w:rPr>
          <w:rStyle w:val="nlmstring-name"/>
          <w:rFonts w:ascii="Helvetica" w:hAnsi="Helvetica" w:cs="Helvetica"/>
          <w:color w:val="000000"/>
          <w:sz w:val="21"/>
          <w:szCs w:val="21"/>
        </w:rPr>
        <w:t>, H. R.</w:t>
      </w:r>
      <w:r w:rsidR="0009537F" w:rsidRPr="00715E86">
        <w:rPr>
          <w:rFonts w:ascii="Helvetica" w:hAnsi="Helvetica" w:cs="Helvetica"/>
          <w:color w:val="000000"/>
          <w:sz w:val="21"/>
          <w:szCs w:val="21"/>
        </w:rPr>
        <w:t>; </w:t>
      </w:r>
      <w:r w:rsidR="0009537F" w:rsidRPr="00715E86">
        <w:rPr>
          <w:rStyle w:val="nlmstring-name"/>
          <w:rFonts w:ascii="Helvetica" w:hAnsi="Helvetica" w:cs="Helvetica"/>
          <w:color w:val="000000"/>
          <w:sz w:val="21"/>
          <w:szCs w:val="21"/>
        </w:rPr>
        <w:t>Edgington-Mitchell, L.</w:t>
      </w:r>
      <w:r w:rsidR="0009537F" w:rsidRPr="00715E86">
        <w:rPr>
          <w:rFonts w:ascii="Helvetica" w:hAnsi="Helvetica" w:cs="Helvetica"/>
          <w:color w:val="000000"/>
          <w:sz w:val="21"/>
          <w:szCs w:val="21"/>
        </w:rPr>
        <w:t>; </w:t>
      </w:r>
      <w:r w:rsidR="0009537F" w:rsidRPr="00715E86">
        <w:rPr>
          <w:rStyle w:val="nlmstring-name"/>
          <w:rFonts w:ascii="Helvetica" w:hAnsi="Helvetica" w:cs="Helvetica"/>
          <w:color w:val="000000"/>
          <w:sz w:val="21"/>
          <w:szCs w:val="21"/>
        </w:rPr>
        <w:t>Porter, C. J. H.</w:t>
      </w:r>
      <w:r w:rsidR="0009537F" w:rsidRPr="00715E86">
        <w:rPr>
          <w:rFonts w:ascii="Helvetica" w:hAnsi="Helvetica" w:cs="Helvetica"/>
          <w:color w:val="000000"/>
          <w:sz w:val="21"/>
          <w:szCs w:val="21"/>
        </w:rPr>
        <w:t>; </w:t>
      </w:r>
      <w:r w:rsidR="0009537F" w:rsidRPr="00715E86">
        <w:rPr>
          <w:rStyle w:val="nlmstring-name"/>
          <w:rFonts w:ascii="Helvetica" w:hAnsi="Helvetica" w:cs="Helvetica"/>
          <w:color w:val="000000"/>
          <w:sz w:val="21"/>
          <w:szCs w:val="21"/>
        </w:rPr>
        <w:t xml:space="preserve">Halls, M. </w:t>
      </w:r>
      <w:proofErr w:type="spellStart"/>
      <w:r w:rsidR="0009537F" w:rsidRPr="00715E86">
        <w:rPr>
          <w:rStyle w:val="nlmstring-name"/>
          <w:rFonts w:ascii="Helvetica" w:hAnsi="Helvetica" w:cs="Helvetica"/>
          <w:color w:val="000000"/>
          <w:sz w:val="21"/>
          <w:szCs w:val="21"/>
        </w:rPr>
        <w:t>L.</w:t>
      </w:r>
      <w:r w:rsidR="0009537F" w:rsidRPr="00715E86">
        <w:rPr>
          <w:rFonts w:ascii="Helvetica" w:hAnsi="Helvetica" w:cs="Helvetica"/>
          <w:color w:val="000000"/>
          <w:sz w:val="21"/>
          <w:szCs w:val="21"/>
        </w:rPr>
        <w:t>;</w:t>
      </w:r>
      <w:r w:rsidR="0009537F" w:rsidRPr="00715E86">
        <w:rPr>
          <w:rStyle w:val="nlmstring-name"/>
          <w:rFonts w:ascii="Helvetica" w:hAnsi="Helvetica" w:cs="Helvetica"/>
          <w:color w:val="000000"/>
          <w:sz w:val="21"/>
          <w:szCs w:val="21"/>
        </w:rPr>
        <w:t>Canals</w:t>
      </w:r>
      <w:proofErr w:type="spellEnd"/>
      <w:r w:rsidR="0009537F" w:rsidRPr="00715E86">
        <w:rPr>
          <w:rStyle w:val="nlmstring-name"/>
          <w:rFonts w:ascii="Helvetica" w:hAnsi="Helvetica" w:cs="Helvetica"/>
          <w:color w:val="000000"/>
          <w:sz w:val="21"/>
          <w:szCs w:val="21"/>
        </w:rPr>
        <w:t>, M.</w:t>
      </w:r>
      <w:r w:rsidR="0009537F" w:rsidRPr="00715E86">
        <w:rPr>
          <w:rFonts w:ascii="Helvetica" w:hAnsi="Helvetica" w:cs="Helvetica"/>
          <w:color w:val="000000"/>
          <w:sz w:val="21"/>
          <w:szCs w:val="21"/>
        </w:rPr>
        <w:t>; </w:t>
      </w:r>
      <w:r w:rsidR="0009537F" w:rsidRPr="00715E86">
        <w:rPr>
          <w:rStyle w:val="nlmstring-name"/>
          <w:rFonts w:ascii="Helvetica" w:hAnsi="Helvetica" w:cs="Helvetica"/>
          <w:color w:val="000000"/>
          <w:sz w:val="21"/>
          <w:szCs w:val="21"/>
        </w:rPr>
        <w:t>Veldhuis, N. A.</w:t>
      </w:r>
      <w:r w:rsidR="0009537F" w:rsidRPr="00715E86">
        <w:rPr>
          <w:rFonts w:ascii="Helvetica" w:hAnsi="Helvetica" w:cs="Helvetica"/>
          <w:color w:val="000000"/>
          <w:sz w:val="21"/>
          <w:szCs w:val="21"/>
        </w:rPr>
        <w:t>; </w:t>
      </w:r>
      <w:r w:rsidR="0009537F" w:rsidRPr="00715E86">
        <w:rPr>
          <w:rStyle w:val="nlmstring-name"/>
          <w:rFonts w:ascii="Helvetica" w:hAnsi="Helvetica" w:cs="Helvetica"/>
          <w:color w:val="000000"/>
          <w:sz w:val="21"/>
          <w:szCs w:val="21"/>
        </w:rPr>
        <w:t>Poole, D. P.</w:t>
      </w:r>
      <w:r w:rsidR="0009537F" w:rsidRPr="00715E86">
        <w:rPr>
          <w:rFonts w:ascii="Helvetica" w:hAnsi="Helvetica" w:cs="Helvetica"/>
          <w:color w:val="000000"/>
          <w:sz w:val="21"/>
          <w:szCs w:val="21"/>
        </w:rPr>
        <w:t>; </w:t>
      </w:r>
      <w:r w:rsidR="0009537F" w:rsidRPr="00715E86">
        <w:rPr>
          <w:rStyle w:val="nlmstring-name"/>
          <w:rFonts w:ascii="Helvetica" w:hAnsi="Helvetica" w:cs="Helvetica"/>
          <w:color w:val="000000"/>
          <w:sz w:val="21"/>
          <w:szCs w:val="21"/>
        </w:rPr>
        <w:t>McLean, P.</w:t>
      </w:r>
      <w:r w:rsidR="0009537F" w:rsidRPr="00715E86">
        <w:rPr>
          <w:rFonts w:ascii="Helvetica" w:hAnsi="Helvetica" w:cs="Helvetica"/>
          <w:color w:val="000000"/>
          <w:sz w:val="21"/>
          <w:szCs w:val="21"/>
        </w:rPr>
        <w:t>; </w:t>
      </w:r>
      <w:r w:rsidR="0009537F" w:rsidRPr="00715E86">
        <w:rPr>
          <w:rStyle w:val="nlmstring-name"/>
          <w:rFonts w:ascii="Helvetica" w:hAnsi="Helvetica" w:cs="Helvetica"/>
          <w:color w:val="000000"/>
          <w:sz w:val="21"/>
          <w:szCs w:val="21"/>
        </w:rPr>
        <w:t>Hicks, G. A.</w:t>
      </w:r>
      <w:r w:rsidR="0009537F" w:rsidRPr="00715E86">
        <w:rPr>
          <w:rFonts w:ascii="Helvetica" w:hAnsi="Helvetica" w:cs="Helvetica"/>
          <w:color w:val="000000"/>
          <w:sz w:val="21"/>
          <w:szCs w:val="21"/>
        </w:rPr>
        <w:t>; </w:t>
      </w:r>
      <w:proofErr w:type="spellStart"/>
      <w:r w:rsidR="0009537F" w:rsidRPr="00715E86">
        <w:rPr>
          <w:rStyle w:val="nlmstring-name"/>
          <w:rFonts w:ascii="Helvetica" w:hAnsi="Helvetica" w:cs="Helvetica"/>
          <w:color w:val="000000"/>
          <w:sz w:val="21"/>
          <w:szCs w:val="21"/>
        </w:rPr>
        <w:t>Scheff</w:t>
      </w:r>
      <w:proofErr w:type="spellEnd"/>
      <w:r w:rsidR="0009537F" w:rsidRPr="00715E86">
        <w:rPr>
          <w:rStyle w:val="nlmstring-name"/>
          <w:rFonts w:ascii="Helvetica" w:hAnsi="Helvetica" w:cs="Helvetica"/>
          <w:color w:val="000000"/>
          <w:sz w:val="21"/>
          <w:szCs w:val="21"/>
        </w:rPr>
        <w:t>, N.</w:t>
      </w:r>
      <w:r w:rsidR="0009537F" w:rsidRPr="00715E86">
        <w:rPr>
          <w:rFonts w:ascii="Helvetica" w:hAnsi="Helvetica" w:cs="Helvetica"/>
          <w:color w:val="000000"/>
          <w:sz w:val="21"/>
          <w:szCs w:val="21"/>
        </w:rPr>
        <w:t>; </w:t>
      </w:r>
      <w:r w:rsidR="0009537F" w:rsidRPr="00715E86">
        <w:rPr>
          <w:rStyle w:val="nlmstring-name"/>
          <w:rFonts w:ascii="Helvetica" w:hAnsi="Helvetica" w:cs="Helvetica"/>
          <w:color w:val="000000"/>
          <w:sz w:val="21"/>
          <w:szCs w:val="21"/>
        </w:rPr>
        <w:t>Chen, E.</w:t>
      </w:r>
      <w:r w:rsidR="0009537F" w:rsidRPr="00715E86">
        <w:rPr>
          <w:rFonts w:ascii="Helvetica" w:hAnsi="Helvetica" w:cs="Helvetica"/>
          <w:color w:val="000000"/>
          <w:sz w:val="21"/>
          <w:szCs w:val="21"/>
        </w:rPr>
        <w:t>; </w:t>
      </w:r>
      <w:r w:rsidR="0009537F" w:rsidRPr="00715E86">
        <w:rPr>
          <w:rStyle w:val="nlmstring-name"/>
          <w:rFonts w:ascii="Helvetica" w:hAnsi="Helvetica" w:cs="Helvetica"/>
          <w:color w:val="000000"/>
          <w:sz w:val="21"/>
          <w:szCs w:val="21"/>
        </w:rPr>
        <w:t xml:space="preserve">Bhattacharya, </w:t>
      </w:r>
      <w:proofErr w:type="spellStart"/>
      <w:r w:rsidR="0009537F" w:rsidRPr="00715E86">
        <w:rPr>
          <w:rStyle w:val="nlmstring-name"/>
          <w:rFonts w:ascii="Helvetica" w:hAnsi="Helvetica" w:cs="Helvetica"/>
          <w:color w:val="000000"/>
          <w:sz w:val="21"/>
          <w:szCs w:val="21"/>
        </w:rPr>
        <w:t>A.</w:t>
      </w:r>
      <w:r w:rsidR="0009537F" w:rsidRPr="00715E86">
        <w:rPr>
          <w:rFonts w:ascii="Helvetica" w:hAnsi="Helvetica" w:cs="Helvetica"/>
          <w:color w:val="000000"/>
          <w:sz w:val="21"/>
          <w:szCs w:val="21"/>
        </w:rPr>
        <w:t>;</w:t>
      </w:r>
      <w:r w:rsidR="0009537F" w:rsidRPr="00715E86">
        <w:rPr>
          <w:rStyle w:val="nlmstring-name"/>
          <w:rFonts w:ascii="Helvetica" w:hAnsi="Helvetica" w:cs="Helvetica"/>
          <w:color w:val="000000"/>
          <w:sz w:val="21"/>
          <w:szCs w:val="21"/>
        </w:rPr>
        <w:t>Schmidt</w:t>
      </w:r>
      <w:proofErr w:type="spellEnd"/>
      <w:r w:rsidR="0009537F" w:rsidRPr="00715E86">
        <w:rPr>
          <w:rStyle w:val="nlmstring-name"/>
          <w:rFonts w:ascii="Helvetica" w:hAnsi="Helvetica" w:cs="Helvetica"/>
          <w:color w:val="000000"/>
          <w:sz w:val="21"/>
          <w:szCs w:val="21"/>
        </w:rPr>
        <w:t>, B. L.</w:t>
      </w:r>
      <w:r w:rsidR="0009537F" w:rsidRPr="00715E86">
        <w:rPr>
          <w:rFonts w:ascii="Helvetica" w:hAnsi="Helvetica" w:cs="Helvetica"/>
          <w:color w:val="000000"/>
          <w:sz w:val="21"/>
          <w:szCs w:val="21"/>
        </w:rPr>
        <w:t>; </w:t>
      </w:r>
      <w:r w:rsidR="0009537F" w:rsidRPr="00715E86">
        <w:rPr>
          <w:rStyle w:val="nlmstring-name"/>
          <w:rFonts w:ascii="Helvetica" w:hAnsi="Helvetica" w:cs="Helvetica"/>
          <w:color w:val="000000"/>
          <w:sz w:val="21"/>
          <w:szCs w:val="21"/>
        </w:rPr>
        <w:t>Brierley, S. M.</w:t>
      </w:r>
      <w:r w:rsidR="0009537F" w:rsidRPr="00715E86">
        <w:rPr>
          <w:rFonts w:ascii="Helvetica" w:hAnsi="Helvetica" w:cs="Helvetica"/>
          <w:color w:val="000000"/>
          <w:sz w:val="21"/>
          <w:szCs w:val="21"/>
        </w:rPr>
        <w:t>; </w:t>
      </w:r>
      <w:proofErr w:type="spellStart"/>
      <w:r w:rsidR="0009537F" w:rsidRPr="00715E86">
        <w:rPr>
          <w:rStyle w:val="nlmstring-name"/>
          <w:rFonts w:ascii="Helvetica" w:hAnsi="Helvetica" w:cs="Helvetica"/>
          <w:color w:val="000000"/>
          <w:sz w:val="21"/>
          <w:szCs w:val="21"/>
        </w:rPr>
        <w:t>Vanner</w:t>
      </w:r>
      <w:proofErr w:type="spellEnd"/>
      <w:r w:rsidR="0009537F" w:rsidRPr="00715E86">
        <w:rPr>
          <w:rStyle w:val="nlmstring-name"/>
          <w:rFonts w:ascii="Helvetica" w:hAnsi="Helvetica" w:cs="Helvetica"/>
          <w:color w:val="000000"/>
          <w:sz w:val="21"/>
          <w:szCs w:val="21"/>
        </w:rPr>
        <w:t>, S. J.</w:t>
      </w:r>
      <w:r w:rsidR="0009537F" w:rsidRPr="00715E86">
        <w:rPr>
          <w:rFonts w:ascii="Helvetica" w:hAnsi="Helvetica" w:cs="Helvetica"/>
          <w:color w:val="000000"/>
          <w:sz w:val="21"/>
          <w:szCs w:val="21"/>
        </w:rPr>
        <w:t>; </w:t>
      </w:r>
      <w:proofErr w:type="spellStart"/>
      <w:r w:rsidR="0009537F" w:rsidRPr="00715E86">
        <w:rPr>
          <w:rStyle w:val="nlmstring-name"/>
          <w:rFonts w:ascii="Helvetica" w:hAnsi="Helvetica" w:cs="Helvetica"/>
          <w:color w:val="000000"/>
          <w:sz w:val="21"/>
          <w:szCs w:val="21"/>
        </w:rPr>
        <w:t>Bunnett</w:t>
      </w:r>
      <w:proofErr w:type="spellEnd"/>
      <w:r w:rsidR="0009537F" w:rsidRPr="00715E86">
        <w:rPr>
          <w:rStyle w:val="nlmstring-name"/>
          <w:rFonts w:ascii="Helvetica" w:hAnsi="Helvetica" w:cs="Helvetica"/>
          <w:color w:val="000000"/>
          <w:sz w:val="21"/>
          <w:szCs w:val="21"/>
        </w:rPr>
        <w:t>, N. W.</w:t>
      </w:r>
      <w:r w:rsidR="0009537F" w:rsidRPr="00715E86">
        <w:rPr>
          <w:rFonts w:ascii="Helvetica" w:hAnsi="Helvetica" w:cs="Helvetica"/>
          <w:color w:val="000000"/>
          <w:sz w:val="21"/>
          <w:szCs w:val="21"/>
        </w:rPr>
        <w:t> </w:t>
      </w:r>
      <w:r w:rsidR="0009537F" w:rsidRPr="00715E86">
        <w:rPr>
          <w:rStyle w:val="nlmarticle-title"/>
          <w:rFonts w:ascii="Helvetica" w:hAnsi="Helvetica" w:cs="Helvetica"/>
          <w:color w:val="000000"/>
          <w:sz w:val="21"/>
          <w:szCs w:val="21"/>
        </w:rPr>
        <w:t>Protease-Activated Receptor-2 in Endosomes Signals Persistent Pain of Irritable Bowel Syndrome</w:t>
      </w:r>
      <w:r w:rsidR="0009537F" w:rsidRPr="00715E86">
        <w:rPr>
          <w:rFonts w:ascii="Helvetica" w:hAnsi="Helvetica" w:cs="Helvetica"/>
          <w:color w:val="000000"/>
          <w:sz w:val="21"/>
          <w:szCs w:val="21"/>
        </w:rPr>
        <w:t>. </w:t>
      </w:r>
      <w:r w:rsidR="0009537F" w:rsidRPr="00715E86">
        <w:rPr>
          <w:rFonts w:ascii="Helvetica" w:hAnsi="Helvetica" w:cs="Helvetica"/>
          <w:i/>
          <w:iCs/>
          <w:color w:val="000000"/>
          <w:sz w:val="21"/>
          <w:szCs w:val="21"/>
        </w:rPr>
        <w:t>Proc. Natl. Acad. Sci. U. S. A.</w:t>
      </w:r>
      <w:r w:rsidR="0009537F" w:rsidRPr="00715E86">
        <w:rPr>
          <w:rFonts w:ascii="Helvetica" w:hAnsi="Helvetica" w:cs="Helvetica"/>
          <w:color w:val="000000"/>
          <w:sz w:val="21"/>
          <w:szCs w:val="21"/>
        </w:rPr>
        <w:t> </w:t>
      </w:r>
      <w:r w:rsidR="0009537F" w:rsidRPr="00715E86">
        <w:rPr>
          <w:rStyle w:val="nlmyear"/>
          <w:rFonts w:ascii="Helvetica" w:hAnsi="Helvetica" w:cs="Helvetica"/>
          <w:b/>
          <w:bCs/>
          <w:color w:val="000000"/>
          <w:sz w:val="21"/>
          <w:szCs w:val="21"/>
        </w:rPr>
        <w:t>2018</w:t>
      </w:r>
      <w:r w:rsidR="0009537F" w:rsidRPr="00715E86">
        <w:rPr>
          <w:rFonts w:ascii="Helvetica" w:hAnsi="Helvetica" w:cs="Helvetica"/>
          <w:color w:val="000000"/>
          <w:sz w:val="21"/>
          <w:szCs w:val="21"/>
        </w:rPr>
        <w:t>, </w:t>
      </w:r>
      <w:r w:rsidR="0009537F" w:rsidRPr="00715E86">
        <w:rPr>
          <w:rStyle w:val="nlmvolume"/>
          <w:rFonts w:ascii="Helvetica" w:hAnsi="Helvetica" w:cs="Helvetica"/>
          <w:i/>
          <w:iCs/>
          <w:color w:val="000000"/>
          <w:sz w:val="21"/>
          <w:szCs w:val="21"/>
        </w:rPr>
        <w:t>115</w:t>
      </w:r>
      <w:r w:rsidR="0009537F" w:rsidRPr="00715E86">
        <w:rPr>
          <w:rFonts w:ascii="Helvetica" w:hAnsi="Helvetica" w:cs="Helvetica"/>
          <w:color w:val="000000"/>
          <w:sz w:val="21"/>
          <w:szCs w:val="21"/>
        </w:rPr>
        <w:t>, </w:t>
      </w:r>
      <w:r w:rsidR="0009537F" w:rsidRPr="00715E86">
        <w:rPr>
          <w:rStyle w:val="nlmfpage"/>
          <w:rFonts w:ascii="Helvetica" w:hAnsi="Helvetica" w:cs="Helvetica"/>
          <w:color w:val="000000"/>
          <w:sz w:val="21"/>
          <w:szCs w:val="21"/>
        </w:rPr>
        <w:t>E7438</w:t>
      </w:r>
      <w:r w:rsidR="0009537F" w:rsidRPr="00715E86">
        <w:rPr>
          <w:rFonts w:ascii="Helvetica" w:hAnsi="Helvetica" w:cs="Helvetica"/>
          <w:color w:val="000000"/>
          <w:sz w:val="21"/>
          <w:szCs w:val="21"/>
        </w:rPr>
        <w:t>–</w:t>
      </w:r>
      <w:r w:rsidR="0009537F" w:rsidRPr="00715E86">
        <w:rPr>
          <w:rStyle w:val="nlmlpage"/>
          <w:rFonts w:ascii="Helvetica" w:hAnsi="Helvetica" w:cs="Helvetica"/>
          <w:color w:val="000000"/>
          <w:sz w:val="21"/>
          <w:szCs w:val="21"/>
        </w:rPr>
        <w:t>E7447</w:t>
      </w:r>
      <w:r w:rsidR="0009537F" w:rsidRPr="00715E86">
        <w:rPr>
          <w:rFonts w:ascii="Helvetica" w:hAnsi="Helvetica" w:cs="Helvetica"/>
          <w:color w:val="000000"/>
          <w:sz w:val="21"/>
          <w:szCs w:val="21"/>
        </w:rPr>
        <w:t>, </w:t>
      </w:r>
      <w:r w:rsidR="0009537F" w:rsidRPr="00715E86">
        <w:rPr>
          <w:rStyle w:val="refdoi"/>
          <w:rFonts w:ascii="Helvetica" w:hAnsi="Helvetica" w:cs="Helvetica"/>
          <w:color w:val="000000"/>
        </w:rPr>
        <w:t>DOI: 10.1073/pnas.1721891115</w:t>
      </w:r>
      <w:r w:rsidR="0009537F" w:rsidRPr="00715E86">
        <w:rPr>
          <w:rFonts w:ascii="Helvetica" w:hAnsi="Helvetica" w:cs="Helvetica"/>
          <w:color w:val="000000"/>
          <w:sz w:val="21"/>
          <w:szCs w:val="21"/>
        </w:rPr>
        <w:t> </w:t>
      </w:r>
    </w:p>
    <w:p w14:paraId="65842319" w14:textId="45CFD058" w:rsidR="00767B55" w:rsidRPr="00767B55" w:rsidRDefault="00767B55" w:rsidP="00715E86">
      <w:pPr>
        <w:spacing w:after="0"/>
        <w:ind w:left="720" w:hanging="720"/>
      </w:pPr>
    </w:p>
    <w:sectPr w:rsidR="00767B55" w:rsidRPr="00767B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C653FF"/>
    <w:multiLevelType w:val="multilevel"/>
    <w:tmpl w:val="6F269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FE80A22"/>
    <w:multiLevelType w:val="multilevel"/>
    <w:tmpl w:val="DF5C6D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9AD407E"/>
    <w:multiLevelType w:val="multilevel"/>
    <w:tmpl w:val="E8BC39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7gCWBxbgnzom62VkyhP078C1iJtTmCaepa9rELpqkD/uBWRL4r9UN5imufaXRx5rU5skt+9sTYp3NCp+gqNULw==" w:salt="wL8RzpoOTpu0j9dM0ZvIK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293"/>
    <w:rsid w:val="0009537F"/>
    <w:rsid w:val="00121E9E"/>
    <w:rsid w:val="001B077F"/>
    <w:rsid w:val="002B519B"/>
    <w:rsid w:val="00337B67"/>
    <w:rsid w:val="003D5265"/>
    <w:rsid w:val="004242A8"/>
    <w:rsid w:val="0062315B"/>
    <w:rsid w:val="00715E86"/>
    <w:rsid w:val="00767B55"/>
    <w:rsid w:val="007A0293"/>
    <w:rsid w:val="008570A5"/>
    <w:rsid w:val="00A26239"/>
    <w:rsid w:val="00A56E38"/>
    <w:rsid w:val="00AC67A8"/>
    <w:rsid w:val="00AE1F85"/>
    <w:rsid w:val="00BA1A0F"/>
    <w:rsid w:val="00C0023D"/>
    <w:rsid w:val="00C04F14"/>
    <w:rsid w:val="00F46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84F88"/>
  <w15:chartTrackingRefBased/>
  <w15:docId w15:val="{CE20D6CF-9C4F-46B4-8D2B-843396A8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293"/>
  </w:style>
  <w:style w:type="paragraph" w:styleId="Heading1">
    <w:name w:val="heading 1"/>
    <w:basedOn w:val="Normal"/>
    <w:next w:val="Normal"/>
    <w:link w:val="Heading1Char"/>
    <w:uiPriority w:val="9"/>
    <w:qFormat/>
    <w:rsid w:val="007A0293"/>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semiHidden/>
    <w:unhideWhenUsed/>
    <w:qFormat/>
    <w:rsid w:val="007A0293"/>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7A0293"/>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7A0293"/>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7A0293"/>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7A0293"/>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7A0293"/>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A0293"/>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7A029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0293"/>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semiHidden/>
    <w:rsid w:val="007A0293"/>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7A0293"/>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7A0293"/>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7A0293"/>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7A0293"/>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7A0293"/>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A0293"/>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7A0293"/>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A0293"/>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A0293"/>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A0293"/>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A0293"/>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A0293"/>
    <w:rPr>
      <w:color w:val="5A5A5A" w:themeColor="text1" w:themeTint="A5"/>
      <w:spacing w:val="15"/>
    </w:rPr>
  </w:style>
  <w:style w:type="character" w:styleId="Strong">
    <w:name w:val="Strong"/>
    <w:basedOn w:val="DefaultParagraphFont"/>
    <w:uiPriority w:val="22"/>
    <w:qFormat/>
    <w:rsid w:val="007A0293"/>
    <w:rPr>
      <w:b/>
      <w:bCs/>
      <w:color w:val="auto"/>
    </w:rPr>
  </w:style>
  <w:style w:type="character" w:styleId="Emphasis">
    <w:name w:val="Emphasis"/>
    <w:basedOn w:val="DefaultParagraphFont"/>
    <w:uiPriority w:val="20"/>
    <w:qFormat/>
    <w:rsid w:val="007A0293"/>
    <w:rPr>
      <w:i/>
      <w:iCs/>
      <w:color w:val="auto"/>
    </w:rPr>
  </w:style>
  <w:style w:type="paragraph" w:styleId="NoSpacing">
    <w:name w:val="No Spacing"/>
    <w:uiPriority w:val="1"/>
    <w:qFormat/>
    <w:rsid w:val="007A0293"/>
    <w:pPr>
      <w:spacing w:after="0" w:line="240" w:lineRule="auto"/>
    </w:pPr>
  </w:style>
  <w:style w:type="paragraph" w:styleId="Quote">
    <w:name w:val="Quote"/>
    <w:basedOn w:val="Normal"/>
    <w:next w:val="Normal"/>
    <w:link w:val="QuoteChar"/>
    <w:uiPriority w:val="29"/>
    <w:qFormat/>
    <w:rsid w:val="007A0293"/>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A0293"/>
    <w:rPr>
      <w:i/>
      <w:iCs/>
      <w:color w:val="404040" w:themeColor="text1" w:themeTint="BF"/>
    </w:rPr>
  </w:style>
  <w:style w:type="paragraph" w:styleId="IntenseQuote">
    <w:name w:val="Intense Quote"/>
    <w:basedOn w:val="Normal"/>
    <w:next w:val="Normal"/>
    <w:link w:val="IntenseQuoteChar"/>
    <w:uiPriority w:val="30"/>
    <w:qFormat/>
    <w:rsid w:val="007A0293"/>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A0293"/>
    <w:rPr>
      <w:i/>
      <w:iCs/>
      <w:color w:val="404040" w:themeColor="text1" w:themeTint="BF"/>
    </w:rPr>
  </w:style>
  <w:style w:type="character" w:styleId="SubtleEmphasis">
    <w:name w:val="Subtle Emphasis"/>
    <w:basedOn w:val="DefaultParagraphFont"/>
    <w:uiPriority w:val="19"/>
    <w:qFormat/>
    <w:rsid w:val="007A0293"/>
    <w:rPr>
      <w:i/>
      <w:iCs/>
      <w:color w:val="404040" w:themeColor="text1" w:themeTint="BF"/>
    </w:rPr>
  </w:style>
  <w:style w:type="character" w:styleId="IntenseEmphasis">
    <w:name w:val="Intense Emphasis"/>
    <w:basedOn w:val="DefaultParagraphFont"/>
    <w:uiPriority w:val="21"/>
    <w:qFormat/>
    <w:rsid w:val="007A0293"/>
    <w:rPr>
      <w:b/>
      <w:bCs/>
      <w:i/>
      <w:iCs/>
      <w:color w:val="auto"/>
    </w:rPr>
  </w:style>
  <w:style w:type="character" w:styleId="SubtleReference">
    <w:name w:val="Subtle Reference"/>
    <w:basedOn w:val="DefaultParagraphFont"/>
    <w:uiPriority w:val="31"/>
    <w:qFormat/>
    <w:rsid w:val="007A0293"/>
    <w:rPr>
      <w:smallCaps/>
      <w:color w:val="404040" w:themeColor="text1" w:themeTint="BF"/>
    </w:rPr>
  </w:style>
  <w:style w:type="character" w:styleId="IntenseReference">
    <w:name w:val="Intense Reference"/>
    <w:basedOn w:val="DefaultParagraphFont"/>
    <w:uiPriority w:val="32"/>
    <w:qFormat/>
    <w:rsid w:val="007A0293"/>
    <w:rPr>
      <w:b/>
      <w:bCs/>
      <w:smallCaps/>
      <w:color w:val="404040" w:themeColor="text1" w:themeTint="BF"/>
      <w:spacing w:val="5"/>
    </w:rPr>
  </w:style>
  <w:style w:type="character" w:styleId="BookTitle">
    <w:name w:val="Book Title"/>
    <w:basedOn w:val="DefaultParagraphFont"/>
    <w:uiPriority w:val="33"/>
    <w:qFormat/>
    <w:rsid w:val="007A0293"/>
    <w:rPr>
      <w:b/>
      <w:bCs/>
      <w:i/>
      <w:iCs/>
      <w:spacing w:val="5"/>
    </w:rPr>
  </w:style>
  <w:style w:type="paragraph" w:styleId="TOCHeading">
    <w:name w:val="TOC Heading"/>
    <w:basedOn w:val="Heading1"/>
    <w:next w:val="Normal"/>
    <w:uiPriority w:val="39"/>
    <w:unhideWhenUsed/>
    <w:qFormat/>
    <w:rsid w:val="007A0293"/>
    <w:pPr>
      <w:outlineLvl w:val="9"/>
    </w:pPr>
  </w:style>
  <w:style w:type="character" w:customStyle="1" w:styleId="hlfld-title">
    <w:name w:val="hlfld-title"/>
    <w:basedOn w:val="DefaultParagraphFont"/>
    <w:rsid w:val="007A0293"/>
  </w:style>
  <w:style w:type="paragraph" w:styleId="BalloonText">
    <w:name w:val="Balloon Text"/>
    <w:basedOn w:val="Normal"/>
    <w:link w:val="BalloonTextChar"/>
    <w:uiPriority w:val="99"/>
    <w:semiHidden/>
    <w:unhideWhenUsed/>
    <w:rsid w:val="004242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42A8"/>
    <w:rPr>
      <w:rFonts w:ascii="Segoe UI" w:hAnsi="Segoe UI" w:cs="Segoe UI"/>
      <w:sz w:val="18"/>
      <w:szCs w:val="18"/>
    </w:rPr>
  </w:style>
  <w:style w:type="character" w:styleId="Hyperlink">
    <w:name w:val="Hyperlink"/>
    <w:basedOn w:val="DefaultParagraphFont"/>
    <w:uiPriority w:val="99"/>
    <w:unhideWhenUsed/>
    <w:rsid w:val="004242A8"/>
    <w:rPr>
      <w:color w:val="0563C1" w:themeColor="hyperlink"/>
      <w:u w:val="single"/>
    </w:rPr>
  </w:style>
  <w:style w:type="character" w:styleId="UnresolvedMention">
    <w:name w:val="Unresolved Mention"/>
    <w:basedOn w:val="DefaultParagraphFont"/>
    <w:uiPriority w:val="99"/>
    <w:semiHidden/>
    <w:unhideWhenUsed/>
    <w:rsid w:val="004242A8"/>
    <w:rPr>
      <w:color w:val="605E5C"/>
      <w:shd w:val="clear" w:color="auto" w:fill="E1DFDD"/>
    </w:rPr>
  </w:style>
  <w:style w:type="paragraph" w:styleId="TOC1">
    <w:name w:val="toc 1"/>
    <w:basedOn w:val="Normal"/>
    <w:next w:val="Normal"/>
    <w:autoRedefine/>
    <w:uiPriority w:val="39"/>
    <w:unhideWhenUsed/>
    <w:rsid w:val="00C0023D"/>
    <w:pPr>
      <w:spacing w:after="100"/>
    </w:pPr>
  </w:style>
  <w:style w:type="character" w:customStyle="1" w:styleId="nlmstring-name">
    <w:name w:val="nlm_string-name"/>
    <w:basedOn w:val="DefaultParagraphFont"/>
    <w:rsid w:val="0009537F"/>
  </w:style>
  <w:style w:type="character" w:customStyle="1" w:styleId="nlmarticle-title">
    <w:name w:val="nlm_article-title"/>
    <w:basedOn w:val="DefaultParagraphFont"/>
    <w:rsid w:val="0009537F"/>
  </w:style>
  <w:style w:type="character" w:customStyle="1" w:styleId="nlmyear">
    <w:name w:val="nlm_year"/>
    <w:basedOn w:val="DefaultParagraphFont"/>
    <w:rsid w:val="0009537F"/>
  </w:style>
  <w:style w:type="character" w:customStyle="1" w:styleId="nlmvolume">
    <w:name w:val="nlm_volume"/>
    <w:basedOn w:val="DefaultParagraphFont"/>
    <w:rsid w:val="0009537F"/>
  </w:style>
  <w:style w:type="character" w:customStyle="1" w:styleId="nlmfpage">
    <w:name w:val="nlm_fpage"/>
    <w:basedOn w:val="DefaultParagraphFont"/>
    <w:rsid w:val="0009537F"/>
  </w:style>
  <w:style w:type="character" w:customStyle="1" w:styleId="nlmlpage">
    <w:name w:val="nlm_lpage"/>
    <w:basedOn w:val="DefaultParagraphFont"/>
    <w:rsid w:val="0009537F"/>
  </w:style>
  <w:style w:type="character" w:customStyle="1" w:styleId="refdoi">
    <w:name w:val="refdoi"/>
    <w:basedOn w:val="DefaultParagraphFont"/>
    <w:rsid w:val="0009537F"/>
  </w:style>
  <w:style w:type="paragraph" w:styleId="ListParagraph">
    <w:name w:val="List Paragraph"/>
    <w:basedOn w:val="Normal"/>
    <w:uiPriority w:val="34"/>
    <w:qFormat/>
    <w:rsid w:val="00715E86"/>
    <w:pPr>
      <w:ind w:left="720"/>
      <w:contextualSpacing/>
    </w:pPr>
  </w:style>
  <w:style w:type="table" w:styleId="TableGridLight">
    <w:name w:val="Grid Table Light"/>
    <w:basedOn w:val="TableNormal"/>
    <w:uiPriority w:val="40"/>
    <w:rsid w:val="001B077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339786">
      <w:bodyDiv w:val="1"/>
      <w:marLeft w:val="0"/>
      <w:marRight w:val="0"/>
      <w:marTop w:val="0"/>
      <w:marBottom w:val="0"/>
      <w:divBdr>
        <w:top w:val="none" w:sz="0" w:space="0" w:color="auto"/>
        <w:left w:val="none" w:sz="0" w:space="0" w:color="auto"/>
        <w:bottom w:val="none" w:sz="0" w:space="0" w:color="auto"/>
        <w:right w:val="none" w:sz="0" w:space="0" w:color="auto"/>
      </w:divBdr>
    </w:div>
    <w:div w:id="122965773">
      <w:bodyDiv w:val="1"/>
      <w:marLeft w:val="0"/>
      <w:marRight w:val="0"/>
      <w:marTop w:val="0"/>
      <w:marBottom w:val="0"/>
      <w:divBdr>
        <w:top w:val="none" w:sz="0" w:space="0" w:color="auto"/>
        <w:left w:val="none" w:sz="0" w:space="0" w:color="auto"/>
        <w:bottom w:val="none" w:sz="0" w:space="0" w:color="auto"/>
        <w:right w:val="none" w:sz="0" w:space="0" w:color="auto"/>
      </w:divBdr>
    </w:div>
    <w:div w:id="179857113">
      <w:bodyDiv w:val="1"/>
      <w:marLeft w:val="0"/>
      <w:marRight w:val="0"/>
      <w:marTop w:val="0"/>
      <w:marBottom w:val="0"/>
      <w:divBdr>
        <w:top w:val="none" w:sz="0" w:space="0" w:color="auto"/>
        <w:left w:val="none" w:sz="0" w:space="0" w:color="auto"/>
        <w:bottom w:val="none" w:sz="0" w:space="0" w:color="auto"/>
        <w:right w:val="none" w:sz="0" w:space="0" w:color="auto"/>
      </w:divBdr>
      <w:divsChild>
        <w:div w:id="979727045">
          <w:marLeft w:val="0"/>
          <w:marRight w:val="0"/>
          <w:marTop w:val="0"/>
          <w:marBottom w:val="0"/>
          <w:divBdr>
            <w:top w:val="none" w:sz="0" w:space="0" w:color="auto"/>
            <w:left w:val="none" w:sz="0" w:space="0" w:color="auto"/>
            <w:bottom w:val="none" w:sz="0" w:space="0" w:color="auto"/>
            <w:right w:val="none" w:sz="0" w:space="0" w:color="auto"/>
          </w:divBdr>
          <w:divsChild>
            <w:div w:id="252054904">
              <w:marLeft w:val="0"/>
              <w:marRight w:val="0"/>
              <w:marTop w:val="0"/>
              <w:marBottom w:val="120"/>
              <w:divBdr>
                <w:top w:val="none" w:sz="0" w:space="0" w:color="auto"/>
                <w:left w:val="none" w:sz="0" w:space="0" w:color="auto"/>
                <w:bottom w:val="none" w:sz="0" w:space="0" w:color="auto"/>
                <w:right w:val="none" w:sz="0" w:space="0" w:color="auto"/>
              </w:divBdr>
              <w:divsChild>
                <w:div w:id="640043751">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2093157583">
          <w:marLeft w:val="0"/>
          <w:marRight w:val="0"/>
          <w:marTop w:val="0"/>
          <w:marBottom w:val="0"/>
          <w:divBdr>
            <w:top w:val="none" w:sz="0" w:space="0" w:color="auto"/>
            <w:left w:val="none" w:sz="0" w:space="0" w:color="auto"/>
            <w:bottom w:val="none" w:sz="0" w:space="0" w:color="auto"/>
            <w:right w:val="none" w:sz="0" w:space="0" w:color="auto"/>
          </w:divBdr>
          <w:divsChild>
            <w:div w:id="1629243764">
              <w:marLeft w:val="0"/>
              <w:marRight w:val="0"/>
              <w:marTop w:val="0"/>
              <w:marBottom w:val="120"/>
              <w:divBdr>
                <w:top w:val="none" w:sz="0" w:space="0" w:color="auto"/>
                <w:left w:val="none" w:sz="0" w:space="0" w:color="auto"/>
                <w:bottom w:val="none" w:sz="0" w:space="0" w:color="auto"/>
                <w:right w:val="none" w:sz="0" w:space="0" w:color="auto"/>
              </w:divBdr>
              <w:divsChild>
                <w:div w:id="227376673">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528682111">
          <w:marLeft w:val="0"/>
          <w:marRight w:val="0"/>
          <w:marTop w:val="0"/>
          <w:marBottom w:val="0"/>
          <w:divBdr>
            <w:top w:val="none" w:sz="0" w:space="0" w:color="auto"/>
            <w:left w:val="none" w:sz="0" w:space="0" w:color="auto"/>
            <w:bottom w:val="none" w:sz="0" w:space="0" w:color="auto"/>
            <w:right w:val="none" w:sz="0" w:space="0" w:color="auto"/>
          </w:divBdr>
          <w:divsChild>
            <w:div w:id="1064644248">
              <w:marLeft w:val="0"/>
              <w:marRight w:val="0"/>
              <w:marTop w:val="0"/>
              <w:marBottom w:val="120"/>
              <w:divBdr>
                <w:top w:val="none" w:sz="0" w:space="0" w:color="auto"/>
                <w:left w:val="none" w:sz="0" w:space="0" w:color="auto"/>
                <w:bottom w:val="none" w:sz="0" w:space="0" w:color="auto"/>
                <w:right w:val="none" w:sz="0" w:space="0" w:color="auto"/>
              </w:divBdr>
              <w:divsChild>
                <w:div w:id="1666547562">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221186141">
          <w:marLeft w:val="0"/>
          <w:marRight w:val="0"/>
          <w:marTop w:val="0"/>
          <w:marBottom w:val="0"/>
          <w:divBdr>
            <w:top w:val="none" w:sz="0" w:space="0" w:color="auto"/>
            <w:left w:val="none" w:sz="0" w:space="0" w:color="auto"/>
            <w:bottom w:val="none" w:sz="0" w:space="0" w:color="auto"/>
            <w:right w:val="none" w:sz="0" w:space="0" w:color="auto"/>
          </w:divBdr>
          <w:divsChild>
            <w:div w:id="1440180502">
              <w:marLeft w:val="0"/>
              <w:marRight w:val="0"/>
              <w:marTop w:val="0"/>
              <w:marBottom w:val="120"/>
              <w:divBdr>
                <w:top w:val="none" w:sz="0" w:space="0" w:color="auto"/>
                <w:left w:val="none" w:sz="0" w:space="0" w:color="auto"/>
                <w:bottom w:val="none" w:sz="0" w:space="0" w:color="auto"/>
                <w:right w:val="none" w:sz="0" w:space="0" w:color="auto"/>
              </w:divBdr>
              <w:divsChild>
                <w:div w:id="1595937315">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725907429">
          <w:marLeft w:val="0"/>
          <w:marRight w:val="0"/>
          <w:marTop w:val="0"/>
          <w:marBottom w:val="0"/>
          <w:divBdr>
            <w:top w:val="none" w:sz="0" w:space="0" w:color="auto"/>
            <w:left w:val="none" w:sz="0" w:space="0" w:color="auto"/>
            <w:bottom w:val="none" w:sz="0" w:space="0" w:color="auto"/>
            <w:right w:val="none" w:sz="0" w:space="0" w:color="auto"/>
          </w:divBdr>
          <w:divsChild>
            <w:div w:id="983385993">
              <w:marLeft w:val="0"/>
              <w:marRight w:val="0"/>
              <w:marTop w:val="0"/>
              <w:marBottom w:val="120"/>
              <w:divBdr>
                <w:top w:val="none" w:sz="0" w:space="0" w:color="auto"/>
                <w:left w:val="none" w:sz="0" w:space="0" w:color="auto"/>
                <w:bottom w:val="none" w:sz="0" w:space="0" w:color="auto"/>
                <w:right w:val="none" w:sz="0" w:space="0" w:color="auto"/>
              </w:divBdr>
              <w:divsChild>
                <w:div w:id="1374384077">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520321610">
          <w:marLeft w:val="0"/>
          <w:marRight w:val="0"/>
          <w:marTop w:val="0"/>
          <w:marBottom w:val="0"/>
          <w:divBdr>
            <w:top w:val="none" w:sz="0" w:space="0" w:color="auto"/>
            <w:left w:val="none" w:sz="0" w:space="0" w:color="auto"/>
            <w:bottom w:val="none" w:sz="0" w:space="0" w:color="auto"/>
            <w:right w:val="none" w:sz="0" w:space="0" w:color="auto"/>
          </w:divBdr>
          <w:divsChild>
            <w:div w:id="1967084727">
              <w:marLeft w:val="0"/>
              <w:marRight w:val="0"/>
              <w:marTop w:val="0"/>
              <w:marBottom w:val="120"/>
              <w:divBdr>
                <w:top w:val="none" w:sz="0" w:space="0" w:color="auto"/>
                <w:left w:val="none" w:sz="0" w:space="0" w:color="auto"/>
                <w:bottom w:val="none" w:sz="0" w:space="0" w:color="auto"/>
                <w:right w:val="none" w:sz="0" w:space="0" w:color="auto"/>
              </w:divBdr>
              <w:divsChild>
                <w:div w:id="2123262823">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81076642">
          <w:marLeft w:val="0"/>
          <w:marRight w:val="0"/>
          <w:marTop w:val="0"/>
          <w:marBottom w:val="0"/>
          <w:divBdr>
            <w:top w:val="none" w:sz="0" w:space="0" w:color="auto"/>
            <w:left w:val="none" w:sz="0" w:space="0" w:color="auto"/>
            <w:bottom w:val="none" w:sz="0" w:space="0" w:color="auto"/>
            <w:right w:val="none" w:sz="0" w:space="0" w:color="auto"/>
          </w:divBdr>
          <w:divsChild>
            <w:div w:id="1164010840">
              <w:marLeft w:val="0"/>
              <w:marRight w:val="0"/>
              <w:marTop w:val="0"/>
              <w:marBottom w:val="120"/>
              <w:divBdr>
                <w:top w:val="none" w:sz="0" w:space="0" w:color="auto"/>
                <w:left w:val="none" w:sz="0" w:space="0" w:color="auto"/>
                <w:bottom w:val="none" w:sz="0" w:space="0" w:color="auto"/>
                <w:right w:val="none" w:sz="0" w:space="0" w:color="auto"/>
              </w:divBdr>
              <w:divsChild>
                <w:div w:id="209458299">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859923033">
          <w:marLeft w:val="0"/>
          <w:marRight w:val="0"/>
          <w:marTop w:val="0"/>
          <w:marBottom w:val="0"/>
          <w:divBdr>
            <w:top w:val="none" w:sz="0" w:space="0" w:color="auto"/>
            <w:left w:val="none" w:sz="0" w:space="0" w:color="auto"/>
            <w:bottom w:val="none" w:sz="0" w:space="0" w:color="auto"/>
            <w:right w:val="none" w:sz="0" w:space="0" w:color="auto"/>
          </w:divBdr>
          <w:divsChild>
            <w:div w:id="1718120629">
              <w:marLeft w:val="0"/>
              <w:marRight w:val="0"/>
              <w:marTop w:val="0"/>
              <w:marBottom w:val="120"/>
              <w:divBdr>
                <w:top w:val="none" w:sz="0" w:space="0" w:color="auto"/>
                <w:left w:val="none" w:sz="0" w:space="0" w:color="auto"/>
                <w:bottom w:val="none" w:sz="0" w:space="0" w:color="auto"/>
                <w:right w:val="none" w:sz="0" w:space="0" w:color="auto"/>
              </w:divBdr>
              <w:divsChild>
                <w:div w:id="1353218860">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679157794">
          <w:marLeft w:val="0"/>
          <w:marRight w:val="0"/>
          <w:marTop w:val="0"/>
          <w:marBottom w:val="0"/>
          <w:divBdr>
            <w:top w:val="none" w:sz="0" w:space="0" w:color="auto"/>
            <w:left w:val="none" w:sz="0" w:space="0" w:color="auto"/>
            <w:bottom w:val="none" w:sz="0" w:space="0" w:color="auto"/>
            <w:right w:val="none" w:sz="0" w:space="0" w:color="auto"/>
          </w:divBdr>
          <w:divsChild>
            <w:div w:id="1941257044">
              <w:marLeft w:val="0"/>
              <w:marRight w:val="0"/>
              <w:marTop w:val="0"/>
              <w:marBottom w:val="120"/>
              <w:divBdr>
                <w:top w:val="none" w:sz="0" w:space="0" w:color="auto"/>
                <w:left w:val="none" w:sz="0" w:space="0" w:color="auto"/>
                <w:bottom w:val="none" w:sz="0" w:space="0" w:color="auto"/>
                <w:right w:val="none" w:sz="0" w:space="0" w:color="auto"/>
              </w:divBdr>
              <w:divsChild>
                <w:div w:id="1876115970">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683897738">
          <w:marLeft w:val="0"/>
          <w:marRight w:val="0"/>
          <w:marTop w:val="0"/>
          <w:marBottom w:val="0"/>
          <w:divBdr>
            <w:top w:val="none" w:sz="0" w:space="0" w:color="auto"/>
            <w:left w:val="none" w:sz="0" w:space="0" w:color="auto"/>
            <w:bottom w:val="none" w:sz="0" w:space="0" w:color="auto"/>
            <w:right w:val="none" w:sz="0" w:space="0" w:color="auto"/>
          </w:divBdr>
          <w:divsChild>
            <w:div w:id="740908621">
              <w:marLeft w:val="0"/>
              <w:marRight w:val="0"/>
              <w:marTop w:val="0"/>
              <w:marBottom w:val="120"/>
              <w:divBdr>
                <w:top w:val="none" w:sz="0" w:space="0" w:color="auto"/>
                <w:left w:val="none" w:sz="0" w:space="0" w:color="auto"/>
                <w:bottom w:val="none" w:sz="0" w:space="0" w:color="auto"/>
                <w:right w:val="none" w:sz="0" w:space="0" w:color="auto"/>
              </w:divBdr>
              <w:divsChild>
                <w:div w:id="1462649601">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195847852">
          <w:marLeft w:val="0"/>
          <w:marRight w:val="0"/>
          <w:marTop w:val="0"/>
          <w:marBottom w:val="0"/>
          <w:divBdr>
            <w:top w:val="none" w:sz="0" w:space="0" w:color="auto"/>
            <w:left w:val="none" w:sz="0" w:space="0" w:color="auto"/>
            <w:bottom w:val="none" w:sz="0" w:space="0" w:color="auto"/>
            <w:right w:val="none" w:sz="0" w:space="0" w:color="auto"/>
          </w:divBdr>
          <w:divsChild>
            <w:div w:id="1719089298">
              <w:marLeft w:val="0"/>
              <w:marRight w:val="0"/>
              <w:marTop w:val="0"/>
              <w:marBottom w:val="120"/>
              <w:divBdr>
                <w:top w:val="none" w:sz="0" w:space="0" w:color="auto"/>
                <w:left w:val="none" w:sz="0" w:space="0" w:color="auto"/>
                <w:bottom w:val="none" w:sz="0" w:space="0" w:color="auto"/>
                <w:right w:val="none" w:sz="0" w:space="0" w:color="auto"/>
              </w:divBdr>
              <w:divsChild>
                <w:div w:id="1960988774">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705672517">
          <w:marLeft w:val="0"/>
          <w:marRight w:val="0"/>
          <w:marTop w:val="0"/>
          <w:marBottom w:val="0"/>
          <w:divBdr>
            <w:top w:val="none" w:sz="0" w:space="0" w:color="auto"/>
            <w:left w:val="none" w:sz="0" w:space="0" w:color="auto"/>
            <w:bottom w:val="none" w:sz="0" w:space="0" w:color="auto"/>
            <w:right w:val="none" w:sz="0" w:space="0" w:color="auto"/>
          </w:divBdr>
          <w:divsChild>
            <w:div w:id="2103404534">
              <w:marLeft w:val="0"/>
              <w:marRight w:val="0"/>
              <w:marTop w:val="0"/>
              <w:marBottom w:val="120"/>
              <w:divBdr>
                <w:top w:val="none" w:sz="0" w:space="0" w:color="auto"/>
                <w:left w:val="none" w:sz="0" w:space="0" w:color="auto"/>
                <w:bottom w:val="none" w:sz="0" w:space="0" w:color="auto"/>
                <w:right w:val="none" w:sz="0" w:space="0" w:color="auto"/>
              </w:divBdr>
              <w:divsChild>
                <w:div w:id="969287836">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445738575">
          <w:marLeft w:val="0"/>
          <w:marRight w:val="0"/>
          <w:marTop w:val="0"/>
          <w:marBottom w:val="0"/>
          <w:divBdr>
            <w:top w:val="none" w:sz="0" w:space="0" w:color="auto"/>
            <w:left w:val="none" w:sz="0" w:space="0" w:color="auto"/>
            <w:bottom w:val="none" w:sz="0" w:space="0" w:color="auto"/>
            <w:right w:val="none" w:sz="0" w:space="0" w:color="auto"/>
          </w:divBdr>
          <w:divsChild>
            <w:div w:id="1184632433">
              <w:marLeft w:val="0"/>
              <w:marRight w:val="0"/>
              <w:marTop w:val="0"/>
              <w:marBottom w:val="120"/>
              <w:divBdr>
                <w:top w:val="none" w:sz="0" w:space="0" w:color="auto"/>
                <w:left w:val="none" w:sz="0" w:space="0" w:color="auto"/>
                <w:bottom w:val="none" w:sz="0" w:space="0" w:color="auto"/>
                <w:right w:val="none" w:sz="0" w:space="0" w:color="auto"/>
              </w:divBdr>
              <w:divsChild>
                <w:div w:id="406028175">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764377560">
          <w:marLeft w:val="0"/>
          <w:marRight w:val="0"/>
          <w:marTop w:val="0"/>
          <w:marBottom w:val="0"/>
          <w:divBdr>
            <w:top w:val="none" w:sz="0" w:space="0" w:color="auto"/>
            <w:left w:val="none" w:sz="0" w:space="0" w:color="auto"/>
            <w:bottom w:val="none" w:sz="0" w:space="0" w:color="auto"/>
            <w:right w:val="none" w:sz="0" w:space="0" w:color="auto"/>
          </w:divBdr>
          <w:divsChild>
            <w:div w:id="1793475960">
              <w:marLeft w:val="0"/>
              <w:marRight w:val="0"/>
              <w:marTop w:val="0"/>
              <w:marBottom w:val="120"/>
              <w:divBdr>
                <w:top w:val="none" w:sz="0" w:space="0" w:color="auto"/>
                <w:left w:val="none" w:sz="0" w:space="0" w:color="auto"/>
                <w:bottom w:val="none" w:sz="0" w:space="0" w:color="auto"/>
                <w:right w:val="none" w:sz="0" w:space="0" w:color="auto"/>
              </w:divBdr>
              <w:divsChild>
                <w:div w:id="67659215">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304969375">
          <w:marLeft w:val="0"/>
          <w:marRight w:val="0"/>
          <w:marTop w:val="0"/>
          <w:marBottom w:val="0"/>
          <w:divBdr>
            <w:top w:val="none" w:sz="0" w:space="0" w:color="auto"/>
            <w:left w:val="none" w:sz="0" w:space="0" w:color="auto"/>
            <w:bottom w:val="none" w:sz="0" w:space="0" w:color="auto"/>
            <w:right w:val="none" w:sz="0" w:space="0" w:color="auto"/>
          </w:divBdr>
          <w:divsChild>
            <w:div w:id="1599632854">
              <w:marLeft w:val="0"/>
              <w:marRight w:val="0"/>
              <w:marTop w:val="0"/>
              <w:marBottom w:val="120"/>
              <w:divBdr>
                <w:top w:val="none" w:sz="0" w:space="0" w:color="auto"/>
                <w:left w:val="none" w:sz="0" w:space="0" w:color="auto"/>
                <w:bottom w:val="none" w:sz="0" w:space="0" w:color="auto"/>
                <w:right w:val="none" w:sz="0" w:space="0" w:color="auto"/>
              </w:divBdr>
              <w:divsChild>
                <w:div w:id="114182955">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260790857">
          <w:marLeft w:val="0"/>
          <w:marRight w:val="0"/>
          <w:marTop w:val="0"/>
          <w:marBottom w:val="0"/>
          <w:divBdr>
            <w:top w:val="none" w:sz="0" w:space="0" w:color="auto"/>
            <w:left w:val="none" w:sz="0" w:space="0" w:color="auto"/>
            <w:bottom w:val="none" w:sz="0" w:space="0" w:color="auto"/>
            <w:right w:val="none" w:sz="0" w:space="0" w:color="auto"/>
          </w:divBdr>
          <w:divsChild>
            <w:div w:id="41759442">
              <w:marLeft w:val="0"/>
              <w:marRight w:val="0"/>
              <w:marTop w:val="0"/>
              <w:marBottom w:val="120"/>
              <w:divBdr>
                <w:top w:val="none" w:sz="0" w:space="0" w:color="auto"/>
                <w:left w:val="none" w:sz="0" w:space="0" w:color="auto"/>
                <w:bottom w:val="none" w:sz="0" w:space="0" w:color="auto"/>
                <w:right w:val="none" w:sz="0" w:space="0" w:color="auto"/>
              </w:divBdr>
              <w:divsChild>
                <w:div w:id="770247627">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635329510">
          <w:marLeft w:val="0"/>
          <w:marRight w:val="0"/>
          <w:marTop w:val="0"/>
          <w:marBottom w:val="0"/>
          <w:divBdr>
            <w:top w:val="none" w:sz="0" w:space="0" w:color="auto"/>
            <w:left w:val="none" w:sz="0" w:space="0" w:color="auto"/>
            <w:bottom w:val="none" w:sz="0" w:space="0" w:color="auto"/>
            <w:right w:val="none" w:sz="0" w:space="0" w:color="auto"/>
          </w:divBdr>
          <w:divsChild>
            <w:div w:id="729695479">
              <w:marLeft w:val="0"/>
              <w:marRight w:val="0"/>
              <w:marTop w:val="0"/>
              <w:marBottom w:val="120"/>
              <w:divBdr>
                <w:top w:val="none" w:sz="0" w:space="0" w:color="auto"/>
                <w:left w:val="none" w:sz="0" w:space="0" w:color="auto"/>
                <w:bottom w:val="none" w:sz="0" w:space="0" w:color="auto"/>
                <w:right w:val="none" w:sz="0" w:space="0" w:color="auto"/>
              </w:divBdr>
              <w:divsChild>
                <w:div w:id="101844373">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246769427">
          <w:marLeft w:val="0"/>
          <w:marRight w:val="0"/>
          <w:marTop w:val="0"/>
          <w:marBottom w:val="0"/>
          <w:divBdr>
            <w:top w:val="none" w:sz="0" w:space="0" w:color="auto"/>
            <w:left w:val="none" w:sz="0" w:space="0" w:color="auto"/>
            <w:bottom w:val="none" w:sz="0" w:space="0" w:color="auto"/>
            <w:right w:val="none" w:sz="0" w:space="0" w:color="auto"/>
          </w:divBdr>
          <w:divsChild>
            <w:div w:id="1787649681">
              <w:marLeft w:val="0"/>
              <w:marRight w:val="0"/>
              <w:marTop w:val="0"/>
              <w:marBottom w:val="120"/>
              <w:divBdr>
                <w:top w:val="none" w:sz="0" w:space="0" w:color="auto"/>
                <w:left w:val="none" w:sz="0" w:space="0" w:color="auto"/>
                <w:bottom w:val="none" w:sz="0" w:space="0" w:color="auto"/>
                <w:right w:val="none" w:sz="0" w:space="0" w:color="auto"/>
              </w:divBdr>
              <w:divsChild>
                <w:div w:id="1995446153">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215314005">
          <w:marLeft w:val="0"/>
          <w:marRight w:val="0"/>
          <w:marTop w:val="0"/>
          <w:marBottom w:val="0"/>
          <w:divBdr>
            <w:top w:val="none" w:sz="0" w:space="0" w:color="auto"/>
            <w:left w:val="none" w:sz="0" w:space="0" w:color="auto"/>
            <w:bottom w:val="none" w:sz="0" w:space="0" w:color="auto"/>
            <w:right w:val="none" w:sz="0" w:space="0" w:color="auto"/>
          </w:divBdr>
          <w:divsChild>
            <w:div w:id="1522473150">
              <w:marLeft w:val="0"/>
              <w:marRight w:val="0"/>
              <w:marTop w:val="0"/>
              <w:marBottom w:val="120"/>
              <w:divBdr>
                <w:top w:val="none" w:sz="0" w:space="0" w:color="auto"/>
                <w:left w:val="none" w:sz="0" w:space="0" w:color="auto"/>
                <w:bottom w:val="none" w:sz="0" w:space="0" w:color="auto"/>
                <w:right w:val="none" w:sz="0" w:space="0" w:color="auto"/>
              </w:divBdr>
              <w:divsChild>
                <w:div w:id="2075396172">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037971552">
          <w:marLeft w:val="0"/>
          <w:marRight w:val="0"/>
          <w:marTop w:val="0"/>
          <w:marBottom w:val="0"/>
          <w:divBdr>
            <w:top w:val="none" w:sz="0" w:space="0" w:color="auto"/>
            <w:left w:val="none" w:sz="0" w:space="0" w:color="auto"/>
            <w:bottom w:val="none" w:sz="0" w:space="0" w:color="auto"/>
            <w:right w:val="none" w:sz="0" w:space="0" w:color="auto"/>
          </w:divBdr>
          <w:divsChild>
            <w:div w:id="1133526172">
              <w:marLeft w:val="0"/>
              <w:marRight w:val="0"/>
              <w:marTop w:val="0"/>
              <w:marBottom w:val="120"/>
              <w:divBdr>
                <w:top w:val="none" w:sz="0" w:space="0" w:color="auto"/>
                <w:left w:val="none" w:sz="0" w:space="0" w:color="auto"/>
                <w:bottom w:val="none" w:sz="0" w:space="0" w:color="auto"/>
                <w:right w:val="none" w:sz="0" w:space="0" w:color="auto"/>
              </w:divBdr>
              <w:divsChild>
                <w:div w:id="970281388">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339313529">
          <w:marLeft w:val="0"/>
          <w:marRight w:val="0"/>
          <w:marTop w:val="0"/>
          <w:marBottom w:val="0"/>
          <w:divBdr>
            <w:top w:val="none" w:sz="0" w:space="0" w:color="auto"/>
            <w:left w:val="none" w:sz="0" w:space="0" w:color="auto"/>
            <w:bottom w:val="none" w:sz="0" w:space="0" w:color="auto"/>
            <w:right w:val="none" w:sz="0" w:space="0" w:color="auto"/>
          </w:divBdr>
          <w:divsChild>
            <w:div w:id="278992116">
              <w:marLeft w:val="0"/>
              <w:marRight w:val="0"/>
              <w:marTop w:val="0"/>
              <w:marBottom w:val="120"/>
              <w:divBdr>
                <w:top w:val="none" w:sz="0" w:space="0" w:color="auto"/>
                <w:left w:val="none" w:sz="0" w:space="0" w:color="auto"/>
                <w:bottom w:val="none" w:sz="0" w:space="0" w:color="auto"/>
                <w:right w:val="none" w:sz="0" w:space="0" w:color="auto"/>
              </w:divBdr>
              <w:divsChild>
                <w:div w:id="1531453446">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392385994">
          <w:marLeft w:val="0"/>
          <w:marRight w:val="0"/>
          <w:marTop w:val="0"/>
          <w:marBottom w:val="0"/>
          <w:divBdr>
            <w:top w:val="none" w:sz="0" w:space="0" w:color="auto"/>
            <w:left w:val="none" w:sz="0" w:space="0" w:color="auto"/>
            <w:bottom w:val="none" w:sz="0" w:space="0" w:color="auto"/>
            <w:right w:val="none" w:sz="0" w:space="0" w:color="auto"/>
          </w:divBdr>
          <w:divsChild>
            <w:div w:id="1015035533">
              <w:marLeft w:val="0"/>
              <w:marRight w:val="0"/>
              <w:marTop w:val="0"/>
              <w:marBottom w:val="120"/>
              <w:divBdr>
                <w:top w:val="none" w:sz="0" w:space="0" w:color="auto"/>
                <w:left w:val="none" w:sz="0" w:space="0" w:color="auto"/>
                <w:bottom w:val="none" w:sz="0" w:space="0" w:color="auto"/>
                <w:right w:val="none" w:sz="0" w:space="0" w:color="auto"/>
              </w:divBdr>
              <w:divsChild>
                <w:div w:id="1021203914">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860269133">
          <w:marLeft w:val="0"/>
          <w:marRight w:val="0"/>
          <w:marTop w:val="0"/>
          <w:marBottom w:val="0"/>
          <w:divBdr>
            <w:top w:val="none" w:sz="0" w:space="0" w:color="auto"/>
            <w:left w:val="none" w:sz="0" w:space="0" w:color="auto"/>
            <w:bottom w:val="none" w:sz="0" w:space="0" w:color="auto"/>
            <w:right w:val="none" w:sz="0" w:space="0" w:color="auto"/>
          </w:divBdr>
          <w:divsChild>
            <w:div w:id="674845988">
              <w:marLeft w:val="0"/>
              <w:marRight w:val="0"/>
              <w:marTop w:val="0"/>
              <w:marBottom w:val="120"/>
              <w:divBdr>
                <w:top w:val="none" w:sz="0" w:space="0" w:color="auto"/>
                <w:left w:val="none" w:sz="0" w:space="0" w:color="auto"/>
                <w:bottom w:val="none" w:sz="0" w:space="0" w:color="auto"/>
                <w:right w:val="none" w:sz="0" w:space="0" w:color="auto"/>
              </w:divBdr>
              <w:divsChild>
                <w:div w:id="245456914">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802889929">
          <w:marLeft w:val="0"/>
          <w:marRight w:val="0"/>
          <w:marTop w:val="0"/>
          <w:marBottom w:val="0"/>
          <w:divBdr>
            <w:top w:val="none" w:sz="0" w:space="0" w:color="auto"/>
            <w:left w:val="none" w:sz="0" w:space="0" w:color="auto"/>
            <w:bottom w:val="none" w:sz="0" w:space="0" w:color="auto"/>
            <w:right w:val="none" w:sz="0" w:space="0" w:color="auto"/>
          </w:divBdr>
          <w:divsChild>
            <w:div w:id="1274167709">
              <w:marLeft w:val="0"/>
              <w:marRight w:val="0"/>
              <w:marTop w:val="0"/>
              <w:marBottom w:val="120"/>
              <w:divBdr>
                <w:top w:val="none" w:sz="0" w:space="0" w:color="auto"/>
                <w:left w:val="none" w:sz="0" w:space="0" w:color="auto"/>
                <w:bottom w:val="none" w:sz="0" w:space="0" w:color="auto"/>
                <w:right w:val="none" w:sz="0" w:space="0" w:color="auto"/>
              </w:divBdr>
              <w:divsChild>
                <w:div w:id="1805349014">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026755729">
          <w:marLeft w:val="0"/>
          <w:marRight w:val="0"/>
          <w:marTop w:val="0"/>
          <w:marBottom w:val="0"/>
          <w:divBdr>
            <w:top w:val="none" w:sz="0" w:space="0" w:color="auto"/>
            <w:left w:val="none" w:sz="0" w:space="0" w:color="auto"/>
            <w:bottom w:val="none" w:sz="0" w:space="0" w:color="auto"/>
            <w:right w:val="none" w:sz="0" w:space="0" w:color="auto"/>
          </w:divBdr>
          <w:divsChild>
            <w:div w:id="385422362">
              <w:marLeft w:val="0"/>
              <w:marRight w:val="0"/>
              <w:marTop w:val="0"/>
              <w:marBottom w:val="120"/>
              <w:divBdr>
                <w:top w:val="none" w:sz="0" w:space="0" w:color="auto"/>
                <w:left w:val="none" w:sz="0" w:space="0" w:color="auto"/>
                <w:bottom w:val="none" w:sz="0" w:space="0" w:color="auto"/>
                <w:right w:val="none" w:sz="0" w:space="0" w:color="auto"/>
              </w:divBdr>
              <w:divsChild>
                <w:div w:id="1125588648">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257445593">
          <w:marLeft w:val="0"/>
          <w:marRight w:val="0"/>
          <w:marTop w:val="0"/>
          <w:marBottom w:val="0"/>
          <w:divBdr>
            <w:top w:val="none" w:sz="0" w:space="0" w:color="auto"/>
            <w:left w:val="none" w:sz="0" w:space="0" w:color="auto"/>
            <w:bottom w:val="none" w:sz="0" w:space="0" w:color="auto"/>
            <w:right w:val="none" w:sz="0" w:space="0" w:color="auto"/>
          </w:divBdr>
          <w:divsChild>
            <w:div w:id="152335980">
              <w:marLeft w:val="0"/>
              <w:marRight w:val="0"/>
              <w:marTop w:val="0"/>
              <w:marBottom w:val="120"/>
              <w:divBdr>
                <w:top w:val="none" w:sz="0" w:space="0" w:color="auto"/>
                <w:left w:val="none" w:sz="0" w:space="0" w:color="auto"/>
                <w:bottom w:val="none" w:sz="0" w:space="0" w:color="auto"/>
                <w:right w:val="none" w:sz="0" w:space="0" w:color="auto"/>
              </w:divBdr>
              <w:divsChild>
                <w:div w:id="852261980">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921675301">
          <w:marLeft w:val="0"/>
          <w:marRight w:val="0"/>
          <w:marTop w:val="0"/>
          <w:marBottom w:val="0"/>
          <w:divBdr>
            <w:top w:val="none" w:sz="0" w:space="0" w:color="auto"/>
            <w:left w:val="none" w:sz="0" w:space="0" w:color="auto"/>
            <w:bottom w:val="none" w:sz="0" w:space="0" w:color="auto"/>
            <w:right w:val="none" w:sz="0" w:space="0" w:color="auto"/>
          </w:divBdr>
          <w:divsChild>
            <w:div w:id="18360966">
              <w:marLeft w:val="0"/>
              <w:marRight w:val="0"/>
              <w:marTop w:val="0"/>
              <w:marBottom w:val="120"/>
              <w:divBdr>
                <w:top w:val="none" w:sz="0" w:space="0" w:color="auto"/>
                <w:left w:val="none" w:sz="0" w:space="0" w:color="auto"/>
                <w:bottom w:val="none" w:sz="0" w:space="0" w:color="auto"/>
                <w:right w:val="none" w:sz="0" w:space="0" w:color="auto"/>
              </w:divBdr>
              <w:divsChild>
                <w:div w:id="1492481302">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443811799">
          <w:marLeft w:val="0"/>
          <w:marRight w:val="0"/>
          <w:marTop w:val="0"/>
          <w:marBottom w:val="0"/>
          <w:divBdr>
            <w:top w:val="none" w:sz="0" w:space="0" w:color="auto"/>
            <w:left w:val="none" w:sz="0" w:space="0" w:color="auto"/>
            <w:bottom w:val="none" w:sz="0" w:space="0" w:color="auto"/>
            <w:right w:val="none" w:sz="0" w:space="0" w:color="auto"/>
          </w:divBdr>
          <w:divsChild>
            <w:div w:id="765689569">
              <w:marLeft w:val="0"/>
              <w:marRight w:val="0"/>
              <w:marTop w:val="0"/>
              <w:marBottom w:val="120"/>
              <w:divBdr>
                <w:top w:val="none" w:sz="0" w:space="0" w:color="auto"/>
                <w:left w:val="none" w:sz="0" w:space="0" w:color="auto"/>
                <w:bottom w:val="none" w:sz="0" w:space="0" w:color="auto"/>
                <w:right w:val="none" w:sz="0" w:space="0" w:color="auto"/>
              </w:divBdr>
              <w:divsChild>
                <w:div w:id="1939554833">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353389015">
          <w:marLeft w:val="0"/>
          <w:marRight w:val="0"/>
          <w:marTop w:val="0"/>
          <w:marBottom w:val="0"/>
          <w:divBdr>
            <w:top w:val="none" w:sz="0" w:space="0" w:color="auto"/>
            <w:left w:val="none" w:sz="0" w:space="0" w:color="auto"/>
            <w:bottom w:val="none" w:sz="0" w:space="0" w:color="auto"/>
            <w:right w:val="none" w:sz="0" w:space="0" w:color="auto"/>
          </w:divBdr>
          <w:divsChild>
            <w:div w:id="493226659">
              <w:marLeft w:val="0"/>
              <w:marRight w:val="0"/>
              <w:marTop w:val="0"/>
              <w:marBottom w:val="120"/>
              <w:divBdr>
                <w:top w:val="none" w:sz="0" w:space="0" w:color="auto"/>
                <w:left w:val="none" w:sz="0" w:space="0" w:color="auto"/>
                <w:bottom w:val="none" w:sz="0" w:space="0" w:color="auto"/>
                <w:right w:val="none" w:sz="0" w:space="0" w:color="auto"/>
              </w:divBdr>
              <w:divsChild>
                <w:div w:id="1084230477">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162164676">
          <w:marLeft w:val="0"/>
          <w:marRight w:val="0"/>
          <w:marTop w:val="0"/>
          <w:marBottom w:val="0"/>
          <w:divBdr>
            <w:top w:val="none" w:sz="0" w:space="0" w:color="auto"/>
            <w:left w:val="none" w:sz="0" w:space="0" w:color="auto"/>
            <w:bottom w:val="none" w:sz="0" w:space="0" w:color="auto"/>
            <w:right w:val="none" w:sz="0" w:space="0" w:color="auto"/>
          </w:divBdr>
          <w:divsChild>
            <w:div w:id="1243225142">
              <w:marLeft w:val="0"/>
              <w:marRight w:val="0"/>
              <w:marTop w:val="0"/>
              <w:marBottom w:val="120"/>
              <w:divBdr>
                <w:top w:val="none" w:sz="0" w:space="0" w:color="auto"/>
                <w:left w:val="none" w:sz="0" w:space="0" w:color="auto"/>
                <w:bottom w:val="none" w:sz="0" w:space="0" w:color="auto"/>
                <w:right w:val="none" w:sz="0" w:space="0" w:color="auto"/>
              </w:divBdr>
              <w:divsChild>
                <w:div w:id="1570266227">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640962946">
          <w:marLeft w:val="0"/>
          <w:marRight w:val="0"/>
          <w:marTop w:val="0"/>
          <w:marBottom w:val="0"/>
          <w:divBdr>
            <w:top w:val="none" w:sz="0" w:space="0" w:color="auto"/>
            <w:left w:val="none" w:sz="0" w:space="0" w:color="auto"/>
            <w:bottom w:val="none" w:sz="0" w:space="0" w:color="auto"/>
            <w:right w:val="none" w:sz="0" w:space="0" w:color="auto"/>
          </w:divBdr>
          <w:divsChild>
            <w:div w:id="1887520097">
              <w:marLeft w:val="0"/>
              <w:marRight w:val="0"/>
              <w:marTop w:val="0"/>
              <w:marBottom w:val="120"/>
              <w:divBdr>
                <w:top w:val="none" w:sz="0" w:space="0" w:color="auto"/>
                <w:left w:val="none" w:sz="0" w:space="0" w:color="auto"/>
                <w:bottom w:val="none" w:sz="0" w:space="0" w:color="auto"/>
                <w:right w:val="none" w:sz="0" w:space="0" w:color="auto"/>
              </w:divBdr>
              <w:divsChild>
                <w:div w:id="1082799541">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872497869">
          <w:marLeft w:val="0"/>
          <w:marRight w:val="0"/>
          <w:marTop w:val="0"/>
          <w:marBottom w:val="0"/>
          <w:divBdr>
            <w:top w:val="none" w:sz="0" w:space="0" w:color="auto"/>
            <w:left w:val="none" w:sz="0" w:space="0" w:color="auto"/>
            <w:bottom w:val="none" w:sz="0" w:space="0" w:color="auto"/>
            <w:right w:val="none" w:sz="0" w:space="0" w:color="auto"/>
          </w:divBdr>
          <w:divsChild>
            <w:div w:id="1206721319">
              <w:marLeft w:val="0"/>
              <w:marRight w:val="0"/>
              <w:marTop w:val="0"/>
              <w:marBottom w:val="120"/>
              <w:divBdr>
                <w:top w:val="none" w:sz="0" w:space="0" w:color="auto"/>
                <w:left w:val="none" w:sz="0" w:space="0" w:color="auto"/>
                <w:bottom w:val="none" w:sz="0" w:space="0" w:color="auto"/>
                <w:right w:val="none" w:sz="0" w:space="0" w:color="auto"/>
              </w:divBdr>
              <w:divsChild>
                <w:div w:id="104204504">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2105035365">
          <w:marLeft w:val="0"/>
          <w:marRight w:val="0"/>
          <w:marTop w:val="0"/>
          <w:marBottom w:val="0"/>
          <w:divBdr>
            <w:top w:val="none" w:sz="0" w:space="0" w:color="auto"/>
            <w:left w:val="none" w:sz="0" w:space="0" w:color="auto"/>
            <w:bottom w:val="none" w:sz="0" w:space="0" w:color="auto"/>
            <w:right w:val="none" w:sz="0" w:space="0" w:color="auto"/>
          </w:divBdr>
          <w:divsChild>
            <w:div w:id="650060098">
              <w:marLeft w:val="0"/>
              <w:marRight w:val="0"/>
              <w:marTop w:val="0"/>
              <w:marBottom w:val="120"/>
              <w:divBdr>
                <w:top w:val="none" w:sz="0" w:space="0" w:color="auto"/>
                <w:left w:val="none" w:sz="0" w:space="0" w:color="auto"/>
                <w:bottom w:val="none" w:sz="0" w:space="0" w:color="auto"/>
                <w:right w:val="none" w:sz="0" w:space="0" w:color="auto"/>
              </w:divBdr>
              <w:divsChild>
                <w:div w:id="1582252234">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459883783">
          <w:marLeft w:val="0"/>
          <w:marRight w:val="0"/>
          <w:marTop w:val="0"/>
          <w:marBottom w:val="0"/>
          <w:divBdr>
            <w:top w:val="none" w:sz="0" w:space="0" w:color="auto"/>
            <w:left w:val="none" w:sz="0" w:space="0" w:color="auto"/>
            <w:bottom w:val="none" w:sz="0" w:space="0" w:color="auto"/>
            <w:right w:val="none" w:sz="0" w:space="0" w:color="auto"/>
          </w:divBdr>
          <w:divsChild>
            <w:div w:id="1033923464">
              <w:marLeft w:val="0"/>
              <w:marRight w:val="0"/>
              <w:marTop w:val="0"/>
              <w:marBottom w:val="120"/>
              <w:divBdr>
                <w:top w:val="none" w:sz="0" w:space="0" w:color="auto"/>
                <w:left w:val="none" w:sz="0" w:space="0" w:color="auto"/>
                <w:bottom w:val="none" w:sz="0" w:space="0" w:color="auto"/>
                <w:right w:val="none" w:sz="0" w:space="0" w:color="auto"/>
              </w:divBdr>
              <w:divsChild>
                <w:div w:id="440876495">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676568878">
          <w:marLeft w:val="0"/>
          <w:marRight w:val="0"/>
          <w:marTop w:val="0"/>
          <w:marBottom w:val="0"/>
          <w:divBdr>
            <w:top w:val="none" w:sz="0" w:space="0" w:color="auto"/>
            <w:left w:val="none" w:sz="0" w:space="0" w:color="auto"/>
            <w:bottom w:val="none" w:sz="0" w:space="0" w:color="auto"/>
            <w:right w:val="none" w:sz="0" w:space="0" w:color="auto"/>
          </w:divBdr>
          <w:divsChild>
            <w:div w:id="1253584802">
              <w:marLeft w:val="0"/>
              <w:marRight w:val="0"/>
              <w:marTop w:val="0"/>
              <w:marBottom w:val="120"/>
              <w:divBdr>
                <w:top w:val="none" w:sz="0" w:space="0" w:color="auto"/>
                <w:left w:val="none" w:sz="0" w:space="0" w:color="auto"/>
                <w:bottom w:val="none" w:sz="0" w:space="0" w:color="auto"/>
                <w:right w:val="none" w:sz="0" w:space="0" w:color="auto"/>
              </w:divBdr>
              <w:divsChild>
                <w:div w:id="260727183">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922057809">
          <w:marLeft w:val="0"/>
          <w:marRight w:val="0"/>
          <w:marTop w:val="0"/>
          <w:marBottom w:val="0"/>
          <w:divBdr>
            <w:top w:val="none" w:sz="0" w:space="0" w:color="auto"/>
            <w:left w:val="none" w:sz="0" w:space="0" w:color="auto"/>
            <w:bottom w:val="none" w:sz="0" w:space="0" w:color="auto"/>
            <w:right w:val="none" w:sz="0" w:space="0" w:color="auto"/>
          </w:divBdr>
          <w:divsChild>
            <w:div w:id="802579279">
              <w:marLeft w:val="0"/>
              <w:marRight w:val="0"/>
              <w:marTop w:val="0"/>
              <w:marBottom w:val="120"/>
              <w:divBdr>
                <w:top w:val="none" w:sz="0" w:space="0" w:color="auto"/>
                <w:left w:val="none" w:sz="0" w:space="0" w:color="auto"/>
                <w:bottom w:val="none" w:sz="0" w:space="0" w:color="auto"/>
                <w:right w:val="none" w:sz="0" w:space="0" w:color="auto"/>
              </w:divBdr>
              <w:divsChild>
                <w:div w:id="731196634">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465971907">
          <w:marLeft w:val="0"/>
          <w:marRight w:val="0"/>
          <w:marTop w:val="0"/>
          <w:marBottom w:val="0"/>
          <w:divBdr>
            <w:top w:val="none" w:sz="0" w:space="0" w:color="auto"/>
            <w:left w:val="none" w:sz="0" w:space="0" w:color="auto"/>
            <w:bottom w:val="none" w:sz="0" w:space="0" w:color="auto"/>
            <w:right w:val="none" w:sz="0" w:space="0" w:color="auto"/>
          </w:divBdr>
          <w:divsChild>
            <w:div w:id="1319000051">
              <w:marLeft w:val="0"/>
              <w:marRight w:val="0"/>
              <w:marTop w:val="0"/>
              <w:marBottom w:val="120"/>
              <w:divBdr>
                <w:top w:val="none" w:sz="0" w:space="0" w:color="auto"/>
                <w:left w:val="none" w:sz="0" w:space="0" w:color="auto"/>
                <w:bottom w:val="none" w:sz="0" w:space="0" w:color="auto"/>
                <w:right w:val="none" w:sz="0" w:space="0" w:color="auto"/>
              </w:divBdr>
              <w:divsChild>
                <w:div w:id="916788628">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2038775704">
          <w:marLeft w:val="0"/>
          <w:marRight w:val="0"/>
          <w:marTop w:val="0"/>
          <w:marBottom w:val="0"/>
          <w:divBdr>
            <w:top w:val="none" w:sz="0" w:space="0" w:color="auto"/>
            <w:left w:val="none" w:sz="0" w:space="0" w:color="auto"/>
            <w:bottom w:val="none" w:sz="0" w:space="0" w:color="auto"/>
            <w:right w:val="none" w:sz="0" w:space="0" w:color="auto"/>
          </w:divBdr>
          <w:divsChild>
            <w:div w:id="1197237241">
              <w:marLeft w:val="0"/>
              <w:marRight w:val="0"/>
              <w:marTop w:val="0"/>
              <w:marBottom w:val="120"/>
              <w:divBdr>
                <w:top w:val="none" w:sz="0" w:space="0" w:color="auto"/>
                <w:left w:val="none" w:sz="0" w:space="0" w:color="auto"/>
                <w:bottom w:val="none" w:sz="0" w:space="0" w:color="auto"/>
                <w:right w:val="none" w:sz="0" w:space="0" w:color="auto"/>
              </w:divBdr>
              <w:divsChild>
                <w:div w:id="166755545">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975835724">
          <w:marLeft w:val="0"/>
          <w:marRight w:val="0"/>
          <w:marTop w:val="0"/>
          <w:marBottom w:val="0"/>
          <w:divBdr>
            <w:top w:val="none" w:sz="0" w:space="0" w:color="auto"/>
            <w:left w:val="none" w:sz="0" w:space="0" w:color="auto"/>
            <w:bottom w:val="none" w:sz="0" w:space="0" w:color="auto"/>
            <w:right w:val="none" w:sz="0" w:space="0" w:color="auto"/>
          </w:divBdr>
          <w:divsChild>
            <w:div w:id="113949735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396363366">
      <w:bodyDiv w:val="1"/>
      <w:marLeft w:val="0"/>
      <w:marRight w:val="0"/>
      <w:marTop w:val="0"/>
      <w:marBottom w:val="0"/>
      <w:divBdr>
        <w:top w:val="none" w:sz="0" w:space="0" w:color="auto"/>
        <w:left w:val="none" w:sz="0" w:space="0" w:color="auto"/>
        <w:bottom w:val="none" w:sz="0" w:space="0" w:color="auto"/>
        <w:right w:val="none" w:sz="0" w:space="0" w:color="auto"/>
      </w:divBdr>
    </w:div>
    <w:div w:id="406926599">
      <w:bodyDiv w:val="1"/>
      <w:marLeft w:val="0"/>
      <w:marRight w:val="0"/>
      <w:marTop w:val="0"/>
      <w:marBottom w:val="0"/>
      <w:divBdr>
        <w:top w:val="none" w:sz="0" w:space="0" w:color="auto"/>
        <w:left w:val="none" w:sz="0" w:space="0" w:color="auto"/>
        <w:bottom w:val="none" w:sz="0" w:space="0" w:color="auto"/>
        <w:right w:val="none" w:sz="0" w:space="0" w:color="auto"/>
      </w:divBdr>
      <w:divsChild>
        <w:div w:id="1952202617">
          <w:marLeft w:val="0"/>
          <w:marRight w:val="0"/>
          <w:marTop w:val="0"/>
          <w:marBottom w:val="360"/>
          <w:divBdr>
            <w:top w:val="none" w:sz="0" w:space="0" w:color="auto"/>
            <w:left w:val="none" w:sz="0" w:space="0" w:color="auto"/>
            <w:bottom w:val="none" w:sz="0" w:space="0" w:color="auto"/>
            <w:right w:val="none" w:sz="0" w:space="0" w:color="auto"/>
          </w:divBdr>
        </w:div>
      </w:divsChild>
    </w:div>
    <w:div w:id="643047317">
      <w:bodyDiv w:val="1"/>
      <w:marLeft w:val="0"/>
      <w:marRight w:val="0"/>
      <w:marTop w:val="0"/>
      <w:marBottom w:val="0"/>
      <w:divBdr>
        <w:top w:val="none" w:sz="0" w:space="0" w:color="auto"/>
        <w:left w:val="none" w:sz="0" w:space="0" w:color="auto"/>
        <w:bottom w:val="none" w:sz="0" w:space="0" w:color="auto"/>
        <w:right w:val="none" w:sz="0" w:space="0" w:color="auto"/>
      </w:divBdr>
      <w:divsChild>
        <w:div w:id="1860777912">
          <w:marLeft w:val="0"/>
          <w:marRight w:val="0"/>
          <w:marTop w:val="0"/>
          <w:marBottom w:val="0"/>
          <w:divBdr>
            <w:top w:val="none" w:sz="0" w:space="0" w:color="auto"/>
            <w:left w:val="none" w:sz="0" w:space="0" w:color="auto"/>
            <w:bottom w:val="none" w:sz="0" w:space="0" w:color="auto"/>
            <w:right w:val="none" w:sz="0" w:space="0" w:color="auto"/>
          </w:divBdr>
        </w:div>
      </w:divsChild>
    </w:div>
    <w:div w:id="804005793">
      <w:bodyDiv w:val="1"/>
      <w:marLeft w:val="0"/>
      <w:marRight w:val="0"/>
      <w:marTop w:val="0"/>
      <w:marBottom w:val="0"/>
      <w:divBdr>
        <w:top w:val="none" w:sz="0" w:space="0" w:color="auto"/>
        <w:left w:val="none" w:sz="0" w:space="0" w:color="auto"/>
        <w:bottom w:val="none" w:sz="0" w:space="0" w:color="auto"/>
        <w:right w:val="none" w:sz="0" w:space="0" w:color="auto"/>
      </w:divBdr>
    </w:div>
    <w:div w:id="821966447">
      <w:bodyDiv w:val="1"/>
      <w:marLeft w:val="0"/>
      <w:marRight w:val="0"/>
      <w:marTop w:val="0"/>
      <w:marBottom w:val="0"/>
      <w:divBdr>
        <w:top w:val="none" w:sz="0" w:space="0" w:color="auto"/>
        <w:left w:val="none" w:sz="0" w:space="0" w:color="auto"/>
        <w:bottom w:val="none" w:sz="0" w:space="0" w:color="auto"/>
        <w:right w:val="none" w:sz="0" w:space="0" w:color="auto"/>
      </w:divBdr>
      <w:divsChild>
        <w:div w:id="938219085">
          <w:marLeft w:val="0"/>
          <w:marRight w:val="0"/>
          <w:marTop w:val="0"/>
          <w:marBottom w:val="0"/>
          <w:divBdr>
            <w:top w:val="none" w:sz="0" w:space="0" w:color="auto"/>
            <w:left w:val="none" w:sz="0" w:space="0" w:color="auto"/>
            <w:bottom w:val="none" w:sz="0" w:space="0" w:color="auto"/>
            <w:right w:val="none" w:sz="0" w:space="0" w:color="auto"/>
          </w:divBdr>
          <w:divsChild>
            <w:div w:id="799150139">
              <w:marLeft w:val="0"/>
              <w:marRight w:val="0"/>
              <w:marTop w:val="0"/>
              <w:marBottom w:val="120"/>
              <w:divBdr>
                <w:top w:val="none" w:sz="0" w:space="0" w:color="auto"/>
                <w:left w:val="none" w:sz="0" w:space="0" w:color="auto"/>
                <w:bottom w:val="none" w:sz="0" w:space="0" w:color="auto"/>
                <w:right w:val="none" w:sz="0" w:space="0" w:color="auto"/>
              </w:divBdr>
              <w:divsChild>
                <w:div w:id="1817531819">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2040079424">
          <w:marLeft w:val="0"/>
          <w:marRight w:val="0"/>
          <w:marTop w:val="0"/>
          <w:marBottom w:val="0"/>
          <w:divBdr>
            <w:top w:val="none" w:sz="0" w:space="0" w:color="auto"/>
            <w:left w:val="none" w:sz="0" w:space="0" w:color="auto"/>
            <w:bottom w:val="none" w:sz="0" w:space="0" w:color="auto"/>
            <w:right w:val="none" w:sz="0" w:space="0" w:color="auto"/>
          </w:divBdr>
          <w:divsChild>
            <w:div w:id="1192379660">
              <w:marLeft w:val="0"/>
              <w:marRight w:val="0"/>
              <w:marTop w:val="0"/>
              <w:marBottom w:val="120"/>
              <w:divBdr>
                <w:top w:val="none" w:sz="0" w:space="0" w:color="auto"/>
                <w:left w:val="none" w:sz="0" w:space="0" w:color="auto"/>
                <w:bottom w:val="none" w:sz="0" w:space="0" w:color="auto"/>
                <w:right w:val="none" w:sz="0" w:space="0" w:color="auto"/>
              </w:divBdr>
              <w:divsChild>
                <w:div w:id="684944183">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353196601">
          <w:marLeft w:val="0"/>
          <w:marRight w:val="0"/>
          <w:marTop w:val="0"/>
          <w:marBottom w:val="0"/>
          <w:divBdr>
            <w:top w:val="none" w:sz="0" w:space="0" w:color="auto"/>
            <w:left w:val="none" w:sz="0" w:space="0" w:color="auto"/>
            <w:bottom w:val="none" w:sz="0" w:space="0" w:color="auto"/>
            <w:right w:val="none" w:sz="0" w:space="0" w:color="auto"/>
          </w:divBdr>
          <w:divsChild>
            <w:div w:id="1951937070">
              <w:marLeft w:val="0"/>
              <w:marRight w:val="0"/>
              <w:marTop w:val="0"/>
              <w:marBottom w:val="120"/>
              <w:divBdr>
                <w:top w:val="none" w:sz="0" w:space="0" w:color="auto"/>
                <w:left w:val="none" w:sz="0" w:space="0" w:color="auto"/>
                <w:bottom w:val="none" w:sz="0" w:space="0" w:color="auto"/>
                <w:right w:val="none" w:sz="0" w:space="0" w:color="auto"/>
              </w:divBdr>
              <w:divsChild>
                <w:div w:id="1049374706">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992028196">
          <w:marLeft w:val="0"/>
          <w:marRight w:val="0"/>
          <w:marTop w:val="0"/>
          <w:marBottom w:val="0"/>
          <w:divBdr>
            <w:top w:val="none" w:sz="0" w:space="0" w:color="auto"/>
            <w:left w:val="none" w:sz="0" w:space="0" w:color="auto"/>
            <w:bottom w:val="none" w:sz="0" w:space="0" w:color="auto"/>
            <w:right w:val="none" w:sz="0" w:space="0" w:color="auto"/>
          </w:divBdr>
          <w:divsChild>
            <w:div w:id="707028957">
              <w:marLeft w:val="0"/>
              <w:marRight w:val="0"/>
              <w:marTop w:val="0"/>
              <w:marBottom w:val="120"/>
              <w:divBdr>
                <w:top w:val="none" w:sz="0" w:space="0" w:color="auto"/>
                <w:left w:val="none" w:sz="0" w:space="0" w:color="auto"/>
                <w:bottom w:val="none" w:sz="0" w:space="0" w:color="auto"/>
                <w:right w:val="none" w:sz="0" w:space="0" w:color="auto"/>
              </w:divBdr>
              <w:divsChild>
                <w:div w:id="1720199729">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390152237">
          <w:marLeft w:val="0"/>
          <w:marRight w:val="0"/>
          <w:marTop w:val="0"/>
          <w:marBottom w:val="0"/>
          <w:divBdr>
            <w:top w:val="none" w:sz="0" w:space="0" w:color="auto"/>
            <w:left w:val="none" w:sz="0" w:space="0" w:color="auto"/>
            <w:bottom w:val="none" w:sz="0" w:space="0" w:color="auto"/>
            <w:right w:val="none" w:sz="0" w:space="0" w:color="auto"/>
          </w:divBdr>
          <w:divsChild>
            <w:div w:id="676349287">
              <w:marLeft w:val="0"/>
              <w:marRight w:val="0"/>
              <w:marTop w:val="0"/>
              <w:marBottom w:val="120"/>
              <w:divBdr>
                <w:top w:val="none" w:sz="0" w:space="0" w:color="auto"/>
                <w:left w:val="none" w:sz="0" w:space="0" w:color="auto"/>
                <w:bottom w:val="none" w:sz="0" w:space="0" w:color="auto"/>
                <w:right w:val="none" w:sz="0" w:space="0" w:color="auto"/>
              </w:divBdr>
              <w:divsChild>
                <w:div w:id="1494829729">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981379949">
          <w:marLeft w:val="0"/>
          <w:marRight w:val="0"/>
          <w:marTop w:val="0"/>
          <w:marBottom w:val="0"/>
          <w:divBdr>
            <w:top w:val="none" w:sz="0" w:space="0" w:color="auto"/>
            <w:left w:val="none" w:sz="0" w:space="0" w:color="auto"/>
            <w:bottom w:val="none" w:sz="0" w:space="0" w:color="auto"/>
            <w:right w:val="none" w:sz="0" w:space="0" w:color="auto"/>
          </w:divBdr>
          <w:divsChild>
            <w:div w:id="1739087595">
              <w:marLeft w:val="0"/>
              <w:marRight w:val="0"/>
              <w:marTop w:val="0"/>
              <w:marBottom w:val="120"/>
              <w:divBdr>
                <w:top w:val="none" w:sz="0" w:space="0" w:color="auto"/>
                <w:left w:val="none" w:sz="0" w:space="0" w:color="auto"/>
                <w:bottom w:val="none" w:sz="0" w:space="0" w:color="auto"/>
                <w:right w:val="none" w:sz="0" w:space="0" w:color="auto"/>
              </w:divBdr>
              <w:divsChild>
                <w:div w:id="682786107">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730810617">
          <w:marLeft w:val="0"/>
          <w:marRight w:val="0"/>
          <w:marTop w:val="0"/>
          <w:marBottom w:val="0"/>
          <w:divBdr>
            <w:top w:val="none" w:sz="0" w:space="0" w:color="auto"/>
            <w:left w:val="none" w:sz="0" w:space="0" w:color="auto"/>
            <w:bottom w:val="none" w:sz="0" w:space="0" w:color="auto"/>
            <w:right w:val="none" w:sz="0" w:space="0" w:color="auto"/>
          </w:divBdr>
          <w:divsChild>
            <w:div w:id="1553349642">
              <w:marLeft w:val="0"/>
              <w:marRight w:val="0"/>
              <w:marTop w:val="0"/>
              <w:marBottom w:val="120"/>
              <w:divBdr>
                <w:top w:val="none" w:sz="0" w:space="0" w:color="auto"/>
                <w:left w:val="none" w:sz="0" w:space="0" w:color="auto"/>
                <w:bottom w:val="none" w:sz="0" w:space="0" w:color="auto"/>
                <w:right w:val="none" w:sz="0" w:space="0" w:color="auto"/>
              </w:divBdr>
              <w:divsChild>
                <w:div w:id="47120526">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416711338">
          <w:marLeft w:val="0"/>
          <w:marRight w:val="0"/>
          <w:marTop w:val="0"/>
          <w:marBottom w:val="0"/>
          <w:divBdr>
            <w:top w:val="none" w:sz="0" w:space="0" w:color="auto"/>
            <w:left w:val="none" w:sz="0" w:space="0" w:color="auto"/>
            <w:bottom w:val="none" w:sz="0" w:space="0" w:color="auto"/>
            <w:right w:val="none" w:sz="0" w:space="0" w:color="auto"/>
          </w:divBdr>
          <w:divsChild>
            <w:div w:id="23403751">
              <w:marLeft w:val="0"/>
              <w:marRight w:val="0"/>
              <w:marTop w:val="0"/>
              <w:marBottom w:val="120"/>
              <w:divBdr>
                <w:top w:val="none" w:sz="0" w:space="0" w:color="auto"/>
                <w:left w:val="none" w:sz="0" w:space="0" w:color="auto"/>
                <w:bottom w:val="none" w:sz="0" w:space="0" w:color="auto"/>
                <w:right w:val="none" w:sz="0" w:space="0" w:color="auto"/>
              </w:divBdr>
              <w:divsChild>
                <w:div w:id="1640761251">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253897976">
          <w:marLeft w:val="0"/>
          <w:marRight w:val="0"/>
          <w:marTop w:val="0"/>
          <w:marBottom w:val="0"/>
          <w:divBdr>
            <w:top w:val="none" w:sz="0" w:space="0" w:color="auto"/>
            <w:left w:val="none" w:sz="0" w:space="0" w:color="auto"/>
            <w:bottom w:val="none" w:sz="0" w:space="0" w:color="auto"/>
            <w:right w:val="none" w:sz="0" w:space="0" w:color="auto"/>
          </w:divBdr>
          <w:divsChild>
            <w:div w:id="1544751292">
              <w:marLeft w:val="0"/>
              <w:marRight w:val="0"/>
              <w:marTop w:val="0"/>
              <w:marBottom w:val="120"/>
              <w:divBdr>
                <w:top w:val="none" w:sz="0" w:space="0" w:color="auto"/>
                <w:left w:val="none" w:sz="0" w:space="0" w:color="auto"/>
                <w:bottom w:val="none" w:sz="0" w:space="0" w:color="auto"/>
                <w:right w:val="none" w:sz="0" w:space="0" w:color="auto"/>
              </w:divBdr>
              <w:divsChild>
                <w:div w:id="757216429">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580600903">
          <w:marLeft w:val="0"/>
          <w:marRight w:val="0"/>
          <w:marTop w:val="0"/>
          <w:marBottom w:val="0"/>
          <w:divBdr>
            <w:top w:val="none" w:sz="0" w:space="0" w:color="auto"/>
            <w:left w:val="none" w:sz="0" w:space="0" w:color="auto"/>
            <w:bottom w:val="none" w:sz="0" w:space="0" w:color="auto"/>
            <w:right w:val="none" w:sz="0" w:space="0" w:color="auto"/>
          </w:divBdr>
          <w:divsChild>
            <w:div w:id="865749431">
              <w:marLeft w:val="0"/>
              <w:marRight w:val="0"/>
              <w:marTop w:val="0"/>
              <w:marBottom w:val="120"/>
              <w:divBdr>
                <w:top w:val="none" w:sz="0" w:space="0" w:color="auto"/>
                <w:left w:val="none" w:sz="0" w:space="0" w:color="auto"/>
                <w:bottom w:val="none" w:sz="0" w:space="0" w:color="auto"/>
                <w:right w:val="none" w:sz="0" w:space="0" w:color="auto"/>
              </w:divBdr>
              <w:divsChild>
                <w:div w:id="916477736">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2136480640">
          <w:marLeft w:val="0"/>
          <w:marRight w:val="0"/>
          <w:marTop w:val="0"/>
          <w:marBottom w:val="0"/>
          <w:divBdr>
            <w:top w:val="none" w:sz="0" w:space="0" w:color="auto"/>
            <w:left w:val="none" w:sz="0" w:space="0" w:color="auto"/>
            <w:bottom w:val="none" w:sz="0" w:space="0" w:color="auto"/>
            <w:right w:val="none" w:sz="0" w:space="0" w:color="auto"/>
          </w:divBdr>
          <w:divsChild>
            <w:div w:id="149055689">
              <w:marLeft w:val="0"/>
              <w:marRight w:val="0"/>
              <w:marTop w:val="0"/>
              <w:marBottom w:val="120"/>
              <w:divBdr>
                <w:top w:val="none" w:sz="0" w:space="0" w:color="auto"/>
                <w:left w:val="none" w:sz="0" w:space="0" w:color="auto"/>
                <w:bottom w:val="none" w:sz="0" w:space="0" w:color="auto"/>
                <w:right w:val="none" w:sz="0" w:space="0" w:color="auto"/>
              </w:divBdr>
              <w:divsChild>
                <w:div w:id="67043608">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82268612">
          <w:marLeft w:val="0"/>
          <w:marRight w:val="0"/>
          <w:marTop w:val="0"/>
          <w:marBottom w:val="0"/>
          <w:divBdr>
            <w:top w:val="none" w:sz="0" w:space="0" w:color="auto"/>
            <w:left w:val="none" w:sz="0" w:space="0" w:color="auto"/>
            <w:bottom w:val="none" w:sz="0" w:space="0" w:color="auto"/>
            <w:right w:val="none" w:sz="0" w:space="0" w:color="auto"/>
          </w:divBdr>
          <w:divsChild>
            <w:div w:id="1325627854">
              <w:marLeft w:val="0"/>
              <w:marRight w:val="0"/>
              <w:marTop w:val="0"/>
              <w:marBottom w:val="120"/>
              <w:divBdr>
                <w:top w:val="none" w:sz="0" w:space="0" w:color="auto"/>
                <w:left w:val="none" w:sz="0" w:space="0" w:color="auto"/>
                <w:bottom w:val="none" w:sz="0" w:space="0" w:color="auto"/>
                <w:right w:val="none" w:sz="0" w:space="0" w:color="auto"/>
              </w:divBdr>
              <w:divsChild>
                <w:div w:id="2075855444">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646737102">
          <w:marLeft w:val="0"/>
          <w:marRight w:val="0"/>
          <w:marTop w:val="0"/>
          <w:marBottom w:val="0"/>
          <w:divBdr>
            <w:top w:val="none" w:sz="0" w:space="0" w:color="auto"/>
            <w:left w:val="none" w:sz="0" w:space="0" w:color="auto"/>
            <w:bottom w:val="none" w:sz="0" w:space="0" w:color="auto"/>
            <w:right w:val="none" w:sz="0" w:space="0" w:color="auto"/>
          </w:divBdr>
          <w:divsChild>
            <w:div w:id="617838246">
              <w:marLeft w:val="0"/>
              <w:marRight w:val="0"/>
              <w:marTop w:val="0"/>
              <w:marBottom w:val="120"/>
              <w:divBdr>
                <w:top w:val="none" w:sz="0" w:space="0" w:color="auto"/>
                <w:left w:val="none" w:sz="0" w:space="0" w:color="auto"/>
                <w:bottom w:val="none" w:sz="0" w:space="0" w:color="auto"/>
                <w:right w:val="none" w:sz="0" w:space="0" w:color="auto"/>
              </w:divBdr>
              <w:divsChild>
                <w:div w:id="1731029604">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873883144">
          <w:marLeft w:val="0"/>
          <w:marRight w:val="0"/>
          <w:marTop w:val="0"/>
          <w:marBottom w:val="0"/>
          <w:divBdr>
            <w:top w:val="none" w:sz="0" w:space="0" w:color="auto"/>
            <w:left w:val="none" w:sz="0" w:space="0" w:color="auto"/>
            <w:bottom w:val="none" w:sz="0" w:space="0" w:color="auto"/>
            <w:right w:val="none" w:sz="0" w:space="0" w:color="auto"/>
          </w:divBdr>
          <w:divsChild>
            <w:div w:id="1520898819">
              <w:marLeft w:val="0"/>
              <w:marRight w:val="0"/>
              <w:marTop w:val="0"/>
              <w:marBottom w:val="120"/>
              <w:divBdr>
                <w:top w:val="none" w:sz="0" w:space="0" w:color="auto"/>
                <w:left w:val="none" w:sz="0" w:space="0" w:color="auto"/>
                <w:bottom w:val="none" w:sz="0" w:space="0" w:color="auto"/>
                <w:right w:val="none" w:sz="0" w:space="0" w:color="auto"/>
              </w:divBdr>
              <w:divsChild>
                <w:div w:id="513616187">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126312426">
          <w:marLeft w:val="0"/>
          <w:marRight w:val="0"/>
          <w:marTop w:val="0"/>
          <w:marBottom w:val="0"/>
          <w:divBdr>
            <w:top w:val="none" w:sz="0" w:space="0" w:color="auto"/>
            <w:left w:val="none" w:sz="0" w:space="0" w:color="auto"/>
            <w:bottom w:val="none" w:sz="0" w:space="0" w:color="auto"/>
            <w:right w:val="none" w:sz="0" w:space="0" w:color="auto"/>
          </w:divBdr>
          <w:divsChild>
            <w:div w:id="436679398">
              <w:marLeft w:val="0"/>
              <w:marRight w:val="0"/>
              <w:marTop w:val="0"/>
              <w:marBottom w:val="120"/>
              <w:divBdr>
                <w:top w:val="none" w:sz="0" w:space="0" w:color="auto"/>
                <w:left w:val="none" w:sz="0" w:space="0" w:color="auto"/>
                <w:bottom w:val="none" w:sz="0" w:space="0" w:color="auto"/>
                <w:right w:val="none" w:sz="0" w:space="0" w:color="auto"/>
              </w:divBdr>
              <w:divsChild>
                <w:div w:id="1242984893">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079713381">
          <w:marLeft w:val="0"/>
          <w:marRight w:val="0"/>
          <w:marTop w:val="0"/>
          <w:marBottom w:val="0"/>
          <w:divBdr>
            <w:top w:val="none" w:sz="0" w:space="0" w:color="auto"/>
            <w:left w:val="none" w:sz="0" w:space="0" w:color="auto"/>
            <w:bottom w:val="none" w:sz="0" w:space="0" w:color="auto"/>
            <w:right w:val="none" w:sz="0" w:space="0" w:color="auto"/>
          </w:divBdr>
          <w:divsChild>
            <w:div w:id="567308294">
              <w:marLeft w:val="0"/>
              <w:marRight w:val="0"/>
              <w:marTop w:val="0"/>
              <w:marBottom w:val="120"/>
              <w:divBdr>
                <w:top w:val="none" w:sz="0" w:space="0" w:color="auto"/>
                <w:left w:val="none" w:sz="0" w:space="0" w:color="auto"/>
                <w:bottom w:val="none" w:sz="0" w:space="0" w:color="auto"/>
                <w:right w:val="none" w:sz="0" w:space="0" w:color="auto"/>
              </w:divBdr>
              <w:divsChild>
                <w:div w:id="403263631">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326173987">
          <w:marLeft w:val="0"/>
          <w:marRight w:val="0"/>
          <w:marTop w:val="0"/>
          <w:marBottom w:val="0"/>
          <w:divBdr>
            <w:top w:val="none" w:sz="0" w:space="0" w:color="auto"/>
            <w:left w:val="none" w:sz="0" w:space="0" w:color="auto"/>
            <w:bottom w:val="none" w:sz="0" w:space="0" w:color="auto"/>
            <w:right w:val="none" w:sz="0" w:space="0" w:color="auto"/>
          </w:divBdr>
          <w:divsChild>
            <w:div w:id="1224028621">
              <w:marLeft w:val="0"/>
              <w:marRight w:val="0"/>
              <w:marTop w:val="0"/>
              <w:marBottom w:val="120"/>
              <w:divBdr>
                <w:top w:val="none" w:sz="0" w:space="0" w:color="auto"/>
                <w:left w:val="none" w:sz="0" w:space="0" w:color="auto"/>
                <w:bottom w:val="none" w:sz="0" w:space="0" w:color="auto"/>
                <w:right w:val="none" w:sz="0" w:space="0" w:color="auto"/>
              </w:divBdr>
              <w:divsChild>
                <w:div w:id="265966189">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996907175">
          <w:marLeft w:val="0"/>
          <w:marRight w:val="0"/>
          <w:marTop w:val="0"/>
          <w:marBottom w:val="0"/>
          <w:divBdr>
            <w:top w:val="none" w:sz="0" w:space="0" w:color="auto"/>
            <w:left w:val="none" w:sz="0" w:space="0" w:color="auto"/>
            <w:bottom w:val="none" w:sz="0" w:space="0" w:color="auto"/>
            <w:right w:val="none" w:sz="0" w:space="0" w:color="auto"/>
          </w:divBdr>
          <w:divsChild>
            <w:div w:id="1541742517">
              <w:marLeft w:val="0"/>
              <w:marRight w:val="0"/>
              <w:marTop w:val="0"/>
              <w:marBottom w:val="120"/>
              <w:divBdr>
                <w:top w:val="none" w:sz="0" w:space="0" w:color="auto"/>
                <w:left w:val="none" w:sz="0" w:space="0" w:color="auto"/>
                <w:bottom w:val="none" w:sz="0" w:space="0" w:color="auto"/>
                <w:right w:val="none" w:sz="0" w:space="0" w:color="auto"/>
              </w:divBdr>
              <w:divsChild>
                <w:div w:id="521086838">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340160577">
          <w:marLeft w:val="0"/>
          <w:marRight w:val="0"/>
          <w:marTop w:val="0"/>
          <w:marBottom w:val="0"/>
          <w:divBdr>
            <w:top w:val="none" w:sz="0" w:space="0" w:color="auto"/>
            <w:left w:val="none" w:sz="0" w:space="0" w:color="auto"/>
            <w:bottom w:val="none" w:sz="0" w:space="0" w:color="auto"/>
            <w:right w:val="none" w:sz="0" w:space="0" w:color="auto"/>
          </w:divBdr>
          <w:divsChild>
            <w:div w:id="430201521">
              <w:marLeft w:val="0"/>
              <w:marRight w:val="0"/>
              <w:marTop w:val="0"/>
              <w:marBottom w:val="120"/>
              <w:divBdr>
                <w:top w:val="none" w:sz="0" w:space="0" w:color="auto"/>
                <w:left w:val="none" w:sz="0" w:space="0" w:color="auto"/>
                <w:bottom w:val="none" w:sz="0" w:space="0" w:color="auto"/>
                <w:right w:val="none" w:sz="0" w:space="0" w:color="auto"/>
              </w:divBdr>
              <w:divsChild>
                <w:div w:id="1057969018">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846555080">
          <w:marLeft w:val="0"/>
          <w:marRight w:val="0"/>
          <w:marTop w:val="0"/>
          <w:marBottom w:val="0"/>
          <w:divBdr>
            <w:top w:val="none" w:sz="0" w:space="0" w:color="auto"/>
            <w:left w:val="none" w:sz="0" w:space="0" w:color="auto"/>
            <w:bottom w:val="none" w:sz="0" w:space="0" w:color="auto"/>
            <w:right w:val="none" w:sz="0" w:space="0" w:color="auto"/>
          </w:divBdr>
          <w:divsChild>
            <w:div w:id="1327976049">
              <w:marLeft w:val="0"/>
              <w:marRight w:val="0"/>
              <w:marTop w:val="0"/>
              <w:marBottom w:val="120"/>
              <w:divBdr>
                <w:top w:val="none" w:sz="0" w:space="0" w:color="auto"/>
                <w:left w:val="none" w:sz="0" w:space="0" w:color="auto"/>
                <w:bottom w:val="none" w:sz="0" w:space="0" w:color="auto"/>
                <w:right w:val="none" w:sz="0" w:space="0" w:color="auto"/>
              </w:divBdr>
              <w:divsChild>
                <w:div w:id="1572153679">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310403876">
          <w:marLeft w:val="0"/>
          <w:marRight w:val="0"/>
          <w:marTop w:val="0"/>
          <w:marBottom w:val="0"/>
          <w:divBdr>
            <w:top w:val="none" w:sz="0" w:space="0" w:color="auto"/>
            <w:left w:val="none" w:sz="0" w:space="0" w:color="auto"/>
            <w:bottom w:val="none" w:sz="0" w:space="0" w:color="auto"/>
            <w:right w:val="none" w:sz="0" w:space="0" w:color="auto"/>
          </w:divBdr>
          <w:divsChild>
            <w:div w:id="378020450">
              <w:marLeft w:val="0"/>
              <w:marRight w:val="0"/>
              <w:marTop w:val="0"/>
              <w:marBottom w:val="120"/>
              <w:divBdr>
                <w:top w:val="none" w:sz="0" w:space="0" w:color="auto"/>
                <w:left w:val="none" w:sz="0" w:space="0" w:color="auto"/>
                <w:bottom w:val="none" w:sz="0" w:space="0" w:color="auto"/>
                <w:right w:val="none" w:sz="0" w:space="0" w:color="auto"/>
              </w:divBdr>
              <w:divsChild>
                <w:div w:id="1303774843">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168786731">
          <w:marLeft w:val="0"/>
          <w:marRight w:val="0"/>
          <w:marTop w:val="0"/>
          <w:marBottom w:val="0"/>
          <w:divBdr>
            <w:top w:val="none" w:sz="0" w:space="0" w:color="auto"/>
            <w:left w:val="none" w:sz="0" w:space="0" w:color="auto"/>
            <w:bottom w:val="none" w:sz="0" w:space="0" w:color="auto"/>
            <w:right w:val="none" w:sz="0" w:space="0" w:color="auto"/>
          </w:divBdr>
          <w:divsChild>
            <w:div w:id="1818373909">
              <w:marLeft w:val="0"/>
              <w:marRight w:val="0"/>
              <w:marTop w:val="0"/>
              <w:marBottom w:val="120"/>
              <w:divBdr>
                <w:top w:val="none" w:sz="0" w:space="0" w:color="auto"/>
                <w:left w:val="none" w:sz="0" w:space="0" w:color="auto"/>
                <w:bottom w:val="none" w:sz="0" w:space="0" w:color="auto"/>
                <w:right w:val="none" w:sz="0" w:space="0" w:color="auto"/>
              </w:divBdr>
              <w:divsChild>
                <w:div w:id="2070491215">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505482590">
          <w:marLeft w:val="0"/>
          <w:marRight w:val="0"/>
          <w:marTop w:val="0"/>
          <w:marBottom w:val="0"/>
          <w:divBdr>
            <w:top w:val="none" w:sz="0" w:space="0" w:color="auto"/>
            <w:left w:val="none" w:sz="0" w:space="0" w:color="auto"/>
            <w:bottom w:val="none" w:sz="0" w:space="0" w:color="auto"/>
            <w:right w:val="none" w:sz="0" w:space="0" w:color="auto"/>
          </w:divBdr>
          <w:divsChild>
            <w:div w:id="2030521814">
              <w:marLeft w:val="0"/>
              <w:marRight w:val="0"/>
              <w:marTop w:val="0"/>
              <w:marBottom w:val="120"/>
              <w:divBdr>
                <w:top w:val="none" w:sz="0" w:space="0" w:color="auto"/>
                <w:left w:val="none" w:sz="0" w:space="0" w:color="auto"/>
                <w:bottom w:val="none" w:sz="0" w:space="0" w:color="auto"/>
                <w:right w:val="none" w:sz="0" w:space="0" w:color="auto"/>
              </w:divBdr>
              <w:divsChild>
                <w:div w:id="223175957">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240020219">
          <w:marLeft w:val="0"/>
          <w:marRight w:val="0"/>
          <w:marTop w:val="0"/>
          <w:marBottom w:val="0"/>
          <w:divBdr>
            <w:top w:val="none" w:sz="0" w:space="0" w:color="auto"/>
            <w:left w:val="none" w:sz="0" w:space="0" w:color="auto"/>
            <w:bottom w:val="none" w:sz="0" w:space="0" w:color="auto"/>
            <w:right w:val="none" w:sz="0" w:space="0" w:color="auto"/>
          </w:divBdr>
          <w:divsChild>
            <w:div w:id="1556117449">
              <w:marLeft w:val="0"/>
              <w:marRight w:val="0"/>
              <w:marTop w:val="0"/>
              <w:marBottom w:val="120"/>
              <w:divBdr>
                <w:top w:val="none" w:sz="0" w:space="0" w:color="auto"/>
                <w:left w:val="none" w:sz="0" w:space="0" w:color="auto"/>
                <w:bottom w:val="none" w:sz="0" w:space="0" w:color="auto"/>
                <w:right w:val="none" w:sz="0" w:space="0" w:color="auto"/>
              </w:divBdr>
              <w:divsChild>
                <w:div w:id="1351293382">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914976623">
          <w:marLeft w:val="0"/>
          <w:marRight w:val="0"/>
          <w:marTop w:val="0"/>
          <w:marBottom w:val="0"/>
          <w:divBdr>
            <w:top w:val="none" w:sz="0" w:space="0" w:color="auto"/>
            <w:left w:val="none" w:sz="0" w:space="0" w:color="auto"/>
            <w:bottom w:val="none" w:sz="0" w:space="0" w:color="auto"/>
            <w:right w:val="none" w:sz="0" w:space="0" w:color="auto"/>
          </w:divBdr>
          <w:divsChild>
            <w:div w:id="1493178151">
              <w:marLeft w:val="0"/>
              <w:marRight w:val="0"/>
              <w:marTop w:val="0"/>
              <w:marBottom w:val="120"/>
              <w:divBdr>
                <w:top w:val="none" w:sz="0" w:space="0" w:color="auto"/>
                <w:left w:val="none" w:sz="0" w:space="0" w:color="auto"/>
                <w:bottom w:val="none" w:sz="0" w:space="0" w:color="auto"/>
                <w:right w:val="none" w:sz="0" w:space="0" w:color="auto"/>
              </w:divBdr>
              <w:divsChild>
                <w:div w:id="978146893">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470100519">
          <w:marLeft w:val="0"/>
          <w:marRight w:val="0"/>
          <w:marTop w:val="0"/>
          <w:marBottom w:val="0"/>
          <w:divBdr>
            <w:top w:val="none" w:sz="0" w:space="0" w:color="auto"/>
            <w:left w:val="none" w:sz="0" w:space="0" w:color="auto"/>
            <w:bottom w:val="none" w:sz="0" w:space="0" w:color="auto"/>
            <w:right w:val="none" w:sz="0" w:space="0" w:color="auto"/>
          </w:divBdr>
          <w:divsChild>
            <w:div w:id="1792236628">
              <w:marLeft w:val="0"/>
              <w:marRight w:val="0"/>
              <w:marTop w:val="0"/>
              <w:marBottom w:val="120"/>
              <w:divBdr>
                <w:top w:val="none" w:sz="0" w:space="0" w:color="auto"/>
                <w:left w:val="none" w:sz="0" w:space="0" w:color="auto"/>
                <w:bottom w:val="none" w:sz="0" w:space="0" w:color="auto"/>
                <w:right w:val="none" w:sz="0" w:space="0" w:color="auto"/>
              </w:divBdr>
              <w:divsChild>
                <w:div w:id="661007573">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989896292">
          <w:marLeft w:val="0"/>
          <w:marRight w:val="0"/>
          <w:marTop w:val="0"/>
          <w:marBottom w:val="0"/>
          <w:divBdr>
            <w:top w:val="none" w:sz="0" w:space="0" w:color="auto"/>
            <w:left w:val="none" w:sz="0" w:space="0" w:color="auto"/>
            <w:bottom w:val="none" w:sz="0" w:space="0" w:color="auto"/>
            <w:right w:val="none" w:sz="0" w:space="0" w:color="auto"/>
          </w:divBdr>
          <w:divsChild>
            <w:div w:id="220167563">
              <w:marLeft w:val="0"/>
              <w:marRight w:val="0"/>
              <w:marTop w:val="0"/>
              <w:marBottom w:val="120"/>
              <w:divBdr>
                <w:top w:val="none" w:sz="0" w:space="0" w:color="auto"/>
                <w:left w:val="none" w:sz="0" w:space="0" w:color="auto"/>
                <w:bottom w:val="none" w:sz="0" w:space="0" w:color="auto"/>
                <w:right w:val="none" w:sz="0" w:space="0" w:color="auto"/>
              </w:divBdr>
              <w:divsChild>
                <w:div w:id="744496931">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536355764">
          <w:marLeft w:val="0"/>
          <w:marRight w:val="0"/>
          <w:marTop w:val="0"/>
          <w:marBottom w:val="0"/>
          <w:divBdr>
            <w:top w:val="none" w:sz="0" w:space="0" w:color="auto"/>
            <w:left w:val="none" w:sz="0" w:space="0" w:color="auto"/>
            <w:bottom w:val="none" w:sz="0" w:space="0" w:color="auto"/>
            <w:right w:val="none" w:sz="0" w:space="0" w:color="auto"/>
          </w:divBdr>
          <w:divsChild>
            <w:div w:id="2101489424">
              <w:marLeft w:val="0"/>
              <w:marRight w:val="0"/>
              <w:marTop w:val="0"/>
              <w:marBottom w:val="120"/>
              <w:divBdr>
                <w:top w:val="none" w:sz="0" w:space="0" w:color="auto"/>
                <w:left w:val="none" w:sz="0" w:space="0" w:color="auto"/>
                <w:bottom w:val="none" w:sz="0" w:space="0" w:color="auto"/>
                <w:right w:val="none" w:sz="0" w:space="0" w:color="auto"/>
              </w:divBdr>
              <w:divsChild>
                <w:div w:id="1724521270">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508248406">
          <w:marLeft w:val="0"/>
          <w:marRight w:val="0"/>
          <w:marTop w:val="0"/>
          <w:marBottom w:val="0"/>
          <w:divBdr>
            <w:top w:val="none" w:sz="0" w:space="0" w:color="auto"/>
            <w:left w:val="none" w:sz="0" w:space="0" w:color="auto"/>
            <w:bottom w:val="none" w:sz="0" w:space="0" w:color="auto"/>
            <w:right w:val="none" w:sz="0" w:space="0" w:color="auto"/>
          </w:divBdr>
          <w:divsChild>
            <w:div w:id="714089256">
              <w:marLeft w:val="0"/>
              <w:marRight w:val="0"/>
              <w:marTop w:val="0"/>
              <w:marBottom w:val="120"/>
              <w:divBdr>
                <w:top w:val="none" w:sz="0" w:space="0" w:color="auto"/>
                <w:left w:val="none" w:sz="0" w:space="0" w:color="auto"/>
                <w:bottom w:val="none" w:sz="0" w:space="0" w:color="auto"/>
                <w:right w:val="none" w:sz="0" w:space="0" w:color="auto"/>
              </w:divBdr>
              <w:divsChild>
                <w:div w:id="952595105">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963153486">
          <w:marLeft w:val="0"/>
          <w:marRight w:val="0"/>
          <w:marTop w:val="0"/>
          <w:marBottom w:val="0"/>
          <w:divBdr>
            <w:top w:val="none" w:sz="0" w:space="0" w:color="auto"/>
            <w:left w:val="none" w:sz="0" w:space="0" w:color="auto"/>
            <w:bottom w:val="none" w:sz="0" w:space="0" w:color="auto"/>
            <w:right w:val="none" w:sz="0" w:space="0" w:color="auto"/>
          </w:divBdr>
          <w:divsChild>
            <w:div w:id="1834563658">
              <w:marLeft w:val="0"/>
              <w:marRight w:val="0"/>
              <w:marTop w:val="0"/>
              <w:marBottom w:val="120"/>
              <w:divBdr>
                <w:top w:val="none" w:sz="0" w:space="0" w:color="auto"/>
                <w:left w:val="none" w:sz="0" w:space="0" w:color="auto"/>
                <w:bottom w:val="none" w:sz="0" w:space="0" w:color="auto"/>
                <w:right w:val="none" w:sz="0" w:space="0" w:color="auto"/>
              </w:divBdr>
              <w:divsChild>
                <w:div w:id="1543130684">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221528230">
          <w:marLeft w:val="0"/>
          <w:marRight w:val="0"/>
          <w:marTop w:val="0"/>
          <w:marBottom w:val="0"/>
          <w:divBdr>
            <w:top w:val="none" w:sz="0" w:space="0" w:color="auto"/>
            <w:left w:val="none" w:sz="0" w:space="0" w:color="auto"/>
            <w:bottom w:val="none" w:sz="0" w:space="0" w:color="auto"/>
            <w:right w:val="none" w:sz="0" w:space="0" w:color="auto"/>
          </w:divBdr>
          <w:divsChild>
            <w:div w:id="2016685847">
              <w:marLeft w:val="0"/>
              <w:marRight w:val="0"/>
              <w:marTop w:val="0"/>
              <w:marBottom w:val="120"/>
              <w:divBdr>
                <w:top w:val="none" w:sz="0" w:space="0" w:color="auto"/>
                <w:left w:val="none" w:sz="0" w:space="0" w:color="auto"/>
                <w:bottom w:val="none" w:sz="0" w:space="0" w:color="auto"/>
                <w:right w:val="none" w:sz="0" w:space="0" w:color="auto"/>
              </w:divBdr>
              <w:divsChild>
                <w:div w:id="1453595593">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697320765">
          <w:marLeft w:val="0"/>
          <w:marRight w:val="0"/>
          <w:marTop w:val="0"/>
          <w:marBottom w:val="0"/>
          <w:divBdr>
            <w:top w:val="none" w:sz="0" w:space="0" w:color="auto"/>
            <w:left w:val="none" w:sz="0" w:space="0" w:color="auto"/>
            <w:bottom w:val="none" w:sz="0" w:space="0" w:color="auto"/>
            <w:right w:val="none" w:sz="0" w:space="0" w:color="auto"/>
          </w:divBdr>
          <w:divsChild>
            <w:div w:id="762579159">
              <w:marLeft w:val="0"/>
              <w:marRight w:val="0"/>
              <w:marTop w:val="0"/>
              <w:marBottom w:val="120"/>
              <w:divBdr>
                <w:top w:val="none" w:sz="0" w:space="0" w:color="auto"/>
                <w:left w:val="none" w:sz="0" w:space="0" w:color="auto"/>
                <w:bottom w:val="none" w:sz="0" w:space="0" w:color="auto"/>
                <w:right w:val="none" w:sz="0" w:space="0" w:color="auto"/>
              </w:divBdr>
              <w:divsChild>
                <w:div w:id="1053240254">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283390730">
          <w:marLeft w:val="0"/>
          <w:marRight w:val="0"/>
          <w:marTop w:val="0"/>
          <w:marBottom w:val="0"/>
          <w:divBdr>
            <w:top w:val="none" w:sz="0" w:space="0" w:color="auto"/>
            <w:left w:val="none" w:sz="0" w:space="0" w:color="auto"/>
            <w:bottom w:val="none" w:sz="0" w:space="0" w:color="auto"/>
            <w:right w:val="none" w:sz="0" w:space="0" w:color="auto"/>
          </w:divBdr>
          <w:divsChild>
            <w:div w:id="2034650495">
              <w:marLeft w:val="0"/>
              <w:marRight w:val="0"/>
              <w:marTop w:val="0"/>
              <w:marBottom w:val="120"/>
              <w:divBdr>
                <w:top w:val="none" w:sz="0" w:space="0" w:color="auto"/>
                <w:left w:val="none" w:sz="0" w:space="0" w:color="auto"/>
                <w:bottom w:val="none" w:sz="0" w:space="0" w:color="auto"/>
                <w:right w:val="none" w:sz="0" w:space="0" w:color="auto"/>
              </w:divBdr>
              <w:divsChild>
                <w:div w:id="1054113207">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450635118">
          <w:marLeft w:val="0"/>
          <w:marRight w:val="0"/>
          <w:marTop w:val="0"/>
          <w:marBottom w:val="0"/>
          <w:divBdr>
            <w:top w:val="none" w:sz="0" w:space="0" w:color="auto"/>
            <w:left w:val="none" w:sz="0" w:space="0" w:color="auto"/>
            <w:bottom w:val="none" w:sz="0" w:space="0" w:color="auto"/>
            <w:right w:val="none" w:sz="0" w:space="0" w:color="auto"/>
          </w:divBdr>
          <w:divsChild>
            <w:div w:id="1172180383">
              <w:marLeft w:val="0"/>
              <w:marRight w:val="0"/>
              <w:marTop w:val="0"/>
              <w:marBottom w:val="120"/>
              <w:divBdr>
                <w:top w:val="none" w:sz="0" w:space="0" w:color="auto"/>
                <w:left w:val="none" w:sz="0" w:space="0" w:color="auto"/>
                <w:bottom w:val="none" w:sz="0" w:space="0" w:color="auto"/>
                <w:right w:val="none" w:sz="0" w:space="0" w:color="auto"/>
              </w:divBdr>
              <w:divsChild>
                <w:div w:id="326565996">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305281682">
          <w:marLeft w:val="0"/>
          <w:marRight w:val="0"/>
          <w:marTop w:val="0"/>
          <w:marBottom w:val="0"/>
          <w:divBdr>
            <w:top w:val="none" w:sz="0" w:space="0" w:color="auto"/>
            <w:left w:val="none" w:sz="0" w:space="0" w:color="auto"/>
            <w:bottom w:val="none" w:sz="0" w:space="0" w:color="auto"/>
            <w:right w:val="none" w:sz="0" w:space="0" w:color="auto"/>
          </w:divBdr>
          <w:divsChild>
            <w:div w:id="1983270698">
              <w:marLeft w:val="0"/>
              <w:marRight w:val="0"/>
              <w:marTop w:val="0"/>
              <w:marBottom w:val="120"/>
              <w:divBdr>
                <w:top w:val="none" w:sz="0" w:space="0" w:color="auto"/>
                <w:left w:val="none" w:sz="0" w:space="0" w:color="auto"/>
                <w:bottom w:val="none" w:sz="0" w:space="0" w:color="auto"/>
                <w:right w:val="none" w:sz="0" w:space="0" w:color="auto"/>
              </w:divBdr>
              <w:divsChild>
                <w:div w:id="1913809317">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893003005">
          <w:marLeft w:val="0"/>
          <w:marRight w:val="0"/>
          <w:marTop w:val="0"/>
          <w:marBottom w:val="0"/>
          <w:divBdr>
            <w:top w:val="none" w:sz="0" w:space="0" w:color="auto"/>
            <w:left w:val="none" w:sz="0" w:space="0" w:color="auto"/>
            <w:bottom w:val="none" w:sz="0" w:space="0" w:color="auto"/>
            <w:right w:val="none" w:sz="0" w:space="0" w:color="auto"/>
          </w:divBdr>
          <w:divsChild>
            <w:div w:id="138887841">
              <w:marLeft w:val="0"/>
              <w:marRight w:val="0"/>
              <w:marTop w:val="0"/>
              <w:marBottom w:val="120"/>
              <w:divBdr>
                <w:top w:val="none" w:sz="0" w:space="0" w:color="auto"/>
                <w:left w:val="none" w:sz="0" w:space="0" w:color="auto"/>
                <w:bottom w:val="none" w:sz="0" w:space="0" w:color="auto"/>
                <w:right w:val="none" w:sz="0" w:space="0" w:color="auto"/>
              </w:divBdr>
              <w:divsChild>
                <w:div w:id="2126147268">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728190157">
          <w:marLeft w:val="0"/>
          <w:marRight w:val="0"/>
          <w:marTop w:val="0"/>
          <w:marBottom w:val="0"/>
          <w:divBdr>
            <w:top w:val="none" w:sz="0" w:space="0" w:color="auto"/>
            <w:left w:val="none" w:sz="0" w:space="0" w:color="auto"/>
            <w:bottom w:val="none" w:sz="0" w:space="0" w:color="auto"/>
            <w:right w:val="none" w:sz="0" w:space="0" w:color="auto"/>
          </w:divBdr>
          <w:divsChild>
            <w:div w:id="1680934526">
              <w:marLeft w:val="0"/>
              <w:marRight w:val="0"/>
              <w:marTop w:val="0"/>
              <w:marBottom w:val="120"/>
              <w:divBdr>
                <w:top w:val="none" w:sz="0" w:space="0" w:color="auto"/>
                <w:left w:val="none" w:sz="0" w:space="0" w:color="auto"/>
                <w:bottom w:val="none" w:sz="0" w:space="0" w:color="auto"/>
                <w:right w:val="none" w:sz="0" w:space="0" w:color="auto"/>
              </w:divBdr>
              <w:divsChild>
                <w:div w:id="575557633">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815872926">
          <w:marLeft w:val="0"/>
          <w:marRight w:val="0"/>
          <w:marTop w:val="0"/>
          <w:marBottom w:val="0"/>
          <w:divBdr>
            <w:top w:val="none" w:sz="0" w:space="0" w:color="auto"/>
            <w:left w:val="none" w:sz="0" w:space="0" w:color="auto"/>
            <w:bottom w:val="none" w:sz="0" w:space="0" w:color="auto"/>
            <w:right w:val="none" w:sz="0" w:space="0" w:color="auto"/>
          </w:divBdr>
          <w:divsChild>
            <w:div w:id="987366153">
              <w:marLeft w:val="0"/>
              <w:marRight w:val="0"/>
              <w:marTop w:val="0"/>
              <w:marBottom w:val="120"/>
              <w:divBdr>
                <w:top w:val="none" w:sz="0" w:space="0" w:color="auto"/>
                <w:left w:val="none" w:sz="0" w:space="0" w:color="auto"/>
                <w:bottom w:val="none" w:sz="0" w:space="0" w:color="auto"/>
                <w:right w:val="none" w:sz="0" w:space="0" w:color="auto"/>
              </w:divBdr>
              <w:divsChild>
                <w:div w:id="13769544">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2030597466">
          <w:marLeft w:val="0"/>
          <w:marRight w:val="0"/>
          <w:marTop w:val="0"/>
          <w:marBottom w:val="0"/>
          <w:divBdr>
            <w:top w:val="none" w:sz="0" w:space="0" w:color="auto"/>
            <w:left w:val="none" w:sz="0" w:space="0" w:color="auto"/>
            <w:bottom w:val="none" w:sz="0" w:space="0" w:color="auto"/>
            <w:right w:val="none" w:sz="0" w:space="0" w:color="auto"/>
          </w:divBdr>
          <w:divsChild>
            <w:div w:id="11452028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848250455">
      <w:bodyDiv w:val="1"/>
      <w:marLeft w:val="0"/>
      <w:marRight w:val="0"/>
      <w:marTop w:val="0"/>
      <w:marBottom w:val="0"/>
      <w:divBdr>
        <w:top w:val="none" w:sz="0" w:space="0" w:color="auto"/>
        <w:left w:val="none" w:sz="0" w:space="0" w:color="auto"/>
        <w:bottom w:val="none" w:sz="0" w:space="0" w:color="auto"/>
        <w:right w:val="none" w:sz="0" w:space="0" w:color="auto"/>
      </w:divBdr>
    </w:div>
    <w:div w:id="889420115">
      <w:bodyDiv w:val="1"/>
      <w:marLeft w:val="0"/>
      <w:marRight w:val="0"/>
      <w:marTop w:val="0"/>
      <w:marBottom w:val="0"/>
      <w:divBdr>
        <w:top w:val="none" w:sz="0" w:space="0" w:color="auto"/>
        <w:left w:val="none" w:sz="0" w:space="0" w:color="auto"/>
        <w:bottom w:val="none" w:sz="0" w:space="0" w:color="auto"/>
        <w:right w:val="none" w:sz="0" w:space="0" w:color="auto"/>
      </w:divBdr>
    </w:div>
    <w:div w:id="961427337">
      <w:bodyDiv w:val="1"/>
      <w:marLeft w:val="0"/>
      <w:marRight w:val="0"/>
      <w:marTop w:val="0"/>
      <w:marBottom w:val="0"/>
      <w:divBdr>
        <w:top w:val="none" w:sz="0" w:space="0" w:color="auto"/>
        <w:left w:val="none" w:sz="0" w:space="0" w:color="auto"/>
        <w:bottom w:val="none" w:sz="0" w:space="0" w:color="auto"/>
        <w:right w:val="none" w:sz="0" w:space="0" w:color="auto"/>
      </w:divBdr>
    </w:div>
    <w:div w:id="974679773">
      <w:bodyDiv w:val="1"/>
      <w:marLeft w:val="0"/>
      <w:marRight w:val="0"/>
      <w:marTop w:val="0"/>
      <w:marBottom w:val="0"/>
      <w:divBdr>
        <w:top w:val="none" w:sz="0" w:space="0" w:color="auto"/>
        <w:left w:val="none" w:sz="0" w:space="0" w:color="auto"/>
        <w:bottom w:val="none" w:sz="0" w:space="0" w:color="auto"/>
        <w:right w:val="none" w:sz="0" w:space="0" w:color="auto"/>
      </w:divBdr>
    </w:div>
    <w:div w:id="1087265675">
      <w:bodyDiv w:val="1"/>
      <w:marLeft w:val="0"/>
      <w:marRight w:val="0"/>
      <w:marTop w:val="0"/>
      <w:marBottom w:val="0"/>
      <w:divBdr>
        <w:top w:val="none" w:sz="0" w:space="0" w:color="auto"/>
        <w:left w:val="none" w:sz="0" w:space="0" w:color="auto"/>
        <w:bottom w:val="none" w:sz="0" w:space="0" w:color="auto"/>
        <w:right w:val="none" w:sz="0" w:space="0" w:color="auto"/>
      </w:divBdr>
    </w:div>
    <w:div w:id="1213929557">
      <w:bodyDiv w:val="1"/>
      <w:marLeft w:val="0"/>
      <w:marRight w:val="0"/>
      <w:marTop w:val="0"/>
      <w:marBottom w:val="0"/>
      <w:divBdr>
        <w:top w:val="none" w:sz="0" w:space="0" w:color="auto"/>
        <w:left w:val="none" w:sz="0" w:space="0" w:color="auto"/>
        <w:bottom w:val="none" w:sz="0" w:space="0" w:color="auto"/>
        <w:right w:val="none" w:sz="0" w:space="0" w:color="auto"/>
      </w:divBdr>
    </w:div>
    <w:div w:id="1565218165">
      <w:bodyDiv w:val="1"/>
      <w:marLeft w:val="0"/>
      <w:marRight w:val="0"/>
      <w:marTop w:val="0"/>
      <w:marBottom w:val="0"/>
      <w:divBdr>
        <w:top w:val="none" w:sz="0" w:space="0" w:color="auto"/>
        <w:left w:val="none" w:sz="0" w:space="0" w:color="auto"/>
        <w:bottom w:val="none" w:sz="0" w:space="0" w:color="auto"/>
        <w:right w:val="none" w:sz="0" w:space="0" w:color="auto"/>
      </w:divBdr>
    </w:div>
    <w:div w:id="1612349297">
      <w:bodyDiv w:val="1"/>
      <w:marLeft w:val="0"/>
      <w:marRight w:val="0"/>
      <w:marTop w:val="0"/>
      <w:marBottom w:val="0"/>
      <w:divBdr>
        <w:top w:val="none" w:sz="0" w:space="0" w:color="auto"/>
        <w:left w:val="none" w:sz="0" w:space="0" w:color="auto"/>
        <w:bottom w:val="none" w:sz="0" w:space="0" w:color="auto"/>
        <w:right w:val="none" w:sz="0" w:space="0" w:color="auto"/>
      </w:divBdr>
    </w:div>
    <w:div w:id="1724989415">
      <w:bodyDiv w:val="1"/>
      <w:marLeft w:val="0"/>
      <w:marRight w:val="0"/>
      <w:marTop w:val="0"/>
      <w:marBottom w:val="0"/>
      <w:divBdr>
        <w:top w:val="none" w:sz="0" w:space="0" w:color="auto"/>
        <w:left w:val="none" w:sz="0" w:space="0" w:color="auto"/>
        <w:bottom w:val="none" w:sz="0" w:space="0" w:color="auto"/>
        <w:right w:val="none" w:sz="0" w:space="0" w:color="auto"/>
      </w:divBdr>
    </w:div>
    <w:div w:id="1783916330">
      <w:bodyDiv w:val="1"/>
      <w:marLeft w:val="0"/>
      <w:marRight w:val="0"/>
      <w:marTop w:val="0"/>
      <w:marBottom w:val="0"/>
      <w:divBdr>
        <w:top w:val="none" w:sz="0" w:space="0" w:color="auto"/>
        <w:left w:val="none" w:sz="0" w:space="0" w:color="auto"/>
        <w:bottom w:val="none" w:sz="0" w:space="0" w:color="auto"/>
        <w:right w:val="none" w:sz="0" w:space="0" w:color="auto"/>
      </w:divBdr>
      <w:divsChild>
        <w:div w:id="271283551">
          <w:marLeft w:val="0"/>
          <w:marRight w:val="0"/>
          <w:marTop w:val="0"/>
          <w:marBottom w:val="360"/>
          <w:divBdr>
            <w:top w:val="none" w:sz="0" w:space="0" w:color="auto"/>
            <w:left w:val="none" w:sz="0" w:space="0" w:color="auto"/>
            <w:bottom w:val="none" w:sz="0" w:space="0" w:color="auto"/>
            <w:right w:val="none" w:sz="0" w:space="0" w:color="auto"/>
          </w:divBdr>
        </w:div>
      </w:divsChild>
    </w:div>
    <w:div w:id="1858304298">
      <w:bodyDiv w:val="1"/>
      <w:marLeft w:val="0"/>
      <w:marRight w:val="0"/>
      <w:marTop w:val="0"/>
      <w:marBottom w:val="0"/>
      <w:divBdr>
        <w:top w:val="none" w:sz="0" w:space="0" w:color="auto"/>
        <w:left w:val="none" w:sz="0" w:space="0" w:color="auto"/>
        <w:bottom w:val="none" w:sz="0" w:space="0" w:color="auto"/>
        <w:right w:val="none" w:sz="0" w:space="0" w:color="auto"/>
      </w:divBdr>
      <w:divsChild>
        <w:div w:id="1229615448">
          <w:marLeft w:val="0"/>
          <w:marRight w:val="0"/>
          <w:marTop w:val="0"/>
          <w:marBottom w:val="0"/>
          <w:divBdr>
            <w:top w:val="none" w:sz="0" w:space="0" w:color="auto"/>
            <w:left w:val="none" w:sz="0" w:space="0" w:color="auto"/>
            <w:bottom w:val="none" w:sz="0" w:space="0" w:color="auto"/>
            <w:right w:val="none" w:sz="0" w:space="0" w:color="auto"/>
          </w:divBdr>
          <w:divsChild>
            <w:div w:id="976882861">
              <w:marLeft w:val="0"/>
              <w:marRight w:val="0"/>
              <w:marTop w:val="0"/>
              <w:marBottom w:val="120"/>
              <w:divBdr>
                <w:top w:val="none" w:sz="0" w:space="0" w:color="auto"/>
                <w:left w:val="none" w:sz="0" w:space="0" w:color="auto"/>
                <w:bottom w:val="none" w:sz="0" w:space="0" w:color="auto"/>
                <w:right w:val="none" w:sz="0" w:space="0" w:color="auto"/>
              </w:divBdr>
              <w:divsChild>
                <w:div w:id="1961643302">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829633486">
          <w:marLeft w:val="0"/>
          <w:marRight w:val="0"/>
          <w:marTop w:val="0"/>
          <w:marBottom w:val="0"/>
          <w:divBdr>
            <w:top w:val="none" w:sz="0" w:space="0" w:color="auto"/>
            <w:left w:val="none" w:sz="0" w:space="0" w:color="auto"/>
            <w:bottom w:val="none" w:sz="0" w:space="0" w:color="auto"/>
            <w:right w:val="none" w:sz="0" w:space="0" w:color="auto"/>
          </w:divBdr>
          <w:divsChild>
            <w:div w:id="2084839507">
              <w:marLeft w:val="0"/>
              <w:marRight w:val="0"/>
              <w:marTop w:val="0"/>
              <w:marBottom w:val="120"/>
              <w:divBdr>
                <w:top w:val="none" w:sz="0" w:space="0" w:color="auto"/>
                <w:left w:val="none" w:sz="0" w:space="0" w:color="auto"/>
                <w:bottom w:val="none" w:sz="0" w:space="0" w:color="auto"/>
                <w:right w:val="none" w:sz="0" w:space="0" w:color="auto"/>
              </w:divBdr>
              <w:divsChild>
                <w:div w:id="1936787603">
                  <w:marLeft w:val="2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922866">
      <w:bodyDiv w:val="1"/>
      <w:marLeft w:val="0"/>
      <w:marRight w:val="0"/>
      <w:marTop w:val="0"/>
      <w:marBottom w:val="0"/>
      <w:divBdr>
        <w:top w:val="none" w:sz="0" w:space="0" w:color="auto"/>
        <w:left w:val="none" w:sz="0" w:space="0" w:color="auto"/>
        <w:bottom w:val="none" w:sz="0" w:space="0" w:color="auto"/>
        <w:right w:val="none" w:sz="0" w:space="0" w:color="auto"/>
      </w:divBdr>
    </w:div>
    <w:div w:id="1911112607">
      <w:bodyDiv w:val="1"/>
      <w:marLeft w:val="0"/>
      <w:marRight w:val="0"/>
      <w:marTop w:val="0"/>
      <w:marBottom w:val="0"/>
      <w:divBdr>
        <w:top w:val="none" w:sz="0" w:space="0" w:color="auto"/>
        <w:left w:val="none" w:sz="0" w:space="0" w:color="auto"/>
        <w:bottom w:val="none" w:sz="0" w:space="0" w:color="auto"/>
        <w:right w:val="none" w:sz="0" w:space="0" w:color="auto"/>
      </w:divBdr>
    </w:div>
    <w:div w:id="2067990895">
      <w:bodyDiv w:val="1"/>
      <w:marLeft w:val="0"/>
      <w:marRight w:val="0"/>
      <w:marTop w:val="0"/>
      <w:marBottom w:val="0"/>
      <w:divBdr>
        <w:top w:val="none" w:sz="0" w:space="0" w:color="auto"/>
        <w:left w:val="none" w:sz="0" w:space="0" w:color="auto"/>
        <w:bottom w:val="none" w:sz="0" w:space="0" w:color="auto"/>
        <w:right w:val="none" w:sz="0" w:space="0" w:color="auto"/>
      </w:divBdr>
      <w:divsChild>
        <w:div w:id="19066447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ubs.acs.org/doi/10.1021/acsmedchemlett.8b00538" TargetMode="External"/><Relationship Id="rId21" Type="http://schemas.openxmlformats.org/officeDocument/2006/relationships/hyperlink" Target="javascript:void(0);" TargetMode="External"/><Relationship Id="rId42" Type="http://schemas.openxmlformats.org/officeDocument/2006/relationships/hyperlink" Target="javascript:void(0);" TargetMode="External"/><Relationship Id="rId47" Type="http://schemas.openxmlformats.org/officeDocument/2006/relationships/hyperlink" Target="javascript:void(0);" TargetMode="External"/><Relationship Id="rId63" Type="http://schemas.openxmlformats.org/officeDocument/2006/relationships/image" Target="media/image5.gif"/><Relationship Id="rId68" Type="http://schemas.openxmlformats.org/officeDocument/2006/relationships/hyperlink" Target="https://pubs.acs.org/doi/10.1021/acsmedchemlett.8b00538" TargetMode="External"/><Relationship Id="rId84" Type="http://schemas.openxmlformats.org/officeDocument/2006/relationships/hyperlink" Target="https://pubs.acs.org/doi/10.1021/acsmedchemlett.8b00538" TargetMode="External"/><Relationship Id="rId89" Type="http://schemas.openxmlformats.org/officeDocument/2006/relationships/hyperlink" Target="https://pubs.acs.org/doi/10.1021/acsmedchemlett.8b00538" TargetMode="External"/><Relationship Id="rId16" Type="http://schemas.openxmlformats.org/officeDocument/2006/relationships/hyperlink" Target="https://pubs.acs.org/action/doSearch?action=search&amp;AllField=PAR2+Antagonist&amp;qsSearchArea=AllField" TargetMode="External"/><Relationship Id="rId11" Type="http://schemas.openxmlformats.org/officeDocument/2006/relationships/image" Target="media/image1.gif"/><Relationship Id="rId32" Type="http://schemas.openxmlformats.org/officeDocument/2006/relationships/image" Target="media/image2.gif"/><Relationship Id="rId37" Type="http://schemas.openxmlformats.org/officeDocument/2006/relationships/hyperlink" Target="javascript:void(0);" TargetMode="External"/><Relationship Id="rId53" Type="http://schemas.openxmlformats.org/officeDocument/2006/relationships/hyperlink" Target="javascript:void(0);" TargetMode="External"/><Relationship Id="rId58" Type="http://schemas.openxmlformats.org/officeDocument/2006/relationships/hyperlink" Target="https://pubs.acs.org/doi/10.1021/acsmedchemlett.8b00538" TargetMode="External"/><Relationship Id="rId74" Type="http://schemas.openxmlformats.org/officeDocument/2006/relationships/hyperlink" Target="https://pubs.acs.org/doi/10.1021/acsmedchemlett.8b00538" TargetMode="External"/><Relationship Id="rId79" Type="http://schemas.openxmlformats.org/officeDocument/2006/relationships/hyperlink" Target="https://pubs.acs.org/doi/10.1021/acsmedchemlett.8b00538" TargetMode="External"/><Relationship Id="rId102" Type="http://schemas.openxmlformats.org/officeDocument/2006/relationships/theme" Target="theme/theme1.xml"/><Relationship Id="rId5" Type="http://schemas.openxmlformats.org/officeDocument/2006/relationships/numbering" Target="numbering.xml"/><Relationship Id="rId90" Type="http://schemas.openxmlformats.org/officeDocument/2006/relationships/hyperlink" Target="https://pubs.acs.org/doi/10.1021/acsmedchemlett.8b00538" TargetMode="External"/><Relationship Id="rId95" Type="http://schemas.openxmlformats.org/officeDocument/2006/relationships/hyperlink" Target="http://pubs.acs.org/doi/suppl/10.1021/acsmedchemlett.8b00538/suppl_file/ml8b00538_si_001.pdf" TargetMode="External"/><Relationship Id="rId22" Type="http://schemas.openxmlformats.org/officeDocument/2006/relationships/hyperlink" Target="javascript:void(0);" TargetMode="External"/><Relationship Id="rId27" Type="http://schemas.openxmlformats.org/officeDocument/2006/relationships/hyperlink" Target="https://pubs.acs.org/doi/10.1021/acsmedchemlett.8b00538" TargetMode="External"/><Relationship Id="rId43" Type="http://schemas.openxmlformats.org/officeDocument/2006/relationships/hyperlink" Target="javascript:void(0);" TargetMode="External"/><Relationship Id="rId48" Type="http://schemas.openxmlformats.org/officeDocument/2006/relationships/hyperlink" Target="javascript:void(0);" TargetMode="External"/><Relationship Id="rId64" Type="http://schemas.openxmlformats.org/officeDocument/2006/relationships/hyperlink" Target="https://pubs.acs.org/doi/10.1021/acsmedchemlett.8b00538" TargetMode="External"/><Relationship Id="rId69" Type="http://schemas.openxmlformats.org/officeDocument/2006/relationships/hyperlink" Target="https://pubs.acs.org/doi/10.1021/acsmedchemlett.8b00538" TargetMode="External"/><Relationship Id="rId80" Type="http://schemas.openxmlformats.org/officeDocument/2006/relationships/hyperlink" Target="https://pubs.acs.org/doi/10.1021/acsmedchemlett.8b00538" TargetMode="External"/><Relationship Id="rId85" Type="http://schemas.openxmlformats.org/officeDocument/2006/relationships/hyperlink" Target="https://pubs.acs.org/doi/10.1021/acsmedchemlett.8b00538" TargetMode="External"/><Relationship Id="rId12" Type="http://schemas.openxmlformats.org/officeDocument/2006/relationships/hyperlink" Target="https://pubs.acs.org/action/doSearch?action=search&amp;AllField=Bivalent+Ligand&amp;qsSearchArea=AllField" TargetMode="External"/><Relationship Id="rId17" Type="http://schemas.openxmlformats.org/officeDocument/2006/relationships/hyperlink" Target="https://pubs.acs.org/action/doSearch?action=search&amp;AllField=Protease-activated+Receptor&amp;qsSearchArea=AllField" TargetMode="External"/><Relationship Id="rId25" Type="http://schemas.openxmlformats.org/officeDocument/2006/relationships/hyperlink" Target="javascript:void(0);" TargetMode="External"/><Relationship Id="rId33" Type="http://schemas.openxmlformats.org/officeDocument/2006/relationships/hyperlink" Target="javascript:void(0);" TargetMode="External"/><Relationship Id="rId38" Type="http://schemas.openxmlformats.org/officeDocument/2006/relationships/hyperlink" Target="javascript:void(0);" TargetMode="External"/><Relationship Id="rId46" Type="http://schemas.openxmlformats.org/officeDocument/2006/relationships/hyperlink" Target="https://pubs.acs.org/doi/10.1021/acsmedchemlett.8b00538" TargetMode="External"/><Relationship Id="rId59" Type="http://schemas.openxmlformats.org/officeDocument/2006/relationships/hyperlink" Target="https://pubs.acs.org/doi/10.1021/acsmedchemlett.8b00538" TargetMode="External"/><Relationship Id="rId67" Type="http://schemas.openxmlformats.org/officeDocument/2006/relationships/hyperlink" Target="javascript:void(0);" TargetMode="External"/><Relationship Id="rId20" Type="http://schemas.openxmlformats.org/officeDocument/2006/relationships/hyperlink" Target="javascript:void(0);" TargetMode="External"/><Relationship Id="rId41" Type="http://schemas.openxmlformats.org/officeDocument/2006/relationships/hyperlink" Target="javascript:void(0);" TargetMode="External"/><Relationship Id="rId54" Type="http://schemas.openxmlformats.org/officeDocument/2006/relationships/hyperlink" Target="http://pubs.acs.org/doi/suppl/10.1021/acsmedchemlett.8b00538/suppl_file/ml8b00538_si_001.pdf" TargetMode="External"/><Relationship Id="rId62" Type="http://schemas.openxmlformats.org/officeDocument/2006/relationships/hyperlink" Target="javascript:void(0);" TargetMode="External"/><Relationship Id="rId70" Type="http://schemas.openxmlformats.org/officeDocument/2006/relationships/hyperlink" Target="https://pubs.acs.org/doi/10.1021/acsmedchemlett.8b00538" TargetMode="External"/><Relationship Id="rId75" Type="http://schemas.openxmlformats.org/officeDocument/2006/relationships/image" Target="media/image6.gif"/><Relationship Id="rId83" Type="http://schemas.openxmlformats.org/officeDocument/2006/relationships/hyperlink" Target="https://pubs.acs.org/doi/10.1021/acsmedchemlett.8b00538" TargetMode="External"/><Relationship Id="rId88" Type="http://schemas.openxmlformats.org/officeDocument/2006/relationships/hyperlink" Target="https://pubs.acs.org/doi/10.1021/acsmedchemlett.8b00538" TargetMode="External"/><Relationship Id="rId91" Type="http://schemas.openxmlformats.org/officeDocument/2006/relationships/hyperlink" Target="https://pubs.acs.org/doi/10.1021/acsmedchemlett.8b00538" TargetMode="External"/><Relationship Id="rId96" Type="http://schemas.openxmlformats.org/officeDocument/2006/relationships/hyperlink" Target="http://pubs.acs.org/doi/suppl/10.1021/acsmedchemlett.8b00538"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ubs.acs.org/action/doSearch?action=search&amp;AllField=PAR1+Antagonist&amp;qsSearchArea=AllField" TargetMode="External"/><Relationship Id="rId23" Type="http://schemas.openxmlformats.org/officeDocument/2006/relationships/hyperlink" Target="javascript:void(0);" TargetMode="External"/><Relationship Id="rId28" Type="http://schemas.openxmlformats.org/officeDocument/2006/relationships/hyperlink" Target="javascript:void(0);" TargetMode="External"/><Relationship Id="rId36" Type="http://schemas.openxmlformats.org/officeDocument/2006/relationships/hyperlink" Target="javascript:void(0);" TargetMode="External"/><Relationship Id="rId49" Type="http://schemas.openxmlformats.org/officeDocument/2006/relationships/hyperlink" Target="http://pubs.acs.org/doi/suppl/10.1021/acsmedchemlett.8b00538/suppl_file/ml8b00538_si_001.pdf" TargetMode="External"/><Relationship Id="rId57" Type="http://schemas.openxmlformats.org/officeDocument/2006/relationships/hyperlink" Target="javascript:void(0);" TargetMode="External"/><Relationship Id="rId10" Type="http://schemas.openxmlformats.org/officeDocument/2006/relationships/hyperlink" Target="http://epublications.marquette.edu/" TargetMode="External"/><Relationship Id="rId31" Type="http://schemas.openxmlformats.org/officeDocument/2006/relationships/hyperlink" Target="javascript:void(0);" TargetMode="External"/><Relationship Id="rId44" Type="http://schemas.openxmlformats.org/officeDocument/2006/relationships/hyperlink" Target="javascript:void(0);" TargetMode="External"/><Relationship Id="rId52" Type="http://schemas.openxmlformats.org/officeDocument/2006/relationships/hyperlink" Target="http://pubs.acs.org/doi/suppl/10.1021/acsmedchemlett.8b00538/suppl_file/ml8b00538_si_001.pdf" TargetMode="External"/><Relationship Id="rId60" Type="http://schemas.openxmlformats.org/officeDocument/2006/relationships/hyperlink" Target="javascript:void(0);" TargetMode="External"/><Relationship Id="rId65" Type="http://schemas.openxmlformats.org/officeDocument/2006/relationships/hyperlink" Target="https://pubs.acs.org/doi/10.1021/acsmedchemlett.8b00538" TargetMode="External"/><Relationship Id="rId73" Type="http://schemas.openxmlformats.org/officeDocument/2006/relationships/hyperlink" Target="https://pubs.acs.org/doi/10.1021/acsmedchemlett.8b00538" TargetMode="External"/><Relationship Id="rId78" Type="http://schemas.openxmlformats.org/officeDocument/2006/relationships/hyperlink" Target="https://pubs.acs.org/doi/10.1021/acsmedchemlett.8b00538" TargetMode="External"/><Relationship Id="rId81" Type="http://schemas.openxmlformats.org/officeDocument/2006/relationships/image" Target="media/image7.gif"/><Relationship Id="rId86" Type="http://schemas.openxmlformats.org/officeDocument/2006/relationships/hyperlink" Target="http://pubs.acs.org/doi/suppl/10.1021/acsmedchemlett.8b00538/suppl_file/ml8b00538_si_001.pdf" TargetMode="External"/><Relationship Id="rId94" Type="http://schemas.openxmlformats.org/officeDocument/2006/relationships/hyperlink" Target="http://pubs.acs.org/doi/suppl/10.1021/acsmedchemlett.8b00538/suppl_file/ml8b00538_si_001.pdf" TargetMode="External"/><Relationship Id="rId99" Type="http://schemas.openxmlformats.org/officeDocument/2006/relationships/hyperlink" Target="http://pubs.acs.org/doi/suppl/10.1021/acsmedchemlett.8b00538/suppl_file/ml8b00538_si_001.pdf" TargetMode="External"/><Relationship Id="rId10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oi.org/10.1021/acsmedchemlett.8b00538" TargetMode="External"/><Relationship Id="rId13" Type="http://schemas.openxmlformats.org/officeDocument/2006/relationships/hyperlink" Target="https://pubs.acs.org/action/doSearch?action=search&amp;AllField=Calcium+Mobilization&amp;qsSearchArea=AllField" TargetMode="External"/><Relationship Id="rId18" Type="http://schemas.openxmlformats.org/officeDocument/2006/relationships/hyperlink" Target="https://pubs.acs.org/action/doSearch?action=search&amp;AllField=Restenosis&amp;qsSearchArea=AllField" TargetMode="External"/><Relationship Id="rId39" Type="http://schemas.openxmlformats.org/officeDocument/2006/relationships/hyperlink" Target="javascript:void(0);" TargetMode="External"/><Relationship Id="rId34" Type="http://schemas.openxmlformats.org/officeDocument/2006/relationships/hyperlink" Target="javascript:void(0);" TargetMode="External"/><Relationship Id="rId50" Type="http://schemas.openxmlformats.org/officeDocument/2006/relationships/hyperlink" Target="https://pubs.acs.org/doi/10.1021/acsmedchemlett.8b00538" TargetMode="External"/><Relationship Id="rId55" Type="http://schemas.openxmlformats.org/officeDocument/2006/relationships/image" Target="media/image3.gif"/><Relationship Id="rId76" Type="http://schemas.openxmlformats.org/officeDocument/2006/relationships/hyperlink" Target="http://pubs.acs.org/doi/suppl/10.1021/acsmedchemlett.8b00538/suppl_file/ml8b00538_si_001.pdf" TargetMode="External"/><Relationship Id="rId97" Type="http://schemas.openxmlformats.org/officeDocument/2006/relationships/hyperlink" Target="http://pubs.acs.org/" TargetMode="External"/><Relationship Id="rId7" Type="http://schemas.openxmlformats.org/officeDocument/2006/relationships/settings" Target="settings.xml"/><Relationship Id="rId71" Type="http://schemas.openxmlformats.org/officeDocument/2006/relationships/hyperlink" Target="https://pubs.acs.org/doi/10.1021/acsmedchemlett.8b00538" TargetMode="External"/><Relationship Id="rId92" Type="http://schemas.openxmlformats.org/officeDocument/2006/relationships/hyperlink" Target="http://pubs.acs.org/doi/suppl/10.1021/acsmedchemlett.8b00538/suppl_file/ml8b00538_si_001.pdf" TargetMode="External"/><Relationship Id="rId2" Type="http://schemas.openxmlformats.org/officeDocument/2006/relationships/customXml" Target="../customXml/item2.xml"/><Relationship Id="rId29" Type="http://schemas.openxmlformats.org/officeDocument/2006/relationships/hyperlink" Target="javascript:void(0);" TargetMode="External"/><Relationship Id="rId24" Type="http://schemas.openxmlformats.org/officeDocument/2006/relationships/hyperlink" Target="javascript:void(0);" TargetMode="External"/><Relationship Id="rId40" Type="http://schemas.openxmlformats.org/officeDocument/2006/relationships/hyperlink" Target="javascript:void(0);" TargetMode="External"/><Relationship Id="rId45" Type="http://schemas.openxmlformats.org/officeDocument/2006/relationships/hyperlink" Target="https://pubs.acs.org/doi/10.1021/acsmedchemlett.8b00538" TargetMode="External"/><Relationship Id="rId66" Type="http://schemas.openxmlformats.org/officeDocument/2006/relationships/hyperlink" Target="http://pubs.acs.org/doi/suppl/10.1021/acsmedchemlett.8b00538/suppl_file/ml8b00538_si_001.pdf" TargetMode="External"/><Relationship Id="rId87" Type="http://schemas.openxmlformats.org/officeDocument/2006/relationships/image" Target="media/image8.gif"/><Relationship Id="rId61" Type="http://schemas.openxmlformats.org/officeDocument/2006/relationships/hyperlink" Target="javascript:void(0);" TargetMode="External"/><Relationship Id="rId82" Type="http://schemas.openxmlformats.org/officeDocument/2006/relationships/hyperlink" Target="https://pubs.acs.org/doi/10.1021/acsmedchemlett.8b00538" TargetMode="External"/><Relationship Id="rId19" Type="http://schemas.openxmlformats.org/officeDocument/2006/relationships/hyperlink" Target="javascript:void(0);" TargetMode="External"/><Relationship Id="rId14" Type="http://schemas.openxmlformats.org/officeDocument/2006/relationships/hyperlink" Target="https://pubs.acs.org/action/doSearch?action=search&amp;AllField=Metastasis&amp;qsSearchArea=AllField" TargetMode="External"/><Relationship Id="rId30" Type="http://schemas.openxmlformats.org/officeDocument/2006/relationships/hyperlink" Target="javascript:void(0);" TargetMode="External"/><Relationship Id="rId35" Type="http://schemas.openxmlformats.org/officeDocument/2006/relationships/hyperlink" Target="javascript:void(0);" TargetMode="External"/><Relationship Id="rId56" Type="http://schemas.openxmlformats.org/officeDocument/2006/relationships/image" Target="media/image4.gif"/><Relationship Id="rId77" Type="http://schemas.openxmlformats.org/officeDocument/2006/relationships/hyperlink" Target="https://pubs.acs.org/doi/10.1021/acsmedchemlett.8b00538" TargetMode="External"/><Relationship Id="rId100" Type="http://schemas.openxmlformats.org/officeDocument/2006/relationships/hyperlink" Target="https://pubs.acs.org/doi/suppl/10.1021/acsmedchemlett.8b00538/suppl_file/ml8b00538_si_001.pdf" TargetMode="External"/><Relationship Id="rId8" Type="http://schemas.openxmlformats.org/officeDocument/2006/relationships/webSettings" Target="webSettings.xml"/><Relationship Id="rId51" Type="http://schemas.openxmlformats.org/officeDocument/2006/relationships/hyperlink" Target="https://pubs.acs.org/doi/10.1021/acsmedchemlett.8b00538" TargetMode="External"/><Relationship Id="rId72" Type="http://schemas.openxmlformats.org/officeDocument/2006/relationships/hyperlink" Target="javascript:void(0);" TargetMode="External"/><Relationship Id="rId93" Type="http://schemas.openxmlformats.org/officeDocument/2006/relationships/image" Target="media/image9.gif"/><Relationship Id="rId98" Type="http://schemas.openxmlformats.org/officeDocument/2006/relationships/hyperlink" Target="http://pubs.acs.org/doi/abs/10.1021/acsmedchemlett.8b00538"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52d0be0895f211f865a219034209f3ec">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079e44da53393545bc23019e61026b63"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EA5B7-427E-4602-9067-DA98A0C1BCAC}"/>
</file>

<file path=customXml/itemProps2.xml><?xml version="1.0" encoding="utf-8"?>
<ds:datastoreItem xmlns:ds="http://schemas.openxmlformats.org/officeDocument/2006/customXml" ds:itemID="{77D4EA38-0E0C-484B-88BF-D20777312560}">
  <ds:schemaRefs>
    <ds:schemaRef ds:uri="http://schemas.microsoft.com/sharepoint/v3/contenttype/forms"/>
  </ds:schemaRefs>
</ds:datastoreItem>
</file>

<file path=customXml/itemProps3.xml><?xml version="1.0" encoding="utf-8"?>
<ds:datastoreItem xmlns:ds="http://schemas.openxmlformats.org/officeDocument/2006/customXml" ds:itemID="{2A75C4B9-C329-4BC1-837A-74845939330E}">
  <ds:schemaRefs>
    <ds:schemaRef ds:uri="http://schemas.microsoft.com/office/2006/documentManagement/types"/>
    <ds:schemaRef ds:uri="http://purl.org/dc/terms/"/>
    <ds:schemaRef ds:uri="http://schemas.openxmlformats.org/package/2006/metadata/core-properties"/>
    <ds:schemaRef ds:uri="http://purl.org/dc/elements/1.1/"/>
    <ds:schemaRef ds:uri="http://schemas.microsoft.com/office/2006/metadata/properties"/>
    <ds:schemaRef ds:uri="http://www.w3.org/XML/1998/namespace"/>
    <ds:schemaRef ds:uri="http://schemas.microsoft.com/office/infopath/2007/PartnerControls"/>
    <ds:schemaRef ds:uri="1dc5a16d-a9e1-4107-81af-b56e13c8526c"/>
    <ds:schemaRef ds:uri="455b151d-75b8-4438-a72d-e06b314124a1"/>
    <ds:schemaRef ds:uri="http://purl.org/dc/dcmitype/"/>
  </ds:schemaRefs>
</ds:datastoreItem>
</file>

<file path=customXml/itemProps4.xml><?xml version="1.0" encoding="utf-8"?>
<ds:datastoreItem xmlns:ds="http://schemas.openxmlformats.org/officeDocument/2006/customXml" ds:itemID="{E38F6740-C1E0-41F6-87CA-5C48299DF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13</Pages>
  <Words>5640</Words>
  <Characters>33731</Characters>
  <Application>Microsoft Office Word</Application>
  <DocSecurity>8</DocSecurity>
  <Lines>527</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12</cp:revision>
  <dcterms:created xsi:type="dcterms:W3CDTF">2019-04-10T18:48:00Z</dcterms:created>
  <dcterms:modified xsi:type="dcterms:W3CDTF">2019-04-25T18:33:00Z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