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BC4AC0A" w:rsidR="000A7622" w:rsidRPr="00C04F25" w:rsidRDefault="7152785D" w:rsidP="7152785D">
      <w:pPr>
        <w:autoSpaceDE w:val="0"/>
        <w:autoSpaceDN w:val="0"/>
        <w:adjustRightInd w:val="0"/>
        <w:rPr>
          <w:b/>
          <w:bCs/>
          <w:i/>
          <w:iCs/>
          <w:sz w:val="32"/>
          <w:szCs w:val="32"/>
        </w:rPr>
      </w:pPr>
      <w:r w:rsidRPr="7152785D">
        <w:rPr>
          <w:b/>
          <w:bCs/>
          <w:i/>
          <w:iCs/>
          <w:sz w:val="32"/>
          <w:szCs w:val="32"/>
        </w:rPr>
        <w:t>Chemistry Faculty Research and Publications/College of Arts and Sciences</w:t>
      </w:r>
    </w:p>
    <w:bookmarkEnd w:id="0"/>
    <w:p w14:paraId="3E538636" w14:textId="77777777" w:rsidR="000A7622" w:rsidRPr="006F33A4" w:rsidRDefault="000A7622" w:rsidP="00D14423">
      <w:pPr>
        <w:jc w:val="center"/>
        <w:rPr>
          <w:rFonts w:cstheme="minorHAnsi"/>
          <w:b/>
          <w:bCs/>
          <w:i/>
          <w:iCs/>
        </w:rPr>
      </w:pPr>
    </w:p>
    <w:p w14:paraId="25509BF0" w14:textId="057AD0B5"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C03F8B">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1F99D413" w:rsidR="000A7622" w:rsidRPr="00C04F25" w:rsidRDefault="00734A17" w:rsidP="00D14423">
      <w:pPr>
        <w:rPr>
          <w:rFonts w:cstheme="minorHAnsi"/>
          <w:sz w:val="24"/>
          <w:szCs w:val="24"/>
        </w:rPr>
      </w:pPr>
      <w:r>
        <w:rPr>
          <w:i/>
          <w:iCs/>
          <w:sz w:val="24"/>
          <w:szCs w:val="24"/>
          <w:lang w:val="fr-FR"/>
        </w:rPr>
        <w:t>Physical Chemistry Chemical Physics</w:t>
      </w:r>
      <w:r w:rsidR="7152785D" w:rsidRPr="7152785D">
        <w:rPr>
          <w:sz w:val="24"/>
          <w:szCs w:val="24"/>
          <w:lang w:val="fr-FR"/>
        </w:rPr>
        <w:t xml:space="preserve">, Vol. </w:t>
      </w:r>
      <w:r w:rsidR="00BF0C97">
        <w:rPr>
          <w:sz w:val="24"/>
          <w:szCs w:val="24"/>
          <w:lang w:val="fr-FR"/>
        </w:rPr>
        <w:t>2</w:t>
      </w:r>
      <w:r w:rsidR="00FB6C65">
        <w:rPr>
          <w:sz w:val="24"/>
          <w:szCs w:val="24"/>
          <w:lang w:val="fr-FR"/>
        </w:rPr>
        <w:t>0</w:t>
      </w:r>
      <w:r w:rsidR="7152785D" w:rsidRPr="7152785D">
        <w:rPr>
          <w:sz w:val="24"/>
          <w:szCs w:val="24"/>
          <w:lang w:val="fr-FR"/>
        </w:rPr>
        <w:t>, (</w:t>
      </w:r>
      <w:r w:rsidR="004A4D76">
        <w:rPr>
          <w:sz w:val="24"/>
          <w:szCs w:val="24"/>
          <w:lang w:val="fr-FR"/>
        </w:rPr>
        <w:t>05</w:t>
      </w:r>
      <w:r w:rsidR="00124CE0">
        <w:rPr>
          <w:sz w:val="24"/>
          <w:szCs w:val="24"/>
          <w:lang w:val="fr-FR"/>
        </w:rPr>
        <w:t>/</w:t>
      </w:r>
      <w:r w:rsidR="00634DB1">
        <w:rPr>
          <w:sz w:val="24"/>
          <w:szCs w:val="24"/>
          <w:lang w:val="fr-FR"/>
        </w:rPr>
        <w:t>02/2018</w:t>
      </w:r>
      <w:r w:rsidR="7152785D" w:rsidRPr="7152785D">
        <w:rPr>
          <w:sz w:val="24"/>
          <w:szCs w:val="24"/>
          <w:lang w:val="fr-FR"/>
        </w:rPr>
        <w:t>)</w:t>
      </w:r>
      <w:r w:rsidR="0016423B">
        <w:rPr>
          <w:sz w:val="24"/>
          <w:szCs w:val="24"/>
          <w:lang w:val="fr-FR"/>
        </w:rPr>
        <w:t xml:space="preserve"> </w:t>
      </w:r>
      <w:r w:rsidR="7152785D" w:rsidRPr="7152785D">
        <w:rPr>
          <w:sz w:val="24"/>
          <w:szCs w:val="24"/>
          <w:lang w:val="fr-FR"/>
        </w:rPr>
        <w:t xml:space="preserve">: </w:t>
      </w:r>
      <w:r w:rsidR="00685C83">
        <w:rPr>
          <w:sz w:val="24"/>
          <w:szCs w:val="24"/>
          <w:lang w:val="fr-FR"/>
        </w:rPr>
        <w:t>14</w:t>
      </w:r>
      <w:r w:rsidR="001D1F5C">
        <w:rPr>
          <w:sz w:val="24"/>
          <w:szCs w:val="24"/>
          <w:lang w:val="fr-FR"/>
        </w:rPr>
        <w:t>884-</w:t>
      </w:r>
      <w:r w:rsidR="003945E1">
        <w:rPr>
          <w:sz w:val="24"/>
          <w:szCs w:val="24"/>
          <w:lang w:val="fr-FR"/>
        </w:rPr>
        <w:t>14888</w:t>
      </w:r>
      <w:r w:rsidR="7152785D" w:rsidRPr="7152785D">
        <w:rPr>
          <w:sz w:val="24"/>
          <w:szCs w:val="24"/>
          <w:lang w:val="fr-FR"/>
        </w:rPr>
        <w:t xml:space="preserve">. </w:t>
      </w:r>
      <w:hyperlink r:id="rId9">
        <w:r w:rsidR="7152785D" w:rsidRPr="7152785D">
          <w:rPr>
            <w:color w:val="0563C1"/>
            <w:sz w:val="24"/>
            <w:szCs w:val="24"/>
            <w:u w:val="single"/>
            <w:lang w:val="fr-FR"/>
          </w:rPr>
          <w:t>DOI</w:t>
        </w:r>
      </w:hyperlink>
      <w:r w:rsidR="7152785D" w:rsidRPr="7152785D">
        <w:rPr>
          <w:sz w:val="24"/>
          <w:szCs w:val="24"/>
          <w:lang w:val="fr-FR"/>
        </w:rPr>
        <w:t xml:space="preserve">. </w:t>
      </w:r>
      <w:r w:rsidR="7152785D" w:rsidRPr="7152785D">
        <w:rPr>
          <w:sz w:val="24"/>
          <w:szCs w:val="24"/>
        </w:rPr>
        <w:t xml:space="preserve">This article is © </w:t>
      </w:r>
      <w:r w:rsidR="00AC6520">
        <w:rPr>
          <w:sz w:val="24"/>
          <w:szCs w:val="24"/>
        </w:rPr>
        <w:t>Royal Society of Chemistry</w:t>
      </w:r>
      <w:r w:rsidR="7152785D" w:rsidRPr="7152785D">
        <w:rPr>
          <w:sz w:val="24"/>
          <w:szCs w:val="24"/>
        </w:rPr>
        <w:t xml:space="preserve"> and permission has been granted for this version to appear in </w:t>
      </w:r>
      <w:hyperlink r:id="rId10">
        <w:r w:rsidR="7152785D" w:rsidRPr="7152785D">
          <w:rPr>
            <w:color w:val="0563C1"/>
            <w:sz w:val="24"/>
            <w:szCs w:val="24"/>
            <w:u w:val="single"/>
          </w:rPr>
          <w:t>e-Publications@Marquette</w:t>
        </w:r>
      </w:hyperlink>
      <w:r w:rsidR="7152785D" w:rsidRPr="7152785D">
        <w:rPr>
          <w:sz w:val="24"/>
          <w:szCs w:val="24"/>
        </w:rPr>
        <w:t xml:space="preserve">. </w:t>
      </w:r>
      <w:r w:rsidR="00AC6520">
        <w:rPr>
          <w:sz w:val="24"/>
          <w:szCs w:val="24"/>
        </w:rPr>
        <w:t xml:space="preserve">Royal Society of </w:t>
      </w:r>
      <w:bookmarkStart w:id="2" w:name="_GoBack"/>
      <w:bookmarkEnd w:id="2"/>
      <w:r w:rsidR="00AC6520">
        <w:rPr>
          <w:sz w:val="24"/>
          <w:szCs w:val="24"/>
        </w:rPr>
        <w:t>Chemistry</w:t>
      </w:r>
      <w:r w:rsidR="00AC6520" w:rsidRPr="7152785D">
        <w:rPr>
          <w:sz w:val="24"/>
          <w:szCs w:val="24"/>
        </w:rPr>
        <w:t xml:space="preserve"> </w:t>
      </w:r>
      <w:r w:rsidR="7152785D" w:rsidRPr="7152785D">
        <w:rPr>
          <w:sz w:val="24"/>
          <w:szCs w:val="24"/>
        </w:rPr>
        <w:t xml:space="preserve">does not grant permission for this article to be further copied/distributed or hosted elsewhere without the express permission from </w:t>
      </w:r>
      <w:r w:rsidR="00AC6520">
        <w:rPr>
          <w:sz w:val="24"/>
          <w:szCs w:val="24"/>
        </w:rPr>
        <w:t>Royal Society of Chemistry</w:t>
      </w:r>
    </w:p>
    <w:bookmarkEnd w:id="1"/>
    <w:p w14:paraId="215A1964" w14:textId="08427497" w:rsidR="7152785D" w:rsidRDefault="4D4307D7" w:rsidP="4D4307D7">
      <w:pPr>
        <w:pStyle w:val="Title"/>
        <w:spacing w:line="276" w:lineRule="auto"/>
      </w:pPr>
      <w:r>
        <w:t>Photoinduced interfacial charge separation dynamics in zeolitic imidazolate framework</w:t>
      </w:r>
    </w:p>
    <w:p w14:paraId="0498C28C" w14:textId="411F0B1A" w:rsidR="7152785D" w:rsidRDefault="7152785D" w:rsidP="4D4307D7">
      <w:pPr>
        <w:spacing w:line="276" w:lineRule="auto"/>
      </w:pPr>
    </w:p>
    <w:p w14:paraId="11B025EB" w14:textId="68F6FF04" w:rsidR="7152785D" w:rsidRDefault="4D4307D7" w:rsidP="4D4307D7">
      <w:pPr>
        <w:pStyle w:val="NoSpacing"/>
        <w:spacing w:line="276" w:lineRule="auto"/>
      </w:pPr>
      <w:r w:rsidRPr="4D4307D7">
        <w:rPr>
          <w:sz w:val="28"/>
          <w:szCs w:val="28"/>
        </w:rPr>
        <w:t>Brian Pattengale</w:t>
      </w:r>
      <w:r w:rsidRPr="4D4307D7">
        <w:t>: Department of Chemistry, Marquette University, Milwaukee, Wisconsin</w:t>
      </w:r>
    </w:p>
    <w:p w14:paraId="6B465822" w14:textId="4A7B6833" w:rsidR="7152785D" w:rsidRDefault="4D4307D7" w:rsidP="4D4307D7">
      <w:pPr>
        <w:pStyle w:val="NoSpacing"/>
        <w:spacing w:line="276" w:lineRule="auto"/>
      </w:pPr>
      <w:r w:rsidRPr="4D4307D7">
        <w:rPr>
          <w:sz w:val="28"/>
          <w:szCs w:val="28"/>
        </w:rPr>
        <w:t>Jier Huang</w:t>
      </w:r>
      <w:r w:rsidRPr="4D4307D7">
        <w:t>: Department of Chemistry, Marquette University, Milwaukee, Wisconsin</w:t>
      </w:r>
    </w:p>
    <w:p w14:paraId="22AD6033" w14:textId="2462455C" w:rsidR="002C2A18" w:rsidRDefault="4D4307D7" w:rsidP="4D4307D7">
      <w:pPr>
        <w:pStyle w:val="Heading1"/>
        <w:spacing w:before="480" w:after="360" w:line="276" w:lineRule="auto"/>
        <w:rPr>
          <w:rFonts w:asciiTheme="minorHAnsi" w:eastAsiaTheme="minorEastAsia" w:hAnsiTheme="minorHAnsi" w:cstheme="minorBidi"/>
          <w:sz w:val="22"/>
          <w:szCs w:val="22"/>
        </w:rPr>
      </w:pPr>
      <w:r>
        <w:t>Abstract</w:t>
      </w:r>
    </w:p>
    <w:p w14:paraId="2C2C1A56" w14:textId="77777777" w:rsidR="002C2A18" w:rsidRDefault="002C2A18" w:rsidP="4D4307D7">
      <w:r w:rsidRPr="4D4307D7">
        <w:t>Owing to their porous structure and tunable framework, zeolitic imidazolate frameworks (ZIFs) have garnered considerable attention as promising photocatalytic materials. However, little is known regarding their photophysical properties. In this work, we report the photoinduced charge separation dynamics in a ZIF-67 thin film through interfacial electron transfer (ET) to methylene blue (MB</w:t>
      </w:r>
      <w:r w:rsidRPr="008B506B">
        <w:rPr>
          <w:vertAlign w:val="superscript"/>
        </w:rPr>
        <w:t>+</w:t>
      </w:r>
      <w:r w:rsidRPr="4D4307D7">
        <w:t>) via ultrafast transient absorption spectroscopy. We show that the ET process occurs through two distinct pathways, including an ultrafast (&lt;200 fs) process from the [Co</w:t>
      </w:r>
      <w:r w:rsidRPr="00233C6B">
        <w:rPr>
          <w:vertAlign w:val="superscript"/>
        </w:rPr>
        <w:t>II</w:t>
      </w:r>
      <w:r w:rsidRPr="4D4307D7">
        <w:t>(mim)</w:t>
      </w:r>
      <w:r w:rsidRPr="00233C6B">
        <w:rPr>
          <w:vertAlign w:val="subscript"/>
        </w:rPr>
        <w:t>2</w:t>
      </w:r>
      <w:r w:rsidRPr="4D4307D7">
        <w:t>] units located on the surface of ZIF-67 film that are directly in contact with MB</w:t>
      </w:r>
      <w:r w:rsidRPr="008B506B">
        <w:rPr>
          <w:vertAlign w:val="superscript"/>
        </w:rPr>
        <w:t>+</w:t>
      </w:r>
      <w:r w:rsidRPr="4D4307D7">
        <w:t> and a relatively slower ET process with a 101.4 ps time constant from the units in the bulk of the film that were isolated from MB</w:t>
      </w:r>
      <w:r w:rsidRPr="008B506B">
        <w:rPr>
          <w:vertAlign w:val="superscript"/>
        </w:rPr>
        <w:t>+</w:t>
      </w:r>
      <w:r w:rsidRPr="4D4307D7">
        <w:t> by the surface units. This first direct evidence of the ET process from ZIF-67 to electron acceptor strongly suggests that ZIF materials may be used as intrinsic photocatalytic materials rather than inert hosts.</w:t>
      </w:r>
    </w:p>
    <w:p w14:paraId="32FB2471" w14:textId="4F892CBD" w:rsidR="002C2A18" w:rsidRDefault="002C2A18" w:rsidP="4D4307D7">
      <w:pPr>
        <w:shd w:val="clear" w:color="auto" w:fill="FFFFFF" w:themeFill="background1"/>
        <w:spacing w:line="276" w:lineRule="auto"/>
        <w:jc w:val="center"/>
      </w:pPr>
      <w:r>
        <w:rPr>
          <w:noProof/>
        </w:rPr>
        <w:lastRenderedPageBreak/>
        <w:drawing>
          <wp:inline distT="0" distB="0" distL="0" distR="0" wp14:anchorId="6DF739F3" wp14:editId="6B31AD7F">
            <wp:extent cx="2390775" cy="1800225"/>
            <wp:effectExtent l="0" t="0" r="9525" b="9525"/>
            <wp:docPr id="178283682" name="Picture 32" descr=" Photoinduced interfacial charge separation dynamics in zeolitic imidazolate framework" title="Graphical Abstr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pic:nvPicPr>
                  <pic:blipFill>
                    <a:blip r:embed="rId11">
                      <a:extLst>
                        <a:ext uri="{28A0092B-C50C-407E-A947-70E740481C1C}">
                          <a14:useLocalDpi xmlns:a14="http://schemas.microsoft.com/office/drawing/2010/main" val="0"/>
                        </a:ext>
                      </a:extLst>
                    </a:blip>
                    <a:stretch>
                      <a:fillRect/>
                    </a:stretch>
                  </pic:blipFill>
                  <pic:spPr>
                    <a:xfrm>
                      <a:off x="0" y="0"/>
                      <a:ext cx="2390775" cy="1800225"/>
                    </a:xfrm>
                    <a:prstGeom prst="rect">
                      <a:avLst/>
                    </a:prstGeom>
                  </pic:spPr>
                </pic:pic>
              </a:graphicData>
            </a:graphic>
          </wp:inline>
        </w:drawing>
      </w:r>
    </w:p>
    <w:p w14:paraId="67B1DCAA" w14:textId="77777777" w:rsidR="002C2A18" w:rsidRDefault="002C2A18" w:rsidP="4D4307D7">
      <w:pPr>
        <w:pStyle w:val="Heading1"/>
        <w:spacing w:before="360" w:after="120" w:line="276" w:lineRule="auto"/>
        <w:rPr>
          <w:rFonts w:asciiTheme="minorHAnsi" w:eastAsiaTheme="minorEastAsia" w:hAnsiTheme="minorHAnsi" w:cstheme="minorBidi"/>
          <w:color w:val="191919"/>
          <w:sz w:val="22"/>
          <w:szCs w:val="22"/>
        </w:rPr>
      </w:pPr>
      <w:r w:rsidRPr="4D4307D7">
        <w:t>Introduction</w:t>
      </w:r>
    </w:p>
    <w:p w14:paraId="2D6B48E4" w14:textId="604651A0" w:rsidR="002C2A18" w:rsidRDefault="002C2A18" w:rsidP="4D4307D7">
      <w:pPr>
        <w:spacing w:after="0"/>
      </w:pPr>
      <w:r w:rsidRPr="4D4307D7">
        <w:t>Zeolitic imidazolate frameworks (ZIFs) are a subclass of metal–organic frameworks (MOFs) that are composed of primarily Co</w:t>
      </w:r>
      <w:r w:rsidRPr="00BA7C93">
        <w:rPr>
          <w:vertAlign w:val="superscript"/>
        </w:rPr>
        <w:t>II</w:t>
      </w:r>
      <w:r w:rsidRPr="4D4307D7">
        <w:t> or Zn</w:t>
      </w:r>
      <w:r w:rsidRPr="00BA7C93">
        <w:rPr>
          <w:vertAlign w:val="superscript"/>
        </w:rPr>
        <w:t>II</w:t>
      </w:r>
      <w:r w:rsidRPr="4D4307D7">
        <w:t> metal nodes tetrahedrally coordinated by imidazolate linkers.</w:t>
      </w:r>
      <w:hyperlink r:id="rId12" w:anchor="cit1" w:history="1">
        <w:r w:rsidRPr="4D4307D7">
          <w:rPr>
            <w:rStyle w:val="Hyperlink"/>
          </w:rPr>
          <w:t>1–3</w:t>
        </w:r>
      </w:hyperlink>
      <w:r w:rsidRPr="4D4307D7">
        <w:t> In addition to sharing the same topology with zeolites, ZIFs exhibit excellent thermal and chemical stability.</w:t>
      </w:r>
      <w:hyperlink r:id="rId13" w:anchor="cit4" w:history="1">
        <w:r w:rsidRPr="4D4307D7">
          <w:rPr>
            <w:rStyle w:val="Hyperlink"/>
          </w:rPr>
          <w:t>4,5</w:t>
        </w:r>
      </w:hyperlink>
      <w:r w:rsidRPr="4D4307D7">
        <w:t> However, ZIFs are particularly advantageous over traditional zeolite materials in their structural flexibility due to the diversity of imidazolate ligands available,</w:t>
      </w:r>
      <w:hyperlink r:id="rId14" w:anchor="cit5" w:history="1">
        <w:r w:rsidRPr="4D4307D7">
          <w:rPr>
            <w:rStyle w:val="Hyperlink"/>
          </w:rPr>
          <w:t>5,6</w:t>
        </w:r>
      </w:hyperlink>
      <w:r w:rsidRPr="4D4307D7">
        <w:t> and the ability to dope metals</w:t>
      </w:r>
      <w:hyperlink r:id="rId15" w:anchor="cit1" w:history="1">
        <w:r w:rsidRPr="4D4307D7">
          <w:rPr>
            <w:rStyle w:val="Hyperlink"/>
          </w:rPr>
          <w:t>1,7–10</w:t>
        </w:r>
      </w:hyperlink>
      <w:r w:rsidRPr="4D4307D7">
        <w:t> or different mixtures of ligands</w:t>
      </w:r>
      <w:hyperlink r:id="rId16" w:anchor="cit11" w:history="1">
        <w:r w:rsidRPr="4D4307D7">
          <w:rPr>
            <w:rStyle w:val="Hyperlink"/>
          </w:rPr>
          <w:t>11,12</w:t>
        </w:r>
      </w:hyperlink>
      <w:r w:rsidRPr="4D4307D7">
        <w:t> into the framework. These characteristics, together with their inherently large surface areas and high porosity, make ZIFs ideal materials for catalytic applications. Indeed, recent studies have demonstrated ZIFs’ catalytic activity in diverse reactions such as the Friedel–Crafts acylation,</w:t>
      </w:r>
      <w:hyperlink r:id="rId17" w:anchor="cit13" w:history="1">
        <w:r w:rsidRPr="4D4307D7">
          <w:rPr>
            <w:rStyle w:val="Hyperlink"/>
          </w:rPr>
          <w:t>13</w:t>
        </w:r>
      </w:hyperlink>
      <w:r w:rsidRPr="4D4307D7">
        <w:t> the Knoevenagel reaction,</w:t>
      </w:r>
      <w:hyperlink r:id="rId18" w:anchor="cit14" w:history="1">
        <w:r w:rsidRPr="4D4307D7">
          <w:rPr>
            <w:rStyle w:val="Hyperlink"/>
          </w:rPr>
          <w:t>14</w:t>
        </w:r>
      </w:hyperlink>
      <w:r w:rsidRPr="4D4307D7">
        <w:t> alkene hydrogenation etc.</w:t>
      </w:r>
      <w:hyperlink r:id="rId19" w:anchor="cit15" w:history="1">
        <w:r w:rsidRPr="4D4307D7">
          <w:rPr>
            <w:rStyle w:val="Hyperlink"/>
          </w:rPr>
          <w:t>15</w:t>
        </w:r>
      </w:hyperlink>
      <w:r w:rsidRPr="4D4307D7">
        <w:t> Very recently, ZIFs have also been used in photocatalysis including dye</w:t>
      </w:r>
      <w:hyperlink r:id="rId20" w:anchor="cit16" w:history="1">
        <w:r w:rsidRPr="4D4307D7">
          <w:rPr>
            <w:rStyle w:val="Hyperlink"/>
          </w:rPr>
          <w:t>16</w:t>
        </w:r>
      </w:hyperlink>
      <w:r w:rsidRPr="4D4307D7">
        <w:t> and phenol</w:t>
      </w:r>
      <w:hyperlink r:id="rId21" w:anchor="cit17" w:history="1">
        <w:r w:rsidRPr="4D4307D7">
          <w:rPr>
            <w:rStyle w:val="Hyperlink"/>
          </w:rPr>
          <w:t>17</w:t>
        </w:r>
      </w:hyperlink>
      <w:r w:rsidRPr="4D4307D7">
        <w:t> degradation as well as CO</w:t>
      </w:r>
      <w:r w:rsidRPr="00135CEE">
        <w:rPr>
          <w:vertAlign w:val="subscript"/>
        </w:rPr>
        <w:t>2</w:t>
      </w:r>
      <w:r w:rsidRPr="4D4307D7">
        <w:t> reduction</w:t>
      </w:r>
      <w:hyperlink r:id="rId22" w:anchor="cit18" w:history="1">
        <w:r w:rsidRPr="4D4307D7">
          <w:rPr>
            <w:rStyle w:val="Hyperlink"/>
          </w:rPr>
          <w:t>18,19</w:t>
        </w:r>
      </w:hyperlink>
      <w:r w:rsidRPr="4D4307D7">
        <w:t> and H</w:t>
      </w:r>
      <w:r w:rsidRPr="001C3936">
        <w:rPr>
          <w:vertAlign w:val="subscript"/>
        </w:rPr>
        <w:t>2</w:t>
      </w:r>
      <w:r w:rsidRPr="4D4307D7">
        <w:t> generation</w:t>
      </w:r>
      <w:hyperlink r:id="rId23" w:anchor="cit20" w:history="1">
        <w:r w:rsidRPr="4D4307D7">
          <w:rPr>
            <w:rStyle w:val="Hyperlink"/>
          </w:rPr>
          <w:t>20,21</w:t>
        </w:r>
      </w:hyperlink>
      <w:r w:rsidRPr="4D4307D7">
        <w:t> in the presence of molecular photosensitizers.</w:t>
      </w:r>
    </w:p>
    <w:p w14:paraId="45631901" w14:textId="77777777" w:rsidR="00E520A0" w:rsidRDefault="00E520A0" w:rsidP="4D4307D7">
      <w:pPr>
        <w:spacing w:after="0"/>
      </w:pPr>
    </w:p>
    <w:p w14:paraId="07D81239" w14:textId="4EC70DA4" w:rsidR="002C2A18" w:rsidRDefault="002C2A18" w:rsidP="4D4307D7">
      <w:pPr>
        <w:spacing w:after="0"/>
      </w:pPr>
      <w:r w:rsidRPr="4D4307D7">
        <w:t>While these exploratory studies have demonstrated the potential of ZIFs in photocatalytic reactions, the roles that ZIFs play in these systems are either as inert hosts or remain blurred. Recently, our group found that ZIFs based on transition metal with unfilled d orbitals exhibit exceptional optical properties, including broad absorption bands in the UV-visible and near IR regions, with a surprisingly long-lived excited state for Co-ZIFs.</w:t>
      </w:r>
      <w:hyperlink r:id="rId24" w:anchor="cit22" w:history="1">
        <w:r w:rsidRPr="4D4307D7">
          <w:rPr>
            <w:rStyle w:val="Hyperlink"/>
          </w:rPr>
          <w:t>22</w:t>
        </w:r>
      </w:hyperlink>
    </w:p>
    <w:p w14:paraId="073FBB73" w14:textId="77777777" w:rsidR="002C2A18" w:rsidRDefault="002C2A18" w:rsidP="4D4307D7">
      <w:pPr>
        <w:spacing w:after="0"/>
      </w:pPr>
      <w:r w:rsidRPr="4D4307D7">
        <w:t>This suggests that ZIFs may afford facile charge separation (CS) and redox chemistry, desirable properties of heterogeneous photocatalysts. However, there have not yet been experimental reports of the CS dynamics from the excited state of ZIF materials. As fast and efficient charge transfer from excited ZIFs to substrates is essential for their application in photocatalysis, in this work, we report the first fundamental study of CS and charge recombination (CR) dynamics of ZIFs in the presence of methylene blue (MB</w:t>
      </w:r>
      <w:r w:rsidRPr="00C172F3">
        <w:rPr>
          <w:vertAlign w:val="superscript"/>
        </w:rPr>
        <w:t>+</w:t>
      </w:r>
      <w:r w:rsidRPr="4D4307D7">
        <w:t>) as an electron acceptor. Using ultrafast transient absorption (TA) spectroscopy, we observe the reduction of methylene blue by the ZIF-67 excited state following its selective excitation. This first insight into the CS dynamics of ZIF-67 will be essential toward developing ZIF materials as intrinsic light harvesting and CS materials for photocatalytic applications.</w:t>
      </w:r>
    </w:p>
    <w:p w14:paraId="3306DABC" w14:textId="77777777" w:rsidR="002C2A18" w:rsidRDefault="002C2A18" w:rsidP="4D4307D7">
      <w:pPr>
        <w:pStyle w:val="Heading1"/>
        <w:spacing w:before="360" w:after="120" w:line="276" w:lineRule="auto"/>
        <w:rPr>
          <w:rFonts w:asciiTheme="minorHAnsi" w:eastAsiaTheme="minorEastAsia" w:hAnsiTheme="minorHAnsi" w:cstheme="minorBidi"/>
          <w:color w:val="191919"/>
          <w:sz w:val="22"/>
          <w:szCs w:val="22"/>
        </w:rPr>
      </w:pPr>
      <w:r w:rsidRPr="4D4307D7">
        <w:t>Experimental</w:t>
      </w:r>
    </w:p>
    <w:p w14:paraId="29021B5D" w14:textId="77777777" w:rsidR="002C2A18" w:rsidRDefault="002C2A18" w:rsidP="4D4307D7">
      <w:pPr>
        <w:pStyle w:val="Heading2"/>
        <w:spacing w:before="360" w:after="120" w:line="276" w:lineRule="auto"/>
        <w:rPr>
          <w:rFonts w:asciiTheme="minorHAnsi" w:eastAsiaTheme="minorEastAsia" w:hAnsiTheme="minorHAnsi" w:cstheme="minorBidi"/>
          <w:color w:val="191919"/>
          <w:sz w:val="22"/>
          <w:szCs w:val="22"/>
        </w:rPr>
      </w:pPr>
      <w:r w:rsidRPr="4D4307D7">
        <w:t>Synthesis of ZIF-67 and MB</w:t>
      </w:r>
      <w:r w:rsidRPr="00AF0AF0">
        <w:rPr>
          <w:vertAlign w:val="superscript"/>
        </w:rPr>
        <w:t>+</w:t>
      </w:r>
      <w:r w:rsidRPr="4D4307D7">
        <w:t>-ZIF-67 films</w:t>
      </w:r>
    </w:p>
    <w:p w14:paraId="50E09A0C" w14:textId="6159B935" w:rsidR="002C2A18" w:rsidRDefault="002C2A18" w:rsidP="4D4307D7">
      <w:pPr>
        <w:spacing w:after="0"/>
      </w:pPr>
      <w:r w:rsidRPr="4D4307D7">
        <w:t>ZIF-67 was prepared according to the published procedure.</w:t>
      </w:r>
      <w:hyperlink r:id="rId25" w:anchor="cit22" w:history="1">
        <w:r w:rsidRPr="4D4307D7">
          <w:rPr>
            <w:rStyle w:val="Hyperlink"/>
          </w:rPr>
          <w:t>22,23</w:t>
        </w:r>
      </w:hyperlink>
      <w:r w:rsidRPr="4D4307D7">
        <w:t> 1.65 g of 2-methylimidazole (Alfa Aesar, Haverhill, Ma) and 0.73 g of Co(NO</w:t>
      </w:r>
      <w:r w:rsidRPr="007D3877">
        <w:rPr>
          <w:vertAlign w:val="subscript"/>
        </w:rPr>
        <w:t>3</w:t>
      </w:r>
      <w:r w:rsidRPr="4D4307D7">
        <w:t>)</w:t>
      </w:r>
      <w:r w:rsidRPr="007D3877">
        <w:rPr>
          <w:vertAlign w:val="subscript"/>
        </w:rPr>
        <w:t>2</w:t>
      </w:r>
      <w:r w:rsidRPr="4D4307D7">
        <w:t>·6H</w:t>
      </w:r>
      <w:r w:rsidRPr="001C3936">
        <w:rPr>
          <w:vertAlign w:val="subscript"/>
        </w:rPr>
        <w:t>2</w:t>
      </w:r>
      <w:r w:rsidRPr="4D4307D7">
        <w:t>O (Acros Organics, Geel, Belgium) were each dissolved in 50 mL portions of methanol (Fisher Scientific, Fair Lawn, NJ). Quartz substrates (Ted Pella, Redding, CA) were treated with a piranha-etching solution (3 : 1 ratio of H</w:t>
      </w:r>
      <w:r w:rsidRPr="001C3936">
        <w:rPr>
          <w:vertAlign w:val="subscript"/>
        </w:rPr>
        <w:t>2</w:t>
      </w:r>
      <w:r w:rsidRPr="4D4307D7">
        <w:t>SO</w:t>
      </w:r>
      <w:r w:rsidRPr="001C3936">
        <w:rPr>
          <w:vertAlign w:val="subscript"/>
        </w:rPr>
        <w:t>4</w:t>
      </w:r>
      <w:r w:rsidRPr="4D4307D7">
        <w:t> : H</w:t>
      </w:r>
      <w:r w:rsidRPr="001C3936">
        <w:rPr>
          <w:vertAlign w:val="subscript"/>
        </w:rPr>
        <w:t>2</w:t>
      </w:r>
      <w:r w:rsidRPr="4D4307D7">
        <w:t>O</w:t>
      </w:r>
      <w:r w:rsidRPr="001C3936">
        <w:rPr>
          <w:vertAlign w:val="subscript"/>
        </w:rPr>
        <w:t>2</w:t>
      </w:r>
      <w:r w:rsidRPr="4D4307D7">
        <w:t xml:space="preserve"> by volume) overnight to functionalize the surface with </w:t>
      </w:r>
      <w:r w:rsidRPr="4D4307D7">
        <w:lastRenderedPageBreak/>
        <w:t>–OH groups for the facile attachment of ZIF-67. The etched substrates were rinsed with deionized water and placed in 20 mL glass vials for the ZIF-67 film growth. To the vial containing the film, 3 mL of Co(NO</w:t>
      </w:r>
      <w:r w:rsidRPr="002F4F57">
        <w:rPr>
          <w:vertAlign w:val="subscript"/>
        </w:rPr>
        <w:t>3</w:t>
      </w:r>
      <w:r w:rsidRPr="4D4307D7">
        <w:t>)</w:t>
      </w:r>
      <w:r w:rsidRPr="0059216B">
        <w:rPr>
          <w:vertAlign w:val="subscript"/>
        </w:rPr>
        <w:t>2</w:t>
      </w:r>
      <w:r w:rsidRPr="4D4307D7">
        <w:t> and 3 mL of 2-methylimidazole precursors were added quickly and the violet ZIF-67 solution was allowed 1 hour of growth time and then the film was removed from solution and rinsed with ethanol to represent a single ZIF-67 layer on the film. This process was repeated twice more to give a total of 3 ZIF-67 layers. Any ZIF-67 growth on the backside of the film was mechanically removed by wiping to give a ZIF-67 film on only one side of the substrate.</w:t>
      </w:r>
    </w:p>
    <w:p w14:paraId="29A3AB75" w14:textId="77777777" w:rsidR="00E520A0" w:rsidRDefault="00E520A0" w:rsidP="4D4307D7">
      <w:pPr>
        <w:spacing w:after="0"/>
      </w:pPr>
    </w:p>
    <w:p w14:paraId="5382A157" w14:textId="05C31FB2" w:rsidR="002C2A18" w:rsidRDefault="002C2A18" w:rsidP="4D4307D7">
      <w:pPr>
        <w:spacing w:after="0"/>
      </w:pPr>
      <w:r w:rsidRPr="4D4307D7">
        <w:t>The ZIF-67 film was then sensitized with MB</w:t>
      </w:r>
      <w:r w:rsidRPr="00AF0AF0">
        <w:rPr>
          <w:vertAlign w:val="superscript"/>
        </w:rPr>
        <w:t>+</w:t>
      </w:r>
      <w:r w:rsidRPr="4D4307D7">
        <w:t> (Acros Organics, Geel, Belgium) by soaking the ZIF-67 film in a 0.1 M methanol solution of MB</w:t>
      </w:r>
      <w:r w:rsidRPr="00AF0AF0">
        <w:rPr>
          <w:vertAlign w:val="superscript"/>
        </w:rPr>
        <w:t>+</w:t>
      </w:r>
      <w:r w:rsidRPr="4D4307D7">
        <w:t> for 15 minutes. The film was then removed from solution and allowed to dry. The control sample, MB</w:t>
      </w:r>
      <w:r w:rsidRPr="00AF0AF0">
        <w:rPr>
          <w:vertAlign w:val="superscript"/>
        </w:rPr>
        <w:t>+</w:t>
      </w:r>
      <w:r w:rsidRPr="4D4307D7">
        <w:t>-quartz was synthesized by spin-coating a 0.1 M solution of MB</w:t>
      </w:r>
      <w:r w:rsidRPr="00AF0AF0">
        <w:rPr>
          <w:vertAlign w:val="superscript"/>
        </w:rPr>
        <w:t>+</w:t>
      </w:r>
      <w:r w:rsidRPr="4D4307D7">
        <w:t> in methanol onto an etched quartz substrate until a comparable optical density to MB</w:t>
      </w:r>
      <w:r w:rsidRPr="00AF0AF0">
        <w:rPr>
          <w:vertAlign w:val="superscript"/>
        </w:rPr>
        <w:t>+</w:t>
      </w:r>
      <w:r w:rsidRPr="4D4307D7">
        <w:t>-ZIF-67 was obtained.</w:t>
      </w:r>
    </w:p>
    <w:p w14:paraId="13252202" w14:textId="77777777" w:rsidR="00E520A0" w:rsidRDefault="00E520A0" w:rsidP="4D4307D7">
      <w:pPr>
        <w:shd w:val="clear" w:color="auto" w:fill="FFFFFF" w:themeFill="background1"/>
        <w:spacing w:line="276" w:lineRule="auto"/>
        <w:rPr>
          <w:rStyle w:val="h--heading3"/>
          <w:b/>
          <w:bCs/>
          <w:color w:val="191919"/>
          <w:spacing w:val="-7"/>
        </w:rPr>
      </w:pPr>
    </w:p>
    <w:p w14:paraId="55745E6C" w14:textId="06F57F66" w:rsidR="002C2A18" w:rsidRDefault="002C2A18" w:rsidP="4D4307D7">
      <w:pPr>
        <w:shd w:val="clear" w:color="auto" w:fill="FFFFFF" w:themeFill="background1"/>
        <w:spacing w:line="276" w:lineRule="auto"/>
      </w:pPr>
      <w:r w:rsidRPr="7152785D">
        <w:rPr>
          <w:rStyle w:val="h--heading3"/>
          <w:b/>
          <w:bCs/>
          <w:color w:val="191919"/>
          <w:spacing w:val="-7"/>
        </w:rPr>
        <w:t>Table 1</w:t>
      </w:r>
      <w:r w:rsidRPr="7152785D">
        <w:rPr>
          <w:spacing w:val="-5"/>
        </w:rPr>
        <w:t> TA kinetic fitting parameters with time constants </w:t>
      </w:r>
      <w:r w:rsidRPr="7152785D">
        <w:rPr>
          <w:rStyle w:val="Emphasis"/>
          <w:spacing w:val="-5"/>
        </w:rPr>
        <w:t>τ</w:t>
      </w:r>
      <w:r w:rsidRPr="7152785D">
        <w:rPr>
          <w:spacing w:val="-5"/>
        </w:rPr>
        <w:t> and normalized amplitudes at selected representative wavelengths</w:t>
      </w:r>
    </w:p>
    <w:tbl>
      <w:tblPr>
        <w:tblStyle w:val="TableGrid"/>
        <w:tblW w:w="0" w:type="auto"/>
        <w:tblCellMar>
          <w:left w:w="0" w:type="dxa"/>
          <w:right w:w="0" w:type="dxa"/>
        </w:tblCellMar>
        <w:tblLook w:val="04A0" w:firstRow="1" w:lastRow="0" w:firstColumn="1" w:lastColumn="0" w:noHBand="0" w:noVBand="1"/>
      </w:tblPr>
      <w:tblGrid>
        <w:gridCol w:w="1115"/>
        <w:gridCol w:w="663"/>
        <w:gridCol w:w="590"/>
        <w:gridCol w:w="592"/>
        <w:gridCol w:w="590"/>
        <w:gridCol w:w="592"/>
        <w:gridCol w:w="622"/>
        <w:gridCol w:w="592"/>
        <w:gridCol w:w="679"/>
        <w:gridCol w:w="592"/>
      </w:tblGrid>
      <w:tr w:rsidR="002C2A18" w14:paraId="5F73D4C3" w14:textId="77777777" w:rsidTr="4D4307D7">
        <w:trPr>
          <w:tblHeader/>
        </w:trPr>
        <w:tc>
          <w:tcPr>
            <w:tcW w:w="0" w:type="auto"/>
            <w:tcMar>
              <w:top w:w="60" w:type="dxa"/>
              <w:left w:w="60" w:type="dxa"/>
              <w:bottom w:w="60" w:type="dxa"/>
              <w:right w:w="60" w:type="dxa"/>
            </w:tcMar>
            <w:vAlign w:val="bottom"/>
            <w:hideMark/>
          </w:tcPr>
          <w:p w14:paraId="6C572A93" w14:textId="77777777" w:rsidR="002C2A18" w:rsidRDefault="4D4307D7" w:rsidP="4D4307D7">
            <w:pPr>
              <w:spacing w:line="276" w:lineRule="auto"/>
              <w:rPr>
                <w:b/>
                <w:bCs/>
              </w:rPr>
            </w:pPr>
            <w:r w:rsidRPr="4D4307D7">
              <w:rPr>
                <w:b/>
                <w:bCs/>
              </w:rPr>
              <w:t>Sample</w:t>
            </w:r>
          </w:p>
        </w:tc>
        <w:tc>
          <w:tcPr>
            <w:tcW w:w="0" w:type="auto"/>
            <w:tcMar>
              <w:top w:w="60" w:type="dxa"/>
              <w:left w:w="60" w:type="dxa"/>
              <w:bottom w:w="60" w:type="dxa"/>
              <w:right w:w="60" w:type="dxa"/>
            </w:tcMar>
            <w:vAlign w:val="bottom"/>
            <w:hideMark/>
          </w:tcPr>
          <w:p w14:paraId="67094555" w14:textId="77777777" w:rsidR="002C2A18" w:rsidRDefault="4D4307D7" w:rsidP="4D4307D7">
            <w:pPr>
              <w:spacing w:line="276" w:lineRule="auto"/>
              <w:rPr>
                <w:b/>
                <w:bCs/>
              </w:rPr>
            </w:pPr>
            <w:r w:rsidRPr="4D4307D7">
              <w:rPr>
                <w:b/>
                <w:bCs/>
              </w:rPr>
              <w:t>Probe</w:t>
            </w:r>
          </w:p>
        </w:tc>
        <w:tc>
          <w:tcPr>
            <w:tcW w:w="0" w:type="auto"/>
            <w:tcMar>
              <w:top w:w="60" w:type="dxa"/>
              <w:left w:w="60" w:type="dxa"/>
              <w:bottom w:w="60" w:type="dxa"/>
              <w:right w:w="60" w:type="dxa"/>
            </w:tcMar>
            <w:vAlign w:val="bottom"/>
            <w:hideMark/>
          </w:tcPr>
          <w:p w14:paraId="69B5B880" w14:textId="77777777" w:rsidR="002C2A18" w:rsidRDefault="4D4307D7" w:rsidP="4D4307D7">
            <w:pPr>
              <w:spacing w:line="276" w:lineRule="auto"/>
              <w:rPr>
                <w:b/>
                <w:bCs/>
              </w:rPr>
            </w:pPr>
            <w:r w:rsidRPr="4D4307D7">
              <w:rPr>
                <w:rStyle w:val="Emphasis"/>
                <w:b/>
                <w:bCs/>
              </w:rPr>
              <w:t>τ</w:t>
            </w:r>
            <w:r w:rsidRPr="4D4307D7">
              <w:rPr>
                <w:b/>
                <w:bCs/>
                <w:vertAlign w:val="subscript"/>
              </w:rPr>
              <w:t>1</w:t>
            </w:r>
            <w:r w:rsidRPr="4D4307D7">
              <w:rPr>
                <w:b/>
                <w:bCs/>
              </w:rPr>
              <w:t>, ps</w:t>
            </w:r>
          </w:p>
        </w:tc>
        <w:tc>
          <w:tcPr>
            <w:tcW w:w="0" w:type="auto"/>
            <w:tcMar>
              <w:top w:w="60" w:type="dxa"/>
              <w:left w:w="60" w:type="dxa"/>
              <w:bottom w:w="60" w:type="dxa"/>
              <w:right w:w="60" w:type="dxa"/>
            </w:tcMar>
            <w:vAlign w:val="bottom"/>
            <w:hideMark/>
          </w:tcPr>
          <w:p w14:paraId="7B73F28B" w14:textId="77777777" w:rsidR="002C2A18" w:rsidRDefault="4D4307D7" w:rsidP="4D4307D7">
            <w:pPr>
              <w:spacing w:line="276" w:lineRule="auto"/>
              <w:rPr>
                <w:b/>
                <w:bCs/>
              </w:rPr>
            </w:pPr>
            <w:r w:rsidRPr="4D4307D7">
              <w:rPr>
                <w:rStyle w:val="Emphasis"/>
                <w:b/>
                <w:bCs/>
              </w:rPr>
              <w:t>A</w:t>
            </w:r>
            <w:r w:rsidRPr="4D4307D7">
              <w:rPr>
                <w:b/>
                <w:bCs/>
                <w:vertAlign w:val="subscript"/>
              </w:rPr>
              <w:t>1</w:t>
            </w:r>
            <w:r w:rsidRPr="4D4307D7">
              <w:rPr>
                <w:b/>
                <w:bCs/>
              </w:rPr>
              <w:t>, %</w:t>
            </w:r>
          </w:p>
        </w:tc>
        <w:tc>
          <w:tcPr>
            <w:tcW w:w="0" w:type="auto"/>
            <w:tcMar>
              <w:top w:w="60" w:type="dxa"/>
              <w:left w:w="60" w:type="dxa"/>
              <w:bottom w:w="60" w:type="dxa"/>
              <w:right w:w="60" w:type="dxa"/>
            </w:tcMar>
            <w:vAlign w:val="bottom"/>
            <w:hideMark/>
          </w:tcPr>
          <w:p w14:paraId="2A2CBBDA" w14:textId="77777777" w:rsidR="002C2A18" w:rsidRDefault="4D4307D7" w:rsidP="4D4307D7">
            <w:pPr>
              <w:spacing w:line="276" w:lineRule="auto"/>
              <w:rPr>
                <w:b/>
                <w:bCs/>
              </w:rPr>
            </w:pPr>
            <w:r w:rsidRPr="4D4307D7">
              <w:rPr>
                <w:rStyle w:val="Emphasis"/>
                <w:b/>
                <w:bCs/>
              </w:rPr>
              <w:t>τ</w:t>
            </w:r>
            <w:r w:rsidRPr="4D4307D7">
              <w:rPr>
                <w:b/>
                <w:bCs/>
                <w:vertAlign w:val="subscript"/>
              </w:rPr>
              <w:t>2</w:t>
            </w:r>
            <w:r w:rsidRPr="4D4307D7">
              <w:rPr>
                <w:b/>
                <w:bCs/>
              </w:rPr>
              <w:t>, ps</w:t>
            </w:r>
          </w:p>
        </w:tc>
        <w:tc>
          <w:tcPr>
            <w:tcW w:w="0" w:type="auto"/>
            <w:tcMar>
              <w:top w:w="60" w:type="dxa"/>
              <w:left w:w="60" w:type="dxa"/>
              <w:bottom w:w="60" w:type="dxa"/>
              <w:right w:w="60" w:type="dxa"/>
            </w:tcMar>
            <w:vAlign w:val="bottom"/>
            <w:hideMark/>
          </w:tcPr>
          <w:p w14:paraId="112F6FB1" w14:textId="77777777" w:rsidR="002C2A18" w:rsidRDefault="4D4307D7" w:rsidP="4D4307D7">
            <w:pPr>
              <w:spacing w:line="276" w:lineRule="auto"/>
              <w:rPr>
                <w:b/>
                <w:bCs/>
              </w:rPr>
            </w:pPr>
            <w:r w:rsidRPr="4D4307D7">
              <w:rPr>
                <w:rStyle w:val="Emphasis"/>
                <w:b/>
                <w:bCs/>
              </w:rPr>
              <w:t>A</w:t>
            </w:r>
            <w:r w:rsidRPr="4D4307D7">
              <w:rPr>
                <w:b/>
                <w:bCs/>
                <w:vertAlign w:val="subscript"/>
              </w:rPr>
              <w:t>2</w:t>
            </w:r>
            <w:r w:rsidRPr="4D4307D7">
              <w:rPr>
                <w:b/>
                <w:bCs/>
              </w:rPr>
              <w:t>, %</w:t>
            </w:r>
          </w:p>
        </w:tc>
        <w:tc>
          <w:tcPr>
            <w:tcW w:w="0" w:type="auto"/>
            <w:tcMar>
              <w:top w:w="60" w:type="dxa"/>
              <w:left w:w="60" w:type="dxa"/>
              <w:bottom w:w="60" w:type="dxa"/>
              <w:right w:w="60" w:type="dxa"/>
            </w:tcMar>
            <w:vAlign w:val="bottom"/>
            <w:hideMark/>
          </w:tcPr>
          <w:p w14:paraId="63DC9671" w14:textId="77777777" w:rsidR="002C2A18" w:rsidRDefault="4D4307D7" w:rsidP="4D4307D7">
            <w:pPr>
              <w:spacing w:line="276" w:lineRule="auto"/>
              <w:rPr>
                <w:b/>
                <w:bCs/>
              </w:rPr>
            </w:pPr>
            <w:r w:rsidRPr="4D4307D7">
              <w:rPr>
                <w:rStyle w:val="Emphasis"/>
                <w:b/>
                <w:bCs/>
              </w:rPr>
              <w:t>τ</w:t>
            </w:r>
            <w:r w:rsidRPr="4D4307D7">
              <w:rPr>
                <w:b/>
                <w:bCs/>
                <w:vertAlign w:val="subscript"/>
              </w:rPr>
              <w:t>3</w:t>
            </w:r>
            <w:r w:rsidRPr="4D4307D7">
              <w:rPr>
                <w:b/>
                <w:bCs/>
              </w:rPr>
              <w:t>, ps</w:t>
            </w:r>
          </w:p>
        </w:tc>
        <w:tc>
          <w:tcPr>
            <w:tcW w:w="0" w:type="auto"/>
            <w:tcMar>
              <w:top w:w="60" w:type="dxa"/>
              <w:left w:w="60" w:type="dxa"/>
              <w:bottom w:w="60" w:type="dxa"/>
              <w:right w:w="60" w:type="dxa"/>
            </w:tcMar>
            <w:vAlign w:val="bottom"/>
            <w:hideMark/>
          </w:tcPr>
          <w:p w14:paraId="20844F49" w14:textId="77777777" w:rsidR="002C2A18" w:rsidRDefault="4D4307D7" w:rsidP="4D4307D7">
            <w:pPr>
              <w:spacing w:line="276" w:lineRule="auto"/>
              <w:rPr>
                <w:b/>
                <w:bCs/>
              </w:rPr>
            </w:pPr>
            <w:r w:rsidRPr="4D4307D7">
              <w:rPr>
                <w:rStyle w:val="Emphasis"/>
                <w:b/>
                <w:bCs/>
              </w:rPr>
              <w:t>A</w:t>
            </w:r>
            <w:r w:rsidRPr="4D4307D7">
              <w:rPr>
                <w:b/>
                <w:bCs/>
                <w:vertAlign w:val="subscript"/>
              </w:rPr>
              <w:t>3</w:t>
            </w:r>
            <w:r w:rsidRPr="4D4307D7">
              <w:rPr>
                <w:b/>
                <w:bCs/>
              </w:rPr>
              <w:t>, %</w:t>
            </w:r>
          </w:p>
        </w:tc>
        <w:tc>
          <w:tcPr>
            <w:tcW w:w="0" w:type="auto"/>
            <w:tcMar>
              <w:top w:w="60" w:type="dxa"/>
              <w:left w:w="60" w:type="dxa"/>
              <w:bottom w:w="60" w:type="dxa"/>
              <w:right w:w="60" w:type="dxa"/>
            </w:tcMar>
            <w:vAlign w:val="bottom"/>
            <w:hideMark/>
          </w:tcPr>
          <w:p w14:paraId="0EE25C05" w14:textId="77777777" w:rsidR="002C2A18" w:rsidRDefault="4D4307D7" w:rsidP="4D4307D7">
            <w:pPr>
              <w:spacing w:line="276" w:lineRule="auto"/>
              <w:rPr>
                <w:b/>
                <w:bCs/>
              </w:rPr>
            </w:pPr>
            <w:r w:rsidRPr="4D4307D7">
              <w:rPr>
                <w:rStyle w:val="Emphasis"/>
                <w:b/>
                <w:bCs/>
              </w:rPr>
              <w:t>τ</w:t>
            </w:r>
            <w:r w:rsidRPr="4D4307D7">
              <w:rPr>
                <w:b/>
                <w:bCs/>
                <w:vertAlign w:val="subscript"/>
              </w:rPr>
              <w:t>4</w:t>
            </w:r>
          </w:p>
        </w:tc>
        <w:tc>
          <w:tcPr>
            <w:tcW w:w="0" w:type="auto"/>
            <w:tcMar>
              <w:top w:w="60" w:type="dxa"/>
              <w:left w:w="60" w:type="dxa"/>
              <w:bottom w:w="60" w:type="dxa"/>
              <w:right w:w="60" w:type="dxa"/>
            </w:tcMar>
            <w:vAlign w:val="bottom"/>
            <w:hideMark/>
          </w:tcPr>
          <w:p w14:paraId="1CF0DDA5" w14:textId="77777777" w:rsidR="002C2A18" w:rsidRDefault="4D4307D7" w:rsidP="4D4307D7">
            <w:pPr>
              <w:spacing w:line="276" w:lineRule="auto"/>
              <w:rPr>
                <w:b/>
                <w:bCs/>
              </w:rPr>
            </w:pPr>
            <w:r w:rsidRPr="4D4307D7">
              <w:rPr>
                <w:rStyle w:val="Emphasis"/>
                <w:b/>
                <w:bCs/>
              </w:rPr>
              <w:t>A</w:t>
            </w:r>
            <w:r w:rsidRPr="4D4307D7">
              <w:rPr>
                <w:b/>
                <w:bCs/>
                <w:vertAlign w:val="subscript"/>
              </w:rPr>
              <w:t>4</w:t>
            </w:r>
            <w:r w:rsidRPr="4D4307D7">
              <w:rPr>
                <w:b/>
                <w:bCs/>
              </w:rPr>
              <w:t>, %</w:t>
            </w:r>
          </w:p>
        </w:tc>
      </w:tr>
      <w:tr w:rsidR="002C2A18" w14:paraId="39FE22E8" w14:textId="77777777" w:rsidTr="4D4307D7">
        <w:tc>
          <w:tcPr>
            <w:tcW w:w="1115" w:type="dxa"/>
            <w:tcMar>
              <w:top w:w="60" w:type="dxa"/>
              <w:left w:w="60" w:type="dxa"/>
              <w:bottom w:w="60" w:type="dxa"/>
              <w:right w:w="60" w:type="dxa"/>
            </w:tcMar>
            <w:hideMark/>
          </w:tcPr>
          <w:p w14:paraId="79B6242A" w14:textId="77777777" w:rsidR="002C2A18" w:rsidRDefault="4D4307D7" w:rsidP="4D4307D7">
            <w:pPr>
              <w:spacing w:line="276" w:lineRule="auto"/>
            </w:pPr>
            <w:r w:rsidRPr="4D4307D7">
              <w:t>ZIF-67</w:t>
            </w:r>
          </w:p>
        </w:tc>
        <w:tc>
          <w:tcPr>
            <w:tcW w:w="0" w:type="auto"/>
            <w:tcMar>
              <w:top w:w="60" w:type="dxa"/>
              <w:left w:w="60" w:type="dxa"/>
              <w:bottom w:w="60" w:type="dxa"/>
              <w:right w:w="60" w:type="dxa"/>
            </w:tcMar>
            <w:hideMark/>
          </w:tcPr>
          <w:p w14:paraId="5B964B9A" w14:textId="77777777" w:rsidR="002C2A18" w:rsidRDefault="4D4307D7" w:rsidP="4D4307D7">
            <w:pPr>
              <w:spacing w:line="276" w:lineRule="auto"/>
            </w:pPr>
            <w:r w:rsidRPr="4D4307D7">
              <w:t>508</w:t>
            </w:r>
          </w:p>
        </w:tc>
        <w:tc>
          <w:tcPr>
            <w:tcW w:w="0" w:type="auto"/>
            <w:tcMar>
              <w:top w:w="60" w:type="dxa"/>
              <w:left w:w="60" w:type="dxa"/>
              <w:bottom w:w="60" w:type="dxa"/>
              <w:right w:w="60" w:type="dxa"/>
            </w:tcMar>
            <w:hideMark/>
          </w:tcPr>
          <w:p w14:paraId="2FDF45F6" w14:textId="77777777" w:rsidR="002C2A18" w:rsidRDefault="002C2A18" w:rsidP="4D4307D7">
            <w:pPr>
              <w:spacing w:line="276" w:lineRule="auto"/>
            </w:pPr>
          </w:p>
        </w:tc>
        <w:tc>
          <w:tcPr>
            <w:tcW w:w="0" w:type="auto"/>
            <w:tcMar>
              <w:top w:w="60" w:type="dxa"/>
              <w:left w:w="60" w:type="dxa"/>
              <w:bottom w:w="60" w:type="dxa"/>
              <w:right w:w="60" w:type="dxa"/>
            </w:tcMar>
            <w:hideMark/>
          </w:tcPr>
          <w:p w14:paraId="238BC13D" w14:textId="77777777" w:rsidR="002C2A18" w:rsidRDefault="4D4307D7" w:rsidP="4D4307D7">
            <w:pPr>
              <w:spacing w:line="276" w:lineRule="auto"/>
            </w:pPr>
            <w:r w:rsidRPr="4D4307D7">
              <w:t>41.6</w:t>
            </w:r>
          </w:p>
        </w:tc>
        <w:tc>
          <w:tcPr>
            <w:tcW w:w="0" w:type="auto"/>
            <w:tcMar>
              <w:top w:w="60" w:type="dxa"/>
              <w:left w:w="60" w:type="dxa"/>
              <w:bottom w:w="60" w:type="dxa"/>
              <w:right w:w="60" w:type="dxa"/>
            </w:tcMar>
            <w:hideMark/>
          </w:tcPr>
          <w:p w14:paraId="438116F4" w14:textId="77777777" w:rsidR="002C2A18" w:rsidRDefault="4D4307D7" w:rsidP="4D4307D7">
            <w:pPr>
              <w:spacing w:line="276" w:lineRule="auto"/>
            </w:pPr>
            <w:r w:rsidRPr="4D4307D7">
              <w:t>—</w:t>
            </w:r>
          </w:p>
        </w:tc>
        <w:tc>
          <w:tcPr>
            <w:tcW w:w="0" w:type="auto"/>
            <w:tcMar>
              <w:top w:w="60" w:type="dxa"/>
              <w:left w:w="60" w:type="dxa"/>
              <w:bottom w:w="60" w:type="dxa"/>
              <w:right w:w="60" w:type="dxa"/>
            </w:tcMar>
            <w:hideMark/>
          </w:tcPr>
          <w:p w14:paraId="4A5A67A8" w14:textId="77777777" w:rsidR="002C2A18" w:rsidRDefault="4D4307D7" w:rsidP="4D4307D7">
            <w:pPr>
              <w:spacing w:line="276" w:lineRule="auto"/>
            </w:pPr>
            <w:r w:rsidRPr="4D4307D7">
              <w:t>—</w:t>
            </w:r>
          </w:p>
        </w:tc>
        <w:tc>
          <w:tcPr>
            <w:tcW w:w="0" w:type="auto"/>
            <w:tcMar>
              <w:top w:w="60" w:type="dxa"/>
              <w:left w:w="60" w:type="dxa"/>
              <w:bottom w:w="60" w:type="dxa"/>
              <w:right w:w="60" w:type="dxa"/>
            </w:tcMar>
            <w:hideMark/>
          </w:tcPr>
          <w:p w14:paraId="094769C8" w14:textId="77777777" w:rsidR="002C2A18" w:rsidRDefault="4D4307D7" w:rsidP="4D4307D7">
            <w:pPr>
              <w:spacing w:line="276" w:lineRule="auto"/>
            </w:pPr>
            <w:r w:rsidRPr="4D4307D7">
              <w:t>—</w:t>
            </w:r>
          </w:p>
        </w:tc>
        <w:tc>
          <w:tcPr>
            <w:tcW w:w="0" w:type="auto"/>
            <w:tcMar>
              <w:top w:w="60" w:type="dxa"/>
              <w:left w:w="60" w:type="dxa"/>
              <w:bottom w:w="60" w:type="dxa"/>
              <w:right w:w="60" w:type="dxa"/>
            </w:tcMar>
            <w:hideMark/>
          </w:tcPr>
          <w:p w14:paraId="13B1D7A7" w14:textId="77777777" w:rsidR="002C2A18" w:rsidRDefault="4D4307D7" w:rsidP="4D4307D7">
            <w:pPr>
              <w:spacing w:line="276" w:lineRule="auto"/>
            </w:pPr>
            <w:r w:rsidRPr="4D4307D7">
              <w:t>—</w:t>
            </w:r>
          </w:p>
        </w:tc>
        <w:tc>
          <w:tcPr>
            <w:tcW w:w="0" w:type="auto"/>
            <w:tcMar>
              <w:top w:w="60" w:type="dxa"/>
              <w:left w:w="60" w:type="dxa"/>
              <w:bottom w:w="60" w:type="dxa"/>
              <w:right w:w="60" w:type="dxa"/>
            </w:tcMar>
            <w:hideMark/>
          </w:tcPr>
          <w:p w14:paraId="28AAEBC6" w14:textId="77777777" w:rsidR="002C2A18" w:rsidRDefault="002C2A18" w:rsidP="4D4307D7">
            <w:pPr>
              <w:spacing w:line="276" w:lineRule="auto"/>
            </w:pPr>
          </w:p>
        </w:tc>
        <w:tc>
          <w:tcPr>
            <w:tcW w:w="0" w:type="auto"/>
            <w:tcMar>
              <w:top w:w="60" w:type="dxa"/>
              <w:left w:w="60" w:type="dxa"/>
              <w:bottom w:w="60" w:type="dxa"/>
              <w:right w:w="60" w:type="dxa"/>
            </w:tcMar>
            <w:hideMark/>
          </w:tcPr>
          <w:p w14:paraId="4023D70F" w14:textId="77777777" w:rsidR="002C2A18" w:rsidRDefault="4D4307D7" w:rsidP="4D4307D7">
            <w:pPr>
              <w:spacing w:line="276" w:lineRule="auto"/>
            </w:pPr>
            <w:r w:rsidRPr="4D4307D7">
              <w:t>58.4</w:t>
            </w:r>
          </w:p>
        </w:tc>
      </w:tr>
      <w:tr w:rsidR="002C2A18" w14:paraId="146AB604" w14:textId="77777777" w:rsidTr="4D4307D7">
        <w:tc>
          <w:tcPr>
            <w:tcW w:w="1115" w:type="dxa"/>
            <w:tcMar>
              <w:top w:w="60" w:type="dxa"/>
              <w:left w:w="60" w:type="dxa"/>
              <w:bottom w:w="60" w:type="dxa"/>
              <w:right w:w="60" w:type="dxa"/>
            </w:tcMar>
            <w:vAlign w:val="center"/>
            <w:hideMark/>
          </w:tcPr>
          <w:p w14:paraId="7990140B" w14:textId="4AD4AA8B" w:rsidR="4D4307D7" w:rsidRDefault="4D4307D7" w:rsidP="4D4307D7"/>
        </w:tc>
        <w:tc>
          <w:tcPr>
            <w:tcW w:w="0" w:type="auto"/>
            <w:tcMar>
              <w:top w:w="60" w:type="dxa"/>
              <w:left w:w="60" w:type="dxa"/>
              <w:bottom w:w="60" w:type="dxa"/>
              <w:right w:w="60" w:type="dxa"/>
            </w:tcMar>
            <w:hideMark/>
          </w:tcPr>
          <w:p w14:paraId="106C4658" w14:textId="77777777" w:rsidR="002C2A18" w:rsidRDefault="4D4307D7" w:rsidP="4D4307D7">
            <w:pPr>
              <w:spacing w:line="276" w:lineRule="auto"/>
            </w:pPr>
            <w:r w:rsidRPr="4D4307D7">
              <w:t>608</w:t>
            </w:r>
          </w:p>
        </w:tc>
        <w:tc>
          <w:tcPr>
            <w:tcW w:w="0" w:type="auto"/>
            <w:tcMar>
              <w:top w:w="60" w:type="dxa"/>
              <w:left w:w="60" w:type="dxa"/>
              <w:bottom w:w="60" w:type="dxa"/>
              <w:right w:w="60" w:type="dxa"/>
            </w:tcMar>
            <w:hideMark/>
          </w:tcPr>
          <w:p w14:paraId="24D36201" w14:textId="77777777" w:rsidR="002C2A18" w:rsidRDefault="002C2A18" w:rsidP="4D4307D7">
            <w:pPr>
              <w:spacing w:line="276" w:lineRule="auto"/>
            </w:pPr>
          </w:p>
        </w:tc>
        <w:tc>
          <w:tcPr>
            <w:tcW w:w="0" w:type="auto"/>
            <w:tcMar>
              <w:top w:w="60" w:type="dxa"/>
              <w:left w:w="60" w:type="dxa"/>
              <w:bottom w:w="60" w:type="dxa"/>
              <w:right w:w="60" w:type="dxa"/>
            </w:tcMar>
            <w:hideMark/>
          </w:tcPr>
          <w:p w14:paraId="5C639781" w14:textId="77777777" w:rsidR="002C2A18" w:rsidRDefault="4D4307D7" w:rsidP="4D4307D7">
            <w:pPr>
              <w:spacing w:line="276" w:lineRule="auto"/>
            </w:pPr>
            <w:r w:rsidRPr="4D4307D7">
              <w:t>48.2</w:t>
            </w:r>
            <w:hyperlink r:id="rId26" w:anchor="tab1fna">
              <w:r w:rsidRPr="4D4307D7">
                <w:rPr>
                  <w:rStyle w:val="Hyperlink"/>
                  <w:i/>
                  <w:iCs/>
                  <w:color w:val="007AAF"/>
                  <w:vertAlign w:val="superscript"/>
                </w:rPr>
                <w:t>a</w:t>
              </w:r>
            </w:hyperlink>
          </w:p>
        </w:tc>
        <w:tc>
          <w:tcPr>
            <w:tcW w:w="0" w:type="auto"/>
            <w:tcMar>
              <w:top w:w="60" w:type="dxa"/>
              <w:left w:w="60" w:type="dxa"/>
              <w:bottom w:w="60" w:type="dxa"/>
              <w:right w:w="60" w:type="dxa"/>
            </w:tcMar>
            <w:hideMark/>
          </w:tcPr>
          <w:p w14:paraId="73B81337" w14:textId="77777777" w:rsidR="002C2A18" w:rsidRDefault="4D4307D7" w:rsidP="4D4307D7">
            <w:pPr>
              <w:spacing w:line="276" w:lineRule="auto"/>
            </w:pPr>
            <w:r w:rsidRPr="4D4307D7">
              <w:t>—</w:t>
            </w:r>
          </w:p>
        </w:tc>
        <w:tc>
          <w:tcPr>
            <w:tcW w:w="0" w:type="auto"/>
            <w:tcMar>
              <w:top w:w="60" w:type="dxa"/>
              <w:left w:w="60" w:type="dxa"/>
              <w:bottom w:w="60" w:type="dxa"/>
              <w:right w:w="60" w:type="dxa"/>
            </w:tcMar>
            <w:hideMark/>
          </w:tcPr>
          <w:p w14:paraId="77C61FA3" w14:textId="77777777" w:rsidR="002C2A18" w:rsidRDefault="4D4307D7" w:rsidP="4D4307D7">
            <w:pPr>
              <w:spacing w:line="276" w:lineRule="auto"/>
            </w:pPr>
            <w:r w:rsidRPr="4D4307D7">
              <w:t>—</w:t>
            </w:r>
          </w:p>
        </w:tc>
        <w:tc>
          <w:tcPr>
            <w:tcW w:w="0" w:type="auto"/>
            <w:tcMar>
              <w:top w:w="60" w:type="dxa"/>
              <w:left w:w="60" w:type="dxa"/>
              <w:bottom w:w="60" w:type="dxa"/>
              <w:right w:w="60" w:type="dxa"/>
            </w:tcMar>
            <w:hideMark/>
          </w:tcPr>
          <w:p w14:paraId="06B89765" w14:textId="77777777" w:rsidR="002C2A18" w:rsidRDefault="4D4307D7" w:rsidP="4D4307D7">
            <w:pPr>
              <w:spacing w:line="276" w:lineRule="auto"/>
            </w:pPr>
            <w:r w:rsidRPr="4D4307D7">
              <w:t>—</w:t>
            </w:r>
          </w:p>
        </w:tc>
        <w:tc>
          <w:tcPr>
            <w:tcW w:w="0" w:type="auto"/>
            <w:tcMar>
              <w:top w:w="60" w:type="dxa"/>
              <w:left w:w="60" w:type="dxa"/>
              <w:bottom w:w="60" w:type="dxa"/>
              <w:right w:w="60" w:type="dxa"/>
            </w:tcMar>
            <w:hideMark/>
          </w:tcPr>
          <w:p w14:paraId="7294B5CF" w14:textId="77777777" w:rsidR="002C2A18" w:rsidRDefault="4D4307D7" w:rsidP="4D4307D7">
            <w:pPr>
              <w:spacing w:line="276" w:lineRule="auto"/>
            </w:pPr>
            <w:r w:rsidRPr="4D4307D7">
              <w:t>—</w:t>
            </w:r>
          </w:p>
        </w:tc>
        <w:tc>
          <w:tcPr>
            <w:tcW w:w="0" w:type="auto"/>
            <w:tcMar>
              <w:top w:w="60" w:type="dxa"/>
              <w:left w:w="60" w:type="dxa"/>
              <w:bottom w:w="60" w:type="dxa"/>
              <w:right w:w="60" w:type="dxa"/>
            </w:tcMar>
            <w:hideMark/>
          </w:tcPr>
          <w:p w14:paraId="4E0FC846" w14:textId="77777777" w:rsidR="002C2A18" w:rsidRDefault="002C2A18" w:rsidP="4D4307D7">
            <w:pPr>
              <w:spacing w:line="276" w:lineRule="auto"/>
            </w:pPr>
          </w:p>
        </w:tc>
        <w:tc>
          <w:tcPr>
            <w:tcW w:w="0" w:type="auto"/>
            <w:tcMar>
              <w:top w:w="60" w:type="dxa"/>
              <w:left w:w="60" w:type="dxa"/>
              <w:bottom w:w="60" w:type="dxa"/>
              <w:right w:w="60" w:type="dxa"/>
            </w:tcMar>
            <w:hideMark/>
          </w:tcPr>
          <w:p w14:paraId="4E830BDB" w14:textId="77777777" w:rsidR="002C2A18" w:rsidRDefault="4D4307D7" w:rsidP="4D4307D7">
            <w:pPr>
              <w:spacing w:line="276" w:lineRule="auto"/>
            </w:pPr>
            <w:r w:rsidRPr="4D4307D7">
              <w:t>51.8</w:t>
            </w:r>
          </w:p>
        </w:tc>
      </w:tr>
      <w:tr w:rsidR="002C2A18" w14:paraId="25DA11C4" w14:textId="77777777" w:rsidTr="4D4307D7">
        <w:tc>
          <w:tcPr>
            <w:tcW w:w="1115" w:type="dxa"/>
            <w:tcMar>
              <w:top w:w="60" w:type="dxa"/>
              <w:left w:w="60" w:type="dxa"/>
              <w:bottom w:w="60" w:type="dxa"/>
              <w:right w:w="60" w:type="dxa"/>
            </w:tcMar>
            <w:vAlign w:val="center"/>
            <w:hideMark/>
          </w:tcPr>
          <w:p w14:paraId="442E0666" w14:textId="7A69F931" w:rsidR="4D4307D7" w:rsidRDefault="4D4307D7" w:rsidP="4D4307D7"/>
        </w:tc>
        <w:tc>
          <w:tcPr>
            <w:tcW w:w="0" w:type="auto"/>
            <w:tcMar>
              <w:top w:w="60" w:type="dxa"/>
              <w:left w:w="60" w:type="dxa"/>
              <w:bottom w:w="60" w:type="dxa"/>
              <w:right w:w="60" w:type="dxa"/>
            </w:tcMar>
            <w:hideMark/>
          </w:tcPr>
          <w:p w14:paraId="021DC204" w14:textId="77777777" w:rsidR="002C2A18" w:rsidRDefault="4D4307D7" w:rsidP="4D4307D7">
            <w:pPr>
              <w:spacing w:line="276" w:lineRule="auto"/>
            </w:pPr>
            <w:r w:rsidRPr="4D4307D7">
              <w:t>670</w:t>
            </w:r>
          </w:p>
        </w:tc>
        <w:tc>
          <w:tcPr>
            <w:tcW w:w="0" w:type="auto"/>
            <w:tcMar>
              <w:top w:w="60" w:type="dxa"/>
              <w:left w:w="60" w:type="dxa"/>
              <w:bottom w:w="60" w:type="dxa"/>
              <w:right w:w="60" w:type="dxa"/>
            </w:tcMar>
            <w:hideMark/>
          </w:tcPr>
          <w:p w14:paraId="4AA8CF05" w14:textId="77777777" w:rsidR="002C2A18" w:rsidRDefault="4D4307D7" w:rsidP="4D4307D7">
            <w:pPr>
              <w:spacing w:line="276" w:lineRule="auto"/>
            </w:pPr>
            <w:r w:rsidRPr="4D4307D7">
              <w:t>31.7</w:t>
            </w:r>
          </w:p>
        </w:tc>
        <w:tc>
          <w:tcPr>
            <w:tcW w:w="0" w:type="auto"/>
            <w:tcMar>
              <w:top w:w="60" w:type="dxa"/>
              <w:left w:w="60" w:type="dxa"/>
              <w:bottom w:w="60" w:type="dxa"/>
              <w:right w:w="60" w:type="dxa"/>
            </w:tcMar>
            <w:hideMark/>
          </w:tcPr>
          <w:p w14:paraId="491ADC2B" w14:textId="77777777" w:rsidR="002C2A18" w:rsidRDefault="4D4307D7" w:rsidP="4D4307D7">
            <w:pPr>
              <w:spacing w:line="276" w:lineRule="auto"/>
            </w:pPr>
            <w:r w:rsidRPr="4D4307D7">
              <w:t>100</w:t>
            </w:r>
          </w:p>
        </w:tc>
        <w:tc>
          <w:tcPr>
            <w:tcW w:w="0" w:type="auto"/>
            <w:tcMar>
              <w:top w:w="60" w:type="dxa"/>
              <w:left w:w="60" w:type="dxa"/>
              <w:bottom w:w="60" w:type="dxa"/>
              <w:right w:w="60" w:type="dxa"/>
            </w:tcMar>
            <w:hideMark/>
          </w:tcPr>
          <w:p w14:paraId="267D36F0" w14:textId="77777777" w:rsidR="002C2A18" w:rsidRDefault="4D4307D7" w:rsidP="4D4307D7">
            <w:pPr>
              <w:spacing w:line="276" w:lineRule="auto"/>
            </w:pPr>
            <w:r w:rsidRPr="4D4307D7">
              <w:t>—</w:t>
            </w:r>
          </w:p>
        </w:tc>
        <w:tc>
          <w:tcPr>
            <w:tcW w:w="0" w:type="auto"/>
            <w:tcMar>
              <w:top w:w="60" w:type="dxa"/>
              <w:left w:w="60" w:type="dxa"/>
              <w:bottom w:w="60" w:type="dxa"/>
              <w:right w:w="60" w:type="dxa"/>
            </w:tcMar>
            <w:hideMark/>
          </w:tcPr>
          <w:p w14:paraId="2CB15C72" w14:textId="77777777" w:rsidR="002C2A18" w:rsidRDefault="4D4307D7" w:rsidP="4D4307D7">
            <w:pPr>
              <w:spacing w:line="276" w:lineRule="auto"/>
            </w:pPr>
            <w:r w:rsidRPr="4D4307D7">
              <w:t>—</w:t>
            </w:r>
          </w:p>
        </w:tc>
        <w:tc>
          <w:tcPr>
            <w:tcW w:w="0" w:type="auto"/>
            <w:tcMar>
              <w:top w:w="60" w:type="dxa"/>
              <w:left w:w="60" w:type="dxa"/>
              <w:bottom w:w="60" w:type="dxa"/>
              <w:right w:w="60" w:type="dxa"/>
            </w:tcMar>
            <w:hideMark/>
          </w:tcPr>
          <w:p w14:paraId="2B34514A" w14:textId="77777777" w:rsidR="002C2A18" w:rsidRDefault="4D4307D7" w:rsidP="4D4307D7">
            <w:pPr>
              <w:spacing w:line="276" w:lineRule="auto"/>
            </w:pPr>
            <w:r w:rsidRPr="4D4307D7">
              <w:t>—</w:t>
            </w:r>
          </w:p>
        </w:tc>
        <w:tc>
          <w:tcPr>
            <w:tcW w:w="0" w:type="auto"/>
            <w:tcMar>
              <w:top w:w="60" w:type="dxa"/>
              <w:left w:w="60" w:type="dxa"/>
              <w:bottom w:w="60" w:type="dxa"/>
              <w:right w:w="60" w:type="dxa"/>
            </w:tcMar>
            <w:hideMark/>
          </w:tcPr>
          <w:p w14:paraId="111F4F7D" w14:textId="77777777" w:rsidR="002C2A18" w:rsidRDefault="4D4307D7" w:rsidP="4D4307D7">
            <w:pPr>
              <w:spacing w:line="276" w:lineRule="auto"/>
            </w:pPr>
            <w:r w:rsidRPr="4D4307D7">
              <w:t>—</w:t>
            </w:r>
          </w:p>
        </w:tc>
        <w:tc>
          <w:tcPr>
            <w:tcW w:w="0" w:type="auto"/>
            <w:tcMar>
              <w:top w:w="60" w:type="dxa"/>
              <w:left w:w="60" w:type="dxa"/>
              <w:bottom w:w="60" w:type="dxa"/>
              <w:right w:w="60" w:type="dxa"/>
            </w:tcMar>
            <w:hideMark/>
          </w:tcPr>
          <w:p w14:paraId="79392C73" w14:textId="77777777" w:rsidR="002C2A18" w:rsidRDefault="4D4307D7" w:rsidP="4D4307D7">
            <w:pPr>
              <w:spacing w:line="276" w:lineRule="auto"/>
            </w:pPr>
            <w:r w:rsidRPr="4D4307D7">
              <w:t>≫5 ns</w:t>
            </w:r>
          </w:p>
        </w:tc>
        <w:tc>
          <w:tcPr>
            <w:tcW w:w="0" w:type="auto"/>
            <w:tcMar>
              <w:top w:w="60" w:type="dxa"/>
              <w:left w:w="60" w:type="dxa"/>
              <w:bottom w:w="60" w:type="dxa"/>
              <w:right w:w="60" w:type="dxa"/>
            </w:tcMar>
            <w:hideMark/>
          </w:tcPr>
          <w:p w14:paraId="216B20E7" w14:textId="77777777" w:rsidR="002C2A18" w:rsidRDefault="4D4307D7" w:rsidP="4D4307D7">
            <w:pPr>
              <w:spacing w:line="276" w:lineRule="auto"/>
            </w:pPr>
            <w:r w:rsidRPr="4D4307D7">
              <w:t>—</w:t>
            </w:r>
          </w:p>
        </w:tc>
      </w:tr>
      <w:tr w:rsidR="002C2A18" w14:paraId="51EE1F15" w14:textId="77777777" w:rsidTr="4D4307D7">
        <w:tc>
          <w:tcPr>
            <w:tcW w:w="1115" w:type="dxa"/>
            <w:tcMar>
              <w:top w:w="60" w:type="dxa"/>
              <w:left w:w="60" w:type="dxa"/>
              <w:bottom w:w="60" w:type="dxa"/>
              <w:right w:w="60" w:type="dxa"/>
            </w:tcMar>
            <w:hideMark/>
          </w:tcPr>
          <w:p w14:paraId="39E8497F" w14:textId="77777777" w:rsidR="002C2A18" w:rsidRDefault="4D4307D7" w:rsidP="4D4307D7">
            <w:pPr>
              <w:spacing w:line="276" w:lineRule="auto"/>
            </w:pPr>
            <w:r w:rsidRPr="4D4307D7">
              <w:t>MB</w:t>
            </w:r>
            <w:r w:rsidRPr="00D01AFA">
              <w:rPr>
                <w:vertAlign w:val="superscript"/>
              </w:rPr>
              <w:t>+</w:t>
            </w:r>
            <w:r w:rsidRPr="4D4307D7">
              <w:t>-ZIF-67</w:t>
            </w:r>
          </w:p>
        </w:tc>
        <w:tc>
          <w:tcPr>
            <w:tcW w:w="0" w:type="auto"/>
            <w:tcMar>
              <w:top w:w="60" w:type="dxa"/>
              <w:left w:w="60" w:type="dxa"/>
              <w:bottom w:w="60" w:type="dxa"/>
              <w:right w:w="60" w:type="dxa"/>
            </w:tcMar>
            <w:hideMark/>
          </w:tcPr>
          <w:p w14:paraId="1F5856F2" w14:textId="77777777" w:rsidR="002C2A18" w:rsidRDefault="4D4307D7" w:rsidP="4D4307D7">
            <w:pPr>
              <w:spacing w:line="276" w:lineRule="auto"/>
            </w:pPr>
            <w:r w:rsidRPr="4D4307D7">
              <w:t>580</w:t>
            </w:r>
          </w:p>
        </w:tc>
        <w:tc>
          <w:tcPr>
            <w:tcW w:w="0" w:type="auto"/>
            <w:tcMar>
              <w:top w:w="60" w:type="dxa"/>
              <w:left w:w="60" w:type="dxa"/>
              <w:bottom w:w="60" w:type="dxa"/>
              <w:right w:w="60" w:type="dxa"/>
            </w:tcMar>
            <w:hideMark/>
          </w:tcPr>
          <w:p w14:paraId="1B0C322C" w14:textId="77777777" w:rsidR="002C2A18" w:rsidRDefault="002C2A18" w:rsidP="4D4307D7">
            <w:pPr>
              <w:spacing w:line="276" w:lineRule="auto"/>
            </w:pPr>
          </w:p>
        </w:tc>
        <w:tc>
          <w:tcPr>
            <w:tcW w:w="0" w:type="auto"/>
            <w:tcMar>
              <w:top w:w="60" w:type="dxa"/>
              <w:left w:w="60" w:type="dxa"/>
              <w:bottom w:w="60" w:type="dxa"/>
              <w:right w:w="60" w:type="dxa"/>
            </w:tcMar>
            <w:hideMark/>
          </w:tcPr>
          <w:p w14:paraId="3DED7490" w14:textId="77777777" w:rsidR="002C2A18" w:rsidRDefault="4D4307D7" w:rsidP="4D4307D7">
            <w:pPr>
              <w:spacing w:line="276" w:lineRule="auto"/>
            </w:pPr>
            <w:r w:rsidRPr="4D4307D7">
              <w:t>41.9</w:t>
            </w:r>
          </w:p>
        </w:tc>
        <w:tc>
          <w:tcPr>
            <w:tcW w:w="0" w:type="auto"/>
            <w:tcMar>
              <w:top w:w="60" w:type="dxa"/>
              <w:left w:w="60" w:type="dxa"/>
              <w:bottom w:w="60" w:type="dxa"/>
              <w:right w:w="60" w:type="dxa"/>
            </w:tcMar>
            <w:hideMark/>
          </w:tcPr>
          <w:p w14:paraId="599D8317" w14:textId="77777777" w:rsidR="002C2A18" w:rsidRDefault="002C2A18" w:rsidP="4D4307D7">
            <w:pPr>
              <w:spacing w:line="276" w:lineRule="auto"/>
            </w:pPr>
          </w:p>
        </w:tc>
        <w:tc>
          <w:tcPr>
            <w:tcW w:w="0" w:type="auto"/>
            <w:tcMar>
              <w:top w:w="60" w:type="dxa"/>
              <w:left w:w="60" w:type="dxa"/>
              <w:bottom w:w="60" w:type="dxa"/>
              <w:right w:w="60" w:type="dxa"/>
            </w:tcMar>
            <w:hideMark/>
          </w:tcPr>
          <w:p w14:paraId="0ABAEDD6" w14:textId="77777777" w:rsidR="002C2A18" w:rsidRDefault="4D4307D7" w:rsidP="4D4307D7">
            <w:pPr>
              <w:spacing w:line="276" w:lineRule="auto"/>
            </w:pPr>
            <w:r w:rsidRPr="4D4307D7">
              <w:t>26.4</w:t>
            </w:r>
          </w:p>
        </w:tc>
        <w:tc>
          <w:tcPr>
            <w:tcW w:w="622" w:type="dxa"/>
            <w:tcMar>
              <w:top w:w="60" w:type="dxa"/>
              <w:left w:w="60" w:type="dxa"/>
              <w:bottom w:w="60" w:type="dxa"/>
              <w:right w:w="60" w:type="dxa"/>
            </w:tcMar>
            <w:hideMark/>
          </w:tcPr>
          <w:p w14:paraId="4042F479" w14:textId="77777777" w:rsidR="002C2A18" w:rsidRDefault="4D4307D7" w:rsidP="4D4307D7">
            <w:pPr>
              <w:spacing w:line="276" w:lineRule="auto"/>
            </w:pPr>
            <w:r w:rsidRPr="4D4307D7">
              <w:t>101.4</w:t>
            </w:r>
          </w:p>
        </w:tc>
        <w:tc>
          <w:tcPr>
            <w:tcW w:w="0" w:type="auto"/>
            <w:tcMar>
              <w:top w:w="60" w:type="dxa"/>
              <w:left w:w="60" w:type="dxa"/>
              <w:bottom w:w="60" w:type="dxa"/>
              <w:right w:w="60" w:type="dxa"/>
            </w:tcMar>
            <w:hideMark/>
          </w:tcPr>
          <w:p w14:paraId="63A9959B" w14:textId="77777777" w:rsidR="002C2A18" w:rsidRDefault="4D4307D7" w:rsidP="4D4307D7">
            <w:pPr>
              <w:spacing w:line="276" w:lineRule="auto"/>
            </w:pPr>
            <w:r w:rsidRPr="4D4307D7">
              <w:t>1.3</w:t>
            </w:r>
            <w:hyperlink r:id="rId27" w:anchor="tab1fna">
              <w:r w:rsidRPr="4D4307D7">
                <w:rPr>
                  <w:rStyle w:val="Hyperlink"/>
                  <w:i/>
                  <w:iCs/>
                  <w:color w:val="007AAF"/>
                  <w:vertAlign w:val="superscript"/>
                </w:rPr>
                <w:t>a</w:t>
              </w:r>
            </w:hyperlink>
          </w:p>
        </w:tc>
        <w:tc>
          <w:tcPr>
            <w:tcW w:w="0" w:type="auto"/>
            <w:tcMar>
              <w:top w:w="60" w:type="dxa"/>
              <w:left w:w="60" w:type="dxa"/>
              <w:bottom w:w="60" w:type="dxa"/>
              <w:right w:w="60" w:type="dxa"/>
            </w:tcMar>
            <w:hideMark/>
          </w:tcPr>
          <w:p w14:paraId="7BDD385E" w14:textId="77777777" w:rsidR="002C2A18" w:rsidRDefault="002C2A18" w:rsidP="4D4307D7">
            <w:pPr>
              <w:spacing w:line="276" w:lineRule="auto"/>
            </w:pPr>
          </w:p>
        </w:tc>
        <w:tc>
          <w:tcPr>
            <w:tcW w:w="0" w:type="auto"/>
            <w:tcMar>
              <w:top w:w="60" w:type="dxa"/>
              <w:left w:w="60" w:type="dxa"/>
              <w:bottom w:w="60" w:type="dxa"/>
              <w:right w:w="60" w:type="dxa"/>
            </w:tcMar>
            <w:hideMark/>
          </w:tcPr>
          <w:p w14:paraId="70C85EEA" w14:textId="77777777" w:rsidR="002C2A18" w:rsidRDefault="4D4307D7" w:rsidP="4D4307D7">
            <w:pPr>
              <w:spacing w:line="276" w:lineRule="auto"/>
            </w:pPr>
            <w:r w:rsidRPr="4D4307D7">
              <w:t>30.3</w:t>
            </w:r>
          </w:p>
        </w:tc>
      </w:tr>
      <w:tr w:rsidR="002C2A18" w14:paraId="619D0100" w14:textId="77777777" w:rsidTr="4D4307D7">
        <w:tc>
          <w:tcPr>
            <w:tcW w:w="1115" w:type="dxa"/>
            <w:tcMar>
              <w:top w:w="60" w:type="dxa"/>
              <w:left w:w="60" w:type="dxa"/>
              <w:bottom w:w="60" w:type="dxa"/>
              <w:right w:w="60" w:type="dxa"/>
            </w:tcMar>
            <w:vAlign w:val="center"/>
            <w:hideMark/>
          </w:tcPr>
          <w:p w14:paraId="736D85A3" w14:textId="1D24B8C2" w:rsidR="4D4307D7" w:rsidRDefault="4D4307D7" w:rsidP="4D4307D7"/>
        </w:tc>
        <w:tc>
          <w:tcPr>
            <w:tcW w:w="0" w:type="auto"/>
            <w:tcMar>
              <w:top w:w="60" w:type="dxa"/>
              <w:left w:w="60" w:type="dxa"/>
              <w:bottom w:w="60" w:type="dxa"/>
              <w:right w:w="60" w:type="dxa"/>
            </w:tcMar>
            <w:hideMark/>
          </w:tcPr>
          <w:p w14:paraId="135C735A" w14:textId="77777777" w:rsidR="002C2A18" w:rsidRDefault="4D4307D7" w:rsidP="4D4307D7">
            <w:pPr>
              <w:spacing w:line="276" w:lineRule="auto"/>
            </w:pPr>
            <w:r w:rsidRPr="4D4307D7">
              <w:t>608</w:t>
            </w:r>
          </w:p>
        </w:tc>
        <w:tc>
          <w:tcPr>
            <w:tcW w:w="0" w:type="auto"/>
            <w:tcMar>
              <w:top w:w="60" w:type="dxa"/>
              <w:left w:w="60" w:type="dxa"/>
              <w:bottom w:w="60" w:type="dxa"/>
              <w:right w:w="60" w:type="dxa"/>
            </w:tcMar>
            <w:hideMark/>
          </w:tcPr>
          <w:p w14:paraId="5CC20841" w14:textId="77777777" w:rsidR="002C2A18" w:rsidRDefault="002C2A18" w:rsidP="4D4307D7">
            <w:pPr>
              <w:spacing w:line="276" w:lineRule="auto"/>
            </w:pPr>
          </w:p>
        </w:tc>
        <w:tc>
          <w:tcPr>
            <w:tcW w:w="0" w:type="auto"/>
            <w:tcMar>
              <w:top w:w="60" w:type="dxa"/>
              <w:left w:w="60" w:type="dxa"/>
              <w:bottom w:w="60" w:type="dxa"/>
              <w:right w:w="60" w:type="dxa"/>
            </w:tcMar>
            <w:hideMark/>
          </w:tcPr>
          <w:p w14:paraId="1AC3872C" w14:textId="77777777" w:rsidR="002C2A18" w:rsidRDefault="4D4307D7" w:rsidP="4D4307D7">
            <w:pPr>
              <w:spacing w:line="276" w:lineRule="auto"/>
            </w:pPr>
            <w:r w:rsidRPr="4D4307D7">
              <w:t>42.1</w:t>
            </w:r>
            <w:hyperlink r:id="rId28" w:anchor="tab1fna">
              <w:r w:rsidRPr="4D4307D7">
                <w:rPr>
                  <w:rStyle w:val="Hyperlink"/>
                  <w:i/>
                  <w:iCs/>
                  <w:color w:val="007AAF"/>
                  <w:vertAlign w:val="superscript"/>
                </w:rPr>
                <w:t>a</w:t>
              </w:r>
            </w:hyperlink>
          </w:p>
        </w:tc>
        <w:tc>
          <w:tcPr>
            <w:tcW w:w="0" w:type="auto"/>
            <w:tcMar>
              <w:top w:w="60" w:type="dxa"/>
              <w:left w:w="60" w:type="dxa"/>
              <w:bottom w:w="60" w:type="dxa"/>
              <w:right w:w="60" w:type="dxa"/>
            </w:tcMar>
            <w:hideMark/>
          </w:tcPr>
          <w:p w14:paraId="5A25697E" w14:textId="77777777" w:rsidR="002C2A18" w:rsidRDefault="4D4307D7" w:rsidP="4D4307D7">
            <w:pPr>
              <w:spacing w:line="276" w:lineRule="auto"/>
            </w:pPr>
            <w:r w:rsidRPr="4D4307D7">
              <w:t>1.33</w:t>
            </w:r>
          </w:p>
        </w:tc>
        <w:tc>
          <w:tcPr>
            <w:tcW w:w="0" w:type="auto"/>
            <w:tcMar>
              <w:top w:w="60" w:type="dxa"/>
              <w:left w:w="60" w:type="dxa"/>
              <w:bottom w:w="60" w:type="dxa"/>
              <w:right w:w="60" w:type="dxa"/>
            </w:tcMar>
            <w:hideMark/>
          </w:tcPr>
          <w:p w14:paraId="684CDDB0" w14:textId="77777777" w:rsidR="002C2A18" w:rsidRDefault="4D4307D7" w:rsidP="4D4307D7">
            <w:pPr>
              <w:spacing w:line="276" w:lineRule="auto"/>
            </w:pPr>
            <w:r w:rsidRPr="4D4307D7">
              <w:t>36.0</w:t>
            </w:r>
            <w:hyperlink r:id="rId29" w:anchor="tab1fna">
              <w:r w:rsidRPr="4D4307D7">
                <w:rPr>
                  <w:rStyle w:val="Hyperlink"/>
                  <w:i/>
                  <w:iCs/>
                  <w:color w:val="007AAF"/>
                  <w:vertAlign w:val="superscript"/>
                </w:rPr>
                <w:t>a</w:t>
              </w:r>
            </w:hyperlink>
          </w:p>
        </w:tc>
        <w:tc>
          <w:tcPr>
            <w:tcW w:w="622" w:type="dxa"/>
            <w:tcMar>
              <w:top w:w="60" w:type="dxa"/>
              <w:left w:w="60" w:type="dxa"/>
              <w:bottom w:w="60" w:type="dxa"/>
              <w:right w:w="60" w:type="dxa"/>
            </w:tcMar>
            <w:vAlign w:val="center"/>
            <w:hideMark/>
          </w:tcPr>
          <w:p w14:paraId="5F92303C" w14:textId="76F13ABF" w:rsidR="4D4307D7" w:rsidRDefault="4D4307D7" w:rsidP="4D4307D7"/>
        </w:tc>
        <w:tc>
          <w:tcPr>
            <w:tcW w:w="0" w:type="auto"/>
            <w:tcMar>
              <w:top w:w="60" w:type="dxa"/>
              <w:left w:w="60" w:type="dxa"/>
              <w:bottom w:w="60" w:type="dxa"/>
              <w:right w:w="60" w:type="dxa"/>
            </w:tcMar>
            <w:hideMark/>
          </w:tcPr>
          <w:p w14:paraId="556DAF68" w14:textId="77777777" w:rsidR="002C2A18" w:rsidRDefault="4D4307D7" w:rsidP="4D4307D7">
            <w:pPr>
              <w:spacing w:line="276" w:lineRule="auto"/>
            </w:pPr>
            <w:r w:rsidRPr="4D4307D7">
              <w:t>14.0</w:t>
            </w:r>
          </w:p>
        </w:tc>
        <w:tc>
          <w:tcPr>
            <w:tcW w:w="0" w:type="auto"/>
            <w:tcMar>
              <w:top w:w="60" w:type="dxa"/>
              <w:left w:w="60" w:type="dxa"/>
              <w:bottom w:w="60" w:type="dxa"/>
              <w:right w:w="60" w:type="dxa"/>
            </w:tcMar>
            <w:hideMark/>
          </w:tcPr>
          <w:p w14:paraId="6BEF0EC2" w14:textId="77777777" w:rsidR="002C2A18" w:rsidRDefault="002C2A18" w:rsidP="4D4307D7">
            <w:pPr>
              <w:spacing w:line="276" w:lineRule="auto"/>
            </w:pPr>
          </w:p>
        </w:tc>
        <w:tc>
          <w:tcPr>
            <w:tcW w:w="0" w:type="auto"/>
            <w:tcMar>
              <w:top w:w="60" w:type="dxa"/>
              <w:left w:w="60" w:type="dxa"/>
              <w:bottom w:w="60" w:type="dxa"/>
              <w:right w:w="60" w:type="dxa"/>
            </w:tcMar>
            <w:hideMark/>
          </w:tcPr>
          <w:p w14:paraId="4D160A7B" w14:textId="77777777" w:rsidR="002C2A18" w:rsidRDefault="4D4307D7" w:rsidP="4D4307D7">
            <w:pPr>
              <w:spacing w:line="276" w:lineRule="auto"/>
            </w:pPr>
            <w:r w:rsidRPr="4D4307D7">
              <w:t>7.9</w:t>
            </w:r>
          </w:p>
        </w:tc>
      </w:tr>
      <w:tr w:rsidR="002C2A18" w14:paraId="2900FFCA" w14:textId="77777777" w:rsidTr="4D4307D7">
        <w:tc>
          <w:tcPr>
            <w:tcW w:w="1115" w:type="dxa"/>
            <w:tcMar>
              <w:top w:w="60" w:type="dxa"/>
              <w:left w:w="60" w:type="dxa"/>
              <w:bottom w:w="60" w:type="dxa"/>
              <w:right w:w="60" w:type="dxa"/>
            </w:tcMar>
            <w:vAlign w:val="center"/>
            <w:hideMark/>
          </w:tcPr>
          <w:p w14:paraId="1CD5CF27" w14:textId="1C2C0CD0" w:rsidR="4D4307D7" w:rsidRDefault="4D4307D7" w:rsidP="4D4307D7"/>
        </w:tc>
        <w:tc>
          <w:tcPr>
            <w:tcW w:w="0" w:type="auto"/>
            <w:tcMar>
              <w:top w:w="60" w:type="dxa"/>
              <w:left w:w="60" w:type="dxa"/>
              <w:bottom w:w="60" w:type="dxa"/>
              <w:right w:w="60" w:type="dxa"/>
            </w:tcMar>
            <w:hideMark/>
          </w:tcPr>
          <w:p w14:paraId="25ABB549" w14:textId="77777777" w:rsidR="002C2A18" w:rsidRDefault="4D4307D7" w:rsidP="4D4307D7">
            <w:pPr>
              <w:spacing w:line="276" w:lineRule="auto"/>
            </w:pPr>
            <w:r w:rsidRPr="4D4307D7">
              <w:t>670</w:t>
            </w:r>
          </w:p>
        </w:tc>
        <w:tc>
          <w:tcPr>
            <w:tcW w:w="0" w:type="auto"/>
            <w:tcMar>
              <w:top w:w="60" w:type="dxa"/>
              <w:left w:w="60" w:type="dxa"/>
              <w:bottom w:w="60" w:type="dxa"/>
              <w:right w:w="60" w:type="dxa"/>
            </w:tcMar>
            <w:hideMark/>
          </w:tcPr>
          <w:p w14:paraId="47567D0C" w14:textId="77777777" w:rsidR="002C2A18" w:rsidRDefault="002C2A18" w:rsidP="4D4307D7">
            <w:pPr>
              <w:spacing w:line="276" w:lineRule="auto"/>
            </w:pPr>
          </w:p>
        </w:tc>
        <w:tc>
          <w:tcPr>
            <w:tcW w:w="0" w:type="auto"/>
            <w:tcMar>
              <w:top w:w="60" w:type="dxa"/>
              <w:left w:w="60" w:type="dxa"/>
              <w:bottom w:w="60" w:type="dxa"/>
              <w:right w:w="60" w:type="dxa"/>
            </w:tcMar>
            <w:hideMark/>
          </w:tcPr>
          <w:p w14:paraId="5C0812CB" w14:textId="77777777" w:rsidR="002C2A18" w:rsidRDefault="4D4307D7" w:rsidP="4D4307D7">
            <w:pPr>
              <w:spacing w:line="276" w:lineRule="auto"/>
            </w:pPr>
            <w:r w:rsidRPr="4D4307D7">
              <w:t>4.7</w:t>
            </w:r>
          </w:p>
        </w:tc>
        <w:tc>
          <w:tcPr>
            <w:tcW w:w="0" w:type="auto"/>
            <w:tcMar>
              <w:top w:w="60" w:type="dxa"/>
              <w:left w:w="60" w:type="dxa"/>
              <w:bottom w:w="60" w:type="dxa"/>
              <w:right w:w="60" w:type="dxa"/>
            </w:tcMar>
            <w:hideMark/>
          </w:tcPr>
          <w:p w14:paraId="3CC5E2FE" w14:textId="77777777" w:rsidR="002C2A18" w:rsidRDefault="002C2A18" w:rsidP="4D4307D7">
            <w:pPr>
              <w:spacing w:line="276" w:lineRule="auto"/>
            </w:pPr>
          </w:p>
        </w:tc>
        <w:tc>
          <w:tcPr>
            <w:tcW w:w="0" w:type="auto"/>
            <w:tcMar>
              <w:top w:w="60" w:type="dxa"/>
              <w:left w:w="60" w:type="dxa"/>
              <w:bottom w:w="60" w:type="dxa"/>
              <w:right w:w="60" w:type="dxa"/>
            </w:tcMar>
            <w:hideMark/>
          </w:tcPr>
          <w:p w14:paraId="0EA1FDAC" w14:textId="77777777" w:rsidR="002C2A18" w:rsidRDefault="4D4307D7" w:rsidP="4D4307D7">
            <w:pPr>
              <w:spacing w:line="276" w:lineRule="auto"/>
            </w:pPr>
            <w:r w:rsidRPr="4D4307D7">
              <w:t>60.0</w:t>
            </w:r>
          </w:p>
        </w:tc>
        <w:tc>
          <w:tcPr>
            <w:tcW w:w="622" w:type="dxa"/>
            <w:tcMar>
              <w:top w:w="60" w:type="dxa"/>
              <w:left w:w="60" w:type="dxa"/>
              <w:bottom w:w="60" w:type="dxa"/>
              <w:right w:w="60" w:type="dxa"/>
            </w:tcMar>
            <w:vAlign w:val="center"/>
            <w:hideMark/>
          </w:tcPr>
          <w:p w14:paraId="2067D500" w14:textId="20B7E7D2" w:rsidR="4D4307D7" w:rsidRDefault="4D4307D7" w:rsidP="4D4307D7"/>
        </w:tc>
        <w:tc>
          <w:tcPr>
            <w:tcW w:w="0" w:type="auto"/>
            <w:tcMar>
              <w:top w:w="60" w:type="dxa"/>
              <w:left w:w="60" w:type="dxa"/>
              <w:bottom w:w="60" w:type="dxa"/>
              <w:right w:w="60" w:type="dxa"/>
            </w:tcMar>
            <w:hideMark/>
          </w:tcPr>
          <w:p w14:paraId="070E9E0D" w14:textId="77777777" w:rsidR="002C2A18" w:rsidRDefault="4D4307D7" w:rsidP="4D4307D7">
            <w:pPr>
              <w:spacing w:line="276" w:lineRule="auto"/>
            </w:pPr>
            <w:r w:rsidRPr="4D4307D7">
              <w:t>14.9</w:t>
            </w:r>
            <w:hyperlink r:id="rId30" w:anchor="tab1fna">
              <w:r w:rsidRPr="4D4307D7">
                <w:rPr>
                  <w:rStyle w:val="Hyperlink"/>
                  <w:i/>
                  <w:iCs/>
                  <w:color w:val="007AAF"/>
                  <w:vertAlign w:val="superscript"/>
                </w:rPr>
                <w:t>a</w:t>
              </w:r>
            </w:hyperlink>
          </w:p>
        </w:tc>
        <w:tc>
          <w:tcPr>
            <w:tcW w:w="0" w:type="auto"/>
            <w:tcMar>
              <w:top w:w="60" w:type="dxa"/>
              <w:left w:w="60" w:type="dxa"/>
              <w:bottom w:w="60" w:type="dxa"/>
              <w:right w:w="60" w:type="dxa"/>
            </w:tcMar>
            <w:hideMark/>
          </w:tcPr>
          <w:p w14:paraId="56D206CD" w14:textId="77777777" w:rsidR="002C2A18" w:rsidRDefault="002C2A18" w:rsidP="4D4307D7">
            <w:pPr>
              <w:spacing w:line="276" w:lineRule="auto"/>
            </w:pPr>
          </w:p>
        </w:tc>
        <w:tc>
          <w:tcPr>
            <w:tcW w:w="0" w:type="auto"/>
            <w:tcMar>
              <w:top w:w="60" w:type="dxa"/>
              <w:left w:w="60" w:type="dxa"/>
              <w:bottom w:w="60" w:type="dxa"/>
              <w:right w:w="60" w:type="dxa"/>
            </w:tcMar>
            <w:hideMark/>
          </w:tcPr>
          <w:p w14:paraId="525BDB83" w14:textId="77777777" w:rsidR="002C2A18" w:rsidRDefault="4D4307D7" w:rsidP="4D4307D7">
            <w:pPr>
              <w:spacing w:line="276" w:lineRule="auto"/>
            </w:pPr>
            <w:r w:rsidRPr="4D4307D7">
              <w:t>20.4</w:t>
            </w:r>
          </w:p>
        </w:tc>
      </w:tr>
    </w:tbl>
    <w:p w14:paraId="5E673201" w14:textId="0A88FE5C" w:rsidR="4D4307D7" w:rsidRDefault="00617156" w:rsidP="4D4307D7">
      <w:hyperlink r:id="rId31" w:anchor="tab1fna">
        <w:r w:rsidR="4D4307D7" w:rsidRPr="4D4307D7">
          <w:rPr>
            <w:rStyle w:val="Hyperlink"/>
            <w:vertAlign w:val="superscript"/>
          </w:rPr>
          <w:t>a</w:t>
        </w:r>
      </w:hyperlink>
      <w:r w:rsidR="4D4307D7" w:rsidRPr="4D4307D7">
        <w:t>:Rising Component</w:t>
      </w:r>
    </w:p>
    <w:p w14:paraId="5FADE2F4" w14:textId="77777777" w:rsidR="002C2A18" w:rsidRDefault="002C2A18" w:rsidP="4D4307D7">
      <w:pPr>
        <w:pStyle w:val="Heading2"/>
        <w:spacing w:before="360" w:after="120" w:line="360" w:lineRule="atLeast"/>
        <w:rPr>
          <w:rFonts w:asciiTheme="minorHAnsi" w:eastAsiaTheme="minorEastAsia" w:hAnsiTheme="minorHAnsi" w:cstheme="minorBidi"/>
          <w:b/>
          <w:bCs/>
          <w:color w:val="191919"/>
          <w:sz w:val="22"/>
          <w:szCs w:val="22"/>
        </w:rPr>
      </w:pPr>
      <w:r w:rsidRPr="4D4307D7">
        <w:t>Characterization</w:t>
      </w:r>
    </w:p>
    <w:p w14:paraId="2CE89E1B" w14:textId="77777777" w:rsidR="002C2A18" w:rsidRDefault="002C2A18" w:rsidP="4D4307D7">
      <w:pPr>
        <w:spacing w:after="0"/>
      </w:pPr>
      <w:r w:rsidRPr="4D4307D7">
        <w:t>Steady-state UV-visible measurements were taken on a Cary 5000 UV-Vis-NIR spectrophotometer and reflective spectra were taken on the same spectrometer with an internal diffuse reflectance accessory. X-ray diffraction (XRD) was performed using a Rigaku Miniflex II XRD diffractometer with Cu Kα radiation. Since the film samples were too thin to perform reliable powder X-ray diffraction, the powdered ZIF-67 sample was obtained by centrifuging the post-film growth solution and collecting the precipitate. The precipitate was washed multiple times with methanol to remove the supernatant. MB</w:t>
      </w:r>
      <w:r w:rsidRPr="00D01AFA">
        <w:rPr>
          <w:vertAlign w:val="superscript"/>
        </w:rPr>
        <w:t>+</w:t>
      </w:r>
      <w:r w:rsidRPr="4D4307D7">
        <w:t>-ZIF-67 for XRD characterization was prepared in a similar procedure as the film samples by soaking ZIF-67 powder in 0.1 M MB</w:t>
      </w:r>
      <w:r w:rsidRPr="00D01AFA">
        <w:rPr>
          <w:vertAlign w:val="superscript"/>
        </w:rPr>
        <w:t>+</w:t>
      </w:r>
      <w:r w:rsidRPr="4D4307D7">
        <w:t> solution for 15 minutes, centrifuging, and decanting the supernatant.</w:t>
      </w:r>
    </w:p>
    <w:p w14:paraId="73064820" w14:textId="77777777" w:rsidR="002C2A18" w:rsidRDefault="002C2A18" w:rsidP="4D4307D7">
      <w:pPr>
        <w:pStyle w:val="Heading2"/>
        <w:spacing w:before="360" w:after="120" w:line="360" w:lineRule="atLeast"/>
        <w:rPr>
          <w:rFonts w:asciiTheme="minorHAnsi" w:eastAsiaTheme="minorEastAsia" w:hAnsiTheme="minorHAnsi" w:cstheme="minorBidi"/>
          <w:color w:val="191919"/>
          <w:sz w:val="22"/>
          <w:szCs w:val="22"/>
        </w:rPr>
      </w:pPr>
      <w:r w:rsidRPr="4D4307D7">
        <w:t>Transient optical absorption (TA) spectroscopy</w:t>
      </w:r>
    </w:p>
    <w:p w14:paraId="5309D70E" w14:textId="77777777" w:rsidR="002C2A18" w:rsidRDefault="002C2A18" w:rsidP="4D4307D7">
      <w:pPr>
        <w:spacing w:after="0"/>
      </w:pPr>
      <w:r w:rsidRPr="4D4307D7">
        <w:t>TA spectroscopy was performed with a Helios ultrafast spectrometer (Ultrafast Systems LLC) with a regenerative amplified Ti-sapphire laser (Solstice, 800 nm, &lt;100 fs fwhm, 3.5 mJ per pulse) at a 1 kHz repetition rate. The visible probe pulses are generated by white light generation in a sapphire window (430–800 nm). Pump pulses are generated in TOPAS, which generates tunable pump pulses from 235–1100 nm that are chopped at 500 Hz. The film sample was continuously translated to avoid sample damage and heating during the measurement. The excitation wavelength used in all TA experiments was 1000 nm with a power of 4.6 μJ per pulse.</w:t>
      </w:r>
    </w:p>
    <w:p w14:paraId="3B8C0F6D" w14:textId="77777777" w:rsidR="002C2A18" w:rsidRDefault="002C2A18" w:rsidP="4D4307D7">
      <w:pPr>
        <w:pStyle w:val="Heading1"/>
        <w:spacing w:before="360" w:after="120" w:line="420" w:lineRule="atLeast"/>
        <w:rPr>
          <w:rFonts w:asciiTheme="minorHAnsi" w:eastAsiaTheme="minorEastAsia" w:hAnsiTheme="minorHAnsi" w:cstheme="minorBidi"/>
          <w:color w:val="191919"/>
          <w:sz w:val="22"/>
          <w:szCs w:val="22"/>
        </w:rPr>
      </w:pPr>
      <w:r w:rsidRPr="4D4307D7">
        <w:lastRenderedPageBreak/>
        <w:t>Results and discussion</w:t>
      </w:r>
    </w:p>
    <w:p w14:paraId="07388C30" w14:textId="4A2315F9" w:rsidR="002C2A18" w:rsidRDefault="002C2A18" w:rsidP="4D4307D7">
      <w:pPr>
        <w:spacing w:after="0"/>
      </w:pPr>
      <w:r w:rsidRPr="4D4307D7">
        <w:t>Thin films of ZIF-67 were prepared on a quartz substrate following our previously established procedure.</w:t>
      </w:r>
      <w:hyperlink r:id="rId32" w:anchor="cit22" w:history="1">
        <w:r w:rsidRPr="4D4307D7">
          <w:rPr>
            <w:rStyle w:val="Hyperlink"/>
          </w:rPr>
          <w:t>22</w:t>
        </w:r>
      </w:hyperlink>
      <w:r w:rsidRPr="4D4307D7">
        <w:t> Three layers of ZIF-67 were grown consecutively to give an appropriately thick, transparent film for optical characterization. For the MB</w:t>
      </w:r>
      <w:r w:rsidRPr="00B17776">
        <w:rPr>
          <w:vertAlign w:val="superscript"/>
        </w:rPr>
        <w:t>+</w:t>
      </w:r>
      <w:r w:rsidRPr="4D4307D7">
        <w:t> sensitized film (MB</w:t>
      </w:r>
      <w:r w:rsidRPr="00B17776">
        <w:rPr>
          <w:vertAlign w:val="superscript"/>
        </w:rPr>
        <w:t>+</w:t>
      </w:r>
      <w:r w:rsidRPr="4D4307D7">
        <w:t>-ZIF-67), the as-synthesized ZIF-67 was immersed in a 0.1 M solution of MB</w:t>
      </w:r>
      <w:r w:rsidRPr="00B17776">
        <w:rPr>
          <w:vertAlign w:val="superscript"/>
        </w:rPr>
        <w:t>+</w:t>
      </w:r>
      <w:r w:rsidRPr="4D4307D7">
        <w:t> in methanol for 15 minutes, and was then removed from solution and allowed to dry. For a control sample (MB</w:t>
      </w:r>
      <w:r w:rsidRPr="00B17776">
        <w:rPr>
          <w:vertAlign w:val="superscript"/>
        </w:rPr>
        <w:t>+</w:t>
      </w:r>
      <w:r w:rsidRPr="4D4307D7">
        <w:t>-quartz), the MB</w:t>
      </w:r>
      <w:r w:rsidRPr="00B17776">
        <w:rPr>
          <w:vertAlign w:val="superscript"/>
        </w:rPr>
        <w:t>+</w:t>
      </w:r>
      <w:r w:rsidRPr="4D4307D7">
        <w:t> solution was spin-coated onto a quartz substrate to give a transparent film of comparable optical density with respect to the MB</w:t>
      </w:r>
      <w:r w:rsidRPr="007E40B1">
        <w:rPr>
          <w:vertAlign w:val="superscript"/>
        </w:rPr>
        <w:t>+</w:t>
      </w:r>
      <w:r w:rsidRPr="4D4307D7">
        <w:t> on the MB</w:t>
      </w:r>
      <w:r w:rsidRPr="007E40B1">
        <w:rPr>
          <w:vertAlign w:val="superscript"/>
        </w:rPr>
        <w:t>+</w:t>
      </w:r>
      <w:r w:rsidRPr="4D4307D7">
        <w:t>-ZIF-67 film.</w:t>
      </w:r>
    </w:p>
    <w:p w14:paraId="1F66BAC5" w14:textId="3F0EC4A1" w:rsidR="002C2A18" w:rsidRDefault="002C2A18" w:rsidP="4D4307D7">
      <w:pPr>
        <w:spacing w:after="0"/>
        <w:rPr>
          <w:rStyle w:val="Hyperlink"/>
        </w:rPr>
      </w:pPr>
      <w:r w:rsidRPr="4D4307D7">
        <w:t>The thin films were first characterized by diffuse reflectance UV-visible spectroscopy (</w:t>
      </w:r>
      <w:hyperlink r:id="rId33" w:anchor="fig1" w:history="1">
        <w:r w:rsidRPr="4D4307D7">
          <w:rPr>
            <w:rStyle w:val="Hyperlink"/>
          </w:rPr>
          <w:t>Fig. 1a</w:t>
        </w:r>
      </w:hyperlink>
      <w:r w:rsidRPr="4D4307D7">
        <w:t>). The MB</w:t>
      </w:r>
      <w:r w:rsidRPr="007E40B1">
        <w:rPr>
          <w:vertAlign w:val="superscript"/>
        </w:rPr>
        <w:t>+</w:t>
      </w:r>
      <w:r w:rsidRPr="4D4307D7">
        <w:t>-quartz sample (red spectrum) shows a prominent band from ∼480–710 nm with an absorption tail into the near-IR region. The UV-visible band observed is much broader than that of the MB</w:t>
      </w:r>
      <w:r w:rsidRPr="007C0B5E">
        <w:rPr>
          <w:vertAlign w:val="superscript"/>
        </w:rPr>
        <w:t>+</w:t>
      </w:r>
      <w:r w:rsidRPr="4D4307D7">
        <w:t> in solution (Fig. S1, ESI</w:t>
      </w:r>
      <w:hyperlink r:id="rId34" w:anchor="fn1" w:tooltip="Electronic supplementary information (ESI) available: UV-visible spectra of MB+ in solution, MB+-quartz TA and kinetic fitting details. See DOI: 10.1039/c8cp02078g" w:history="1">
        <w:r w:rsidRPr="4D4307D7">
          <w:rPr>
            <w:rStyle w:val="Hyperlink"/>
          </w:rPr>
          <w:t>†</w:t>
        </w:r>
      </w:hyperlink>
      <w:r w:rsidRPr="4D4307D7">
        <w:t>). This phenomenon has been previously ascribed to dimerization, trimerization, or further aggregations of MB</w:t>
      </w:r>
      <w:r w:rsidRPr="007C0B5E">
        <w:rPr>
          <w:vertAlign w:val="superscript"/>
        </w:rPr>
        <w:t>+</w:t>
      </w:r>
      <w:r w:rsidRPr="4D4307D7">
        <w:t> molecules resulting in significant broadening of the UV-visible features and the appearance of an absorption tail on the red-side of the peak.</w:t>
      </w:r>
      <w:hyperlink r:id="rId35" w:anchor="cit24" w:history="1">
        <w:r w:rsidRPr="4D4307D7">
          <w:rPr>
            <w:rStyle w:val="Hyperlink"/>
          </w:rPr>
          <w:t>24</w:t>
        </w:r>
      </w:hyperlink>
      <w:r w:rsidRPr="4D4307D7">
        <w:t> In the spectra of the MB</w:t>
      </w:r>
      <w:r w:rsidRPr="007C0B5E">
        <w:rPr>
          <w:vertAlign w:val="superscript"/>
        </w:rPr>
        <w:t>+</w:t>
      </w:r>
      <w:r w:rsidRPr="4D4307D7">
        <w:t>-ZIF-67 film, a very similar MB</w:t>
      </w:r>
      <w:r w:rsidRPr="007C0B5E">
        <w:rPr>
          <w:vertAlign w:val="superscript"/>
        </w:rPr>
        <w:t>+</w:t>
      </w:r>
      <w:r w:rsidRPr="4D4307D7">
        <w:t> peak profile is present, indicating that MB</w:t>
      </w:r>
      <w:r w:rsidRPr="007C0B5E">
        <w:rPr>
          <w:vertAlign w:val="superscript"/>
        </w:rPr>
        <w:t>+</w:t>
      </w:r>
      <w:r w:rsidRPr="4D4307D7">
        <w:t>-quartz is an appropriate control sample. Additional features characteristic of ZIF-67 were also observed in the spectra of MB</w:t>
      </w:r>
      <w:r w:rsidRPr="007C0B5E">
        <w:rPr>
          <w:vertAlign w:val="superscript"/>
        </w:rPr>
        <w:t>+</w:t>
      </w:r>
      <w:r w:rsidRPr="4D4307D7">
        <w:t>-ZIF-67. The prominent peak at 585 nm can be assigned to the higher-lying d–d transition of ZIF-67 ([</w:t>
      </w:r>
      <w:r w:rsidRPr="006A60EF">
        <w:rPr>
          <w:vertAlign w:val="superscript"/>
        </w:rPr>
        <w:t>4</w:t>
      </w:r>
      <w:r w:rsidRPr="4D4307D7">
        <w:t>A</w:t>
      </w:r>
      <w:r w:rsidRPr="006A60EF">
        <w:rPr>
          <w:vertAlign w:val="subscript"/>
        </w:rPr>
        <w:t>2</w:t>
      </w:r>
      <w:r w:rsidRPr="4D4307D7">
        <w:t>(F)–</w:t>
      </w:r>
      <w:r w:rsidRPr="006A60EF">
        <w:rPr>
          <w:vertAlign w:val="superscript"/>
        </w:rPr>
        <w:t>4</w:t>
      </w:r>
      <w:r w:rsidRPr="4D4307D7">
        <w:t>T</w:t>
      </w:r>
      <w:r w:rsidRPr="006A60EF">
        <w:rPr>
          <w:vertAlign w:val="subscript"/>
        </w:rPr>
        <w:t>1</w:t>
      </w:r>
      <w:r w:rsidRPr="4D4307D7">
        <w:t>(P)]) due to tetrahedral coordination of Co</w:t>
      </w:r>
      <w:r w:rsidRPr="006A60EF">
        <w:rPr>
          <w:vertAlign w:val="superscript"/>
        </w:rPr>
        <w:t>II</w:t>
      </w:r>
      <w:r w:rsidRPr="4D4307D7">
        <w:t> in the ZIF-67 structure.</w:t>
      </w:r>
      <w:hyperlink r:id="rId36" w:anchor="cit22" w:history="1">
        <w:r w:rsidRPr="4D4307D7">
          <w:rPr>
            <w:rStyle w:val="Hyperlink"/>
          </w:rPr>
          <w:t>22</w:t>
        </w:r>
      </w:hyperlink>
      <w:r w:rsidRPr="4D4307D7">
        <w:t> The lower-lying [</w:t>
      </w:r>
      <w:r w:rsidRPr="00E201AE">
        <w:rPr>
          <w:vertAlign w:val="superscript"/>
        </w:rPr>
        <w:t>4</w:t>
      </w:r>
      <w:r w:rsidRPr="4D4307D7">
        <w:t>A</w:t>
      </w:r>
      <w:r w:rsidRPr="00E201AE">
        <w:rPr>
          <w:vertAlign w:val="subscript"/>
        </w:rPr>
        <w:t>2</w:t>
      </w:r>
      <w:r w:rsidRPr="4D4307D7">
        <w:t>(F)–</w:t>
      </w:r>
      <w:r w:rsidRPr="00E201AE">
        <w:rPr>
          <w:vertAlign w:val="superscript"/>
        </w:rPr>
        <w:t>4</w:t>
      </w:r>
      <w:r w:rsidRPr="4D4307D7">
        <w:t>T</w:t>
      </w:r>
      <w:r w:rsidRPr="00E201AE">
        <w:rPr>
          <w:vertAlign w:val="subscript"/>
        </w:rPr>
        <w:t>1</w:t>
      </w:r>
      <w:r w:rsidRPr="4D4307D7">
        <w:t>(F)] d–d transition, which has a lower extinction coefficient than the higher-lying transition and much lower extinction coefficient than the MB</w:t>
      </w:r>
      <w:r w:rsidRPr="007C0B5E">
        <w:rPr>
          <w:vertAlign w:val="superscript"/>
        </w:rPr>
        <w:t>+</w:t>
      </w:r>
      <w:r w:rsidRPr="4D4307D7">
        <w:t> features, is visible at the 900–1350 nm regime and is shown enlarged in Fig. S1 (ESI</w:t>
      </w:r>
      <w:hyperlink r:id="rId37" w:anchor="fn1" w:tooltip="Electronic supplementary information (ESI) available: UV-visible spectra of MB+ in solution, MB+-quartz TA and kinetic fitting details. See DOI: 10.1039/c8cp02078g" w:history="1">
        <w:r w:rsidRPr="4D4307D7">
          <w:rPr>
            <w:rStyle w:val="Hyperlink"/>
          </w:rPr>
          <w:t>†</w:t>
        </w:r>
      </w:hyperlink>
      <w:r w:rsidRPr="4D4307D7">
        <w:t>). The higher-lying d–d transition in the spectrum of MB</w:t>
      </w:r>
      <w:r w:rsidRPr="005939F2">
        <w:rPr>
          <w:vertAlign w:val="superscript"/>
        </w:rPr>
        <w:t>+</w:t>
      </w:r>
      <w:r w:rsidRPr="4D4307D7">
        <w:t>-ZIF-67 does not shift with respect to that in bare ZIF-67 (inset, </w:t>
      </w:r>
      <w:hyperlink r:id="rId38" w:anchor="fig1" w:history="1">
        <w:r w:rsidRPr="4D4307D7">
          <w:rPr>
            <w:rStyle w:val="Hyperlink"/>
          </w:rPr>
          <w:t>Fig. 1a</w:t>
        </w:r>
      </w:hyperlink>
      <w:r w:rsidRPr="4D4307D7">
        <w:t>), indicating that the bulk structure of ZIF-67 does not change due to MB</w:t>
      </w:r>
      <w:r w:rsidRPr="005939F2">
        <w:rPr>
          <w:vertAlign w:val="superscript"/>
        </w:rPr>
        <w:t>+</w:t>
      </w:r>
      <w:r w:rsidRPr="4D4307D7">
        <w:t> adsorption. The unchanged structure of ZIF-67 in MB+-ZIF-67 was further confirmed by XRD in </w:t>
      </w:r>
      <w:hyperlink r:id="rId39" w:anchor="fig1" w:history="1">
        <w:r w:rsidRPr="4D4307D7">
          <w:rPr>
            <w:rStyle w:val="Hyperlink"/>
          </w:rPr>
          <w:t>Fig. 1b</w:t>
        </w:r>
      </w:hyperlink>
      <w:r w:rsidRPr="4D4307D7">
        <w:t>, where the XRD patterns of MB</w:t>
      </w:r>
      <w:r w:rsidRPr="005939F2">
        <w:rPr>
          <w:vertAlign w:val="superscript"/>
        </w:rPr>
        <w:t>+</w:t>
      </w:r>
      <w:r w:rsidRPr="4D4307D7">
        <w:t>-ZIF-67 resemble that of ZIF-67 and are consistent with the published SOD-topology ZIF-67 patterns.</w:t>
      </w:r>
      <w:hyperlink r:id="rId40" w:anchor="cit25" w:history="1">
        <w:r w:rsidRPr="4D4307D7">
          <w:rPr>
            <w:rStyle w:val="Hyperlink"/>
          </w:rPr>
          <w:t>25</w:t>
        </w:r>
      </w:hyperlink>
    </w:p>
    <w:p w14:paraId="27E89424" w14:textId="77777777" w:rsidR="00C464D9" w:rsidRDefault="00C464D9" w:rsidP="4D4307D7">
      <w:pPr>
        <w:spacing w:after="0"/>
      </w:pPr>
    </w:p>
    <w:p w14:paraId="32C7D3ED" w14:textId="4776E012" w:rsidR="002C2A18" w:rsidRDefault="002C2A18" w:rsidP="4D4307D7">
      <w:bookmarkStart w:id="3" w:name="fig1"/>
      <w:r>
        <w:rPr>
          <w:rFonts w:ascii="Arial" w:hAnsi="Arial" w:cs="Arial"/>
          <w:noProof/>
          <w:color w:val="007AAF"/>
          <w:spacing w:val="-5"/>
        </w:rPr>
        <w:drawing>
          <wp:inline distT="0" distB="0" distL="0" distR="0" wp14:anchorId="407715E4" wp14:editId="72412009">
            <wp:extent cx="3686175" cy="1590675"/>
            <wp:effectExtent l="0" t="0" r="9525" b="9525"/>
            <wp:docPr id="31" name="Picture 31" descr="(a) UV-visible reflectance diffuse spectra of MB+ on quartz and MB+ sensitized ZIF-67 films. Inset of (a) compares the UV-visible reflectance diffuse spectra of bare ZIF-67 and MB+ sensitized ZIF-67 films. (b) XRD patterns of bare ZIF-67 and MB+ sensitized ZIF-67 films." title="Figure 1">
              <a:hlinkClick xmlns:a="http://schemas.openxmlformats.org/drawingml/2006/main" r:id="rId41" tooltip="&quot;Select to open image in new 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ubs.rsc.org/image/article/2018/cp/c8cp02078g/c8cp02078g-f1.gif">
                      <a:hlinkClick r:id="rId41" tooltip="&quot;Select to open image in new window&quot;"/>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686175" cy="1590675"/>
                    </a:xfrm>
                    <a:prstGeom prst="rect">
                      <a:avLst/>
                    </a:prstGeom>
                    <a:noFill/>
                    <a:ln>
                      <a:noFill/>
                    </a:ln>
                  </pic:spPr>
                </pic:pic>
              </a:graphicData>
            </a:graphic>
          </wp:inline>
        </w:drawing>
      </w:r>
      <w:bookmarkEnd w:id="3"/>
    </w:p>
    <w:p w14:paraId="4317ED49" w14:textId="4776E012" w:rsidR="002C2A18" w:rsidRDefault="002C2A18" w:rsidP="4D4307D7">
      <w:pPr>
        <w:pStyle w:val="NoSpacing"/>
      </w:pPr>
      <w:r w:rsidRPr="4D4307D7">
        <w:t>Fig. 1 (a) UV-visible reflectance diffuse spectra of MB</w:t>
      </w:r>
      <w:r w:rsidRPr="005939F2">
        <w:rPr>
          <w:vertAlign w:val="superscript"/>
        </w:rPr>
        <w:t>+</w:t>
      </w:r>
      <w:r w:rsidRPr="4D4307D7">
        <w:t> on quartz and MB</w:t>
      </w:r>
      <w:r w:rsidRPr="005939F2">
        <w:rPr>
          <w:vertAlign w:val="superscript"/>
        </w:rPr>
        <w:t>+</w:t>
      </w:r>
      <w:r w:rsidRPr="4D4307D7">
        <w:t> sensitized ZIF-67 films. Inset of (a) compares the UV-visible reflectance diffuse spectra of bare ZIF-67 and MB</w:t>
      </w:r>
      <w:r w:rsidRPr="005939F2">
        <w:rPr>
          <w:vertAlign w:val="superscript"/>
        </w:rPr>
        <w:t>+</w:t>
      </w:r>
      <w:r w:rsidRPr="4D4307D7">
        <w:t> sensitized ZIF-67 films. (b) XRD patterns of bare ZIF-67 and MB</w:t>
      </w:r>
      <w:r w:rsidRPr="005939F2">
        <w:rPr>
          <w:vertAlign w:val="superscript"/>
        </w:rPr>
        <w:t>+</w:t>
      </w:r>
      <w:r w:rsidRPr="4D4307D7">
        <w:t> sensitized ZIF-67 films.</w:t>
      </w:r>
    </w:p>
    <w:p w14:paraId="7F51CCCC" w14:textId="4A546822" w:rsidR="4D4307D7" w:rsidRDefault="4D4307D7" w:rsidP="4D4307D7"/>
    <w:p w14:paraId="07F6DB92" w14:textId="349A1FCB" w:rsidR="002C2A18" w:rsidRDefault="002C2A18" w:rsidP="4D4307D7">
      <w:pPr>
        <w:spacing w:after="0"/>
      </w:pPr>
      <w:r w:rsidRPr="4D4307D7">
        <w:t>The CS dynamics in MB</w:t>
      </w:r>
      <w:r w:rsidRPr="005939F2">
        <w:rPr>
          <w:vertAlign w:val="superscript"/>
        </w:rPr>
        <w:t>+</w:t>
      </w:r>
      <w:r w:rsidRPr="4D4307D7">
        <w:t>-ZIF-67 was investigated by femtosecond TA spectroscopy. Due to the significant spectral overlap of MB</w:t>
      </w:r>
      <w:r w:rsidRPr="005939F2">
        <w:rPr>
          <w:vertAlign w:val="superscript"/>
        </w:rPr>
        <w:t>+</w:t>
      </w:r>
      <w:r w:rsidRPr="4D4307D7">
        <w:t> and ZIF-67 (</w:t>
      </w:r>
      <w:hyperlink r:id="rId43" w:anchor="fig1" w:history="1">
        <w:r w:rsidRPr="4D4307D7">
          <w:rPr>
            <w:rStyle w:val="Hyperlink"/>
          </w:rPr>
          <w:t>Fig. 1a</w:t>
        </w:r>
      </w:hyperlink>
      <w:r w:rsidRPr="4D4307D7">
        <w:t>), we are not able to selectively excite MB</w:t>
      </w:r>
      <w:r w:rsidRPr="002A75B0">
        <w:rPr>
          <w:vertAlign w:val="superscript"/>
        </w:rPr>
        <w:t>+</w:t>
      </w:r>
      <w:r w:rsidRPr="4D4307D7">
        <w:t> or ZIF-67 in the visible spectral range. Instead, 1000 nm was used to selectively excite the lower-lying d–d transition of ZIF-67 as MB</w:t>
      </w:r>
      <w:r w:rsidRPr="002A75B0">
        <w:rPr>
          <w:vertAlign w:val="superscript"/>
        </w:rPr>
        <w:t>+</w:t>
      </w:r>
      <w:r w:rsidRPr="4D4307D7">
        <w:t> has negligible absorption at this wavelength. This was further confirmed by the TA spectra of the control sample, i.e. MB</w:t>
      </w:r>
      <w:r w:rsidRPr="002A75B0">
        <w:rPr>
          <w:vertAlign w:val="superscript"/>
        </w:rPr>
        <w:t>+</w:t>
      </w:r>
      <w:r w:rsidRPr="4D4307D7">
        <w:t>-quartz, which yields a negligible TA signal under the same experimental conditions (Fig. S2, ESI</w:t>
      </w:r>
      <w:hyperlink r:id="rId44" w:anchor="fn1" w:tooltip="Electronic supplementary information (ESI) available: UV-visible spectra of MB+ in solution, MB+-quartz TA and kinetic fitting details. See DOI: 10.1039/c8cp02078g" w:history="1">
        <w:r w:rsidRPr="4D4307D7">
          <w:rPr>
            <w:rStyle w:val="Hyperlink"/>
          </w:rPr>
          <w:t>†</w:t>
        </w:r>
      </w:hyperlink>
      <w:r w:rsidRPr="4D4307D7">
        <w:t>).</w:t>
      </w:r>
    </w:p>
    <w:p w14:paraId="17BD5E68" w14:textId="77777777" w:rsidR="00C464D9" w:rsidRDefault="00C464D9" w:rsidP="4D4307D7">
      <w:pPr>
        <w:spacing w:after="0"/>
      </w:pPr>
    </w:p>
    <w:p w14:paraId="24521F8C" w14:textId="2087E087" w:rsidR="002C2A18" w:rsidRDefault="00617156" w:rsidP="4D4307D7">
      <w:pPr>
        <w:spacing w:after="0"/>
      </w:pPr>
      <w:hyperlink r:id="rId45" w:anchor="fig2" w:history="1">
        <w:r w:rsidR="002C2A18" w:rsidRPr="4D4307D7">
          <w:rPr>
            <w:rStyle w:val="Hyperlink"/>
          </w:rPr>
          <w:t>Fig. 2a</w:t>
        </w:r>
      </w:hyperlink>
      <w:r w:rsidR="002C2A18" w:rsidRPr="4D4307D7">
        <w:t> shows the TA spectra of ZIF-67 following 1000 nm excitation. The instantaneously formed negative feature centered at 580 nm and broad positive features from 450 nm to 500 nm and 650 nm to 800 nm can be assigned to the ground state bleach (GSB) of ZIF-67 and the instantaneously formed excited Co d–d state (4T1) after photoexcitation that is intrinsic to ZIF-67, respectively. The Co d–d excited state features decay with time, which is accompanied by the formation of a prominent positive feature at 608 nm, corresponding to the formation of an intermediate long-lived charge separated state that is consistent with our previous observations on the ZIF-67 film.</w:t>
      </w:r>
      <w:hyperlink r:id="rId46" w:anchor="cit22" w:history="1">
        <w:r w:rsidR="002C2A18" w:rsidRPr="4D4307D7">
          <w:rPr>
            <w:rStyle w:val="Hyperlink"/>
          </w:rPr>
          <w:t>22</w:t>
        </w:r>
      </w:hyperlink>
      <w:r w:rsidR="002C2A18" w:rsidRPr="4D4307D7">
        <w:t> However, distinct differences were observed in the spectra of MB</w:t>
      </w:r>
      <w:r w:rsidR="002C2A18" w:rsidRPr="002A75B0">
        <w:rPr>
          <w:vertAlign w:val="superscript"/>
        </w:rPr>
        <w:t>+-</w:t>
      </w:r>
      <w:r w:rsidR="002C2A18" w:rsidRPr="4D4307D7">
        <w:t>ZIF-67 (</w:t>
      </w:r>
      <w:hyperlink r:id="rId47" w:anchor="fig2" w:history="1">
        <w:r w:rsidR="002C2A18" w:rsidRPr="4D4307D7">
          <w:rPr>
            <w:rStyle w:val="Hyperlink"/>
          </w:rPr>
          <w:t>Fig. 2b</w:t>
        </w:r>
      </w:hyperlink>
      <w:r w:rsidR="002C2A18" w:rsidRPr="4D4307D7">
        <w:t>) compared to that of ZIF-67. First, the GSB of ZIF-67 in the spectra of MB</w:t>
      </w:r>
      <w:r w:rsidR="002C2A18" w:rsidRPr="002A75B0">
        <w:rPr>
          <w:vertAlign w:val="superscript"/>
        </w:rPr>
        <w:t>+</w:t>
      </w:r>
      <w:r w:rsidR="002C2A18" w:rsidRPr="4D4307D7">
        <w:t>-ZIF-67 appears to decay faster while the growth of the positive feature at 608 nm is suppressed. Furthermore, an additional spectral feature, namely a broad negative feature, is visible from approximately 620 nm to 720 nm where it isn’t overlapped by the larger ZIF-67 features. These features are highlighted in the inset of </w:t>
      </w:r>
      <w:hyperlink r:id="rId48" w:anchor="fig2" w:history="1">
        <w:r w:rsidR="002C2A18" w:rsidRPr="4D4307D7">
          <w:rPr>
            <w:rStyle w:val="Hyperlink"/>
          </w:rPr>
          <w:t>Fig. 2b</w:t>
        </w:r>
      </w:hyperlink>
      <w:r w:rsidR="002C2A18" w:rsidRPr="4D4307D7">
        <w:t>, where the region from 600 nm to 750 nm in the MB</w:t>
      </w:r>
      <w:r w:rsidR="002C2A18" w:rsidRPr="002A75B0">
        <w:rPr>
          <w:vertAlign w:val="superscript"/>
        </w:rPr>
        <w:t>+</w:t>
      </w:r>
      <w:r w:rsidR="002C2A18" w:rsidRPr="4D4307D7">
        <w:t>-ZIF-67 transient spectra is enlarged. The new negative feature observed which extends to 720 nm, is consistent with the ground state absorption of MB</w:t>
      </w:r>
      <w:r w:rsidR="002C2A18" w:rsidRPr="002A75B0">
        <w:rPr>
          <w:vertAlign w:val="superscript"/>
        </w:rPr>
        <w:t>+</w:t>
      </w:r>
      <w:r w:rsidR="002C2A18" w:rsidRPr="4D4307D7">
        <w:t> and can thus be attributed to the GSB of MB</w:t>
      </w:r>
      <w:r w:rsidR="002C2A18" w:rsidRPr="002A75B0">
        <w:rPr>
          <w:vertAlign w:val="superscript"/>
        </w:rPr>
        <w:t>+</w:t>
      </w:r>
      <w:r w:rsidR="002C2A18" w:rsidRPr="4D4307D7">
        <w:t>. The formation of the GSB of MB</w:t>
      </w:r>
      <w:r w:rsidR="002C2A18" w:rsidRPr="002A75B0">
        <w:rPr>
          <w:vertAlign w:val="superscript"/>
        </w:rPr>
        <w:t>+</w:t>
      </w:r>
      <w:r w:rsidR="002C2A18" w:rsidRPr="4D4307D7">
        <w:t> in the spectra of MB</w:t>
      </w:r>
      <w:r w:rsidR="002C2A18" w:rsidRPr="0009349A">
        <w:rPr>
          <w:vertAlign w:val="superscript"/>
        </w:rPr>
        <w:t>+</w:t>
      </w:r>
      <w:r w:rsidR="002C2A18" w:rsidRPr="4D4307D7">
        <w:t>-ZIF-67 can result from energy transfer or charge transfer processes from the excited ZIF-67 to MB</w:t>
      </w:r>
      <w:r w:rsidR="002C2A18" w:rsidRPr="0009349A">
        <w:rPr>
          <w:vertAlign w:val="superscript"/>
        </w:rPr>
        <w:t>+</w:t>
      </w:r>
      <w:r w:rsidR="002C2A18" w:rsidRPr="4D4307D7">
        <w:t>. The energy transfer process from ZIF-67 to MB</w:t>
      </w:r>
      <w:r w:rsidR="002C2A18" w:rsidRPr="0009349A">
        <w:rPr>
          <w:vertAlign w:val="superscript"/>
        </w:rPr>
        <w:t>+</w:t>
      </w:r>
      <w:r w:rsidR="002C2A18" w:rsidRPr="4D4307D7">
        <w:t> is not feasible in this system because of energy conservation; 1000 nm excitation is lower than the energy that can be absorbed by MB</w:t>
      </w:r>
      <w:r w:rsidR="002C2A18" w:rsidRPr="0009349A">
        <w:rPr>
          <w:vertAlign w:val="superscript"/>
        </w:rPr>
        <w:t>+</w:t>
      </w:r>
      <w:r w:rsidR="002C2A18" w:rsidRPr="4D4307D7">
        <w:t>. We can also exclude the possibility of hole transfer from ZIF-67 to MB</w:t>
      </w:r>
      <w:r w:rsidR="002C2A18" w:rsidRPr="0009349A">
        <w:rPr>
          <w:vertAlign w:val="superscript"/>
        </w:rPr>
        <w:t>+</w:t>
      </w:r>
      <w:r w:rsidR="002C2A18" w:rsidRPr="4D4307D7">
        <w:t> as this process is thermodynamically unfeasible (MB2</w:t>
      </w:r>
      <w:r w:rsidR="002C2A18" w:rsidRPr="0009349A">
        <w:rPr>
          <w:vertAlign w:val="superscript"/>
        </w:rPr>
        <w:t>+</w:t>
      </w:r>
      <w:r w:rsidR="002C2A18" w:rsidRPr="4D4307D7">
        <w:t>/MB</w:t>
      </w:r>
      <w:r w:rsidR="002C2A18" w:rsidRPr="0009349A">
        <w:rPr>
          <w:vertAlign w:val="superscript"/>
        </w:rPr>
        <w:t>+</w:t>
      </w:r>
      <w:r w:rsidR="002C2A18" w:rsidRPr="4D4307D7">
        <w:t> redox couple occurs at +1.105 V vs. SCE).</w:t>
      </w:r>
      <w:hyperlink r:id="rId49" w:anchor="cit26" w:history="1">
        <w:r w:rsidR="002C2A18" w:rsidRPr="4D4307D7">
          <w:rPr>
            <w:rStyle w:val="Hyperlink"/>
          </w:rPr>
          <w:t>26,27</w:t>
        </w:r>
      </w:hyperlink>
      <w:r w:rsidR="002C2A18" w:rsidRPr="4D4307D7">
        <w:t> These results together lead us to believe that electron transfer occurs from excited ZIF-67 to MB</w:t>
      </w:r>
      <w:r w:rsidR="002C2A18" w:rsidRPr="0009349A">
        <w:rPr>
          <w:vertAlign w:val="superscript"/>
        </w:rPr>
        <w:t>+</w:t>
      </w:r>
      <w:r w:rsidR="002C2A18" w:rsidRPr="4D4307D7">
        <w:t>, resulting in the formation of GSB of MB</w:t>
      </w:r>
      <w:r w:rsidR="002C2A18" w:rsidRPr="0009349A">
        <w:rPr>
          <w:vertAlign w:val="superscript"/>
        </w:rPr>
        <w:t>+</w:t>
      </w:r>
      <w:r w:rsidR="002C2A18" w:rsidRPr="4D4307D7">
        <w:t>. We note that, while MB</w:t>
      </w:r>
      <w:r w:rsidR="002C2A18" w:rsidRPr="0009349A">
        <w:rPr>
          <w:vertAlign w:val="superscript"/>
        </w:rPr>
        <w:t>+</w:t>
      </w:r>
      <w:r w:rsidR="002C2A18" w:rsidRPr="4D4307D7">
        <w:t> signals are clearly observed, the ET event must have limited efficiency since highly efficient ET would lead to dominating MB</w:t>
      </w:r>
      <w:r w:rsidR="002C2A18" w:rsidRPr="0009349A">
        <w:rPr>
          <w:vertAlign w:val="superscript"/>
        </w:rPr>
        <w:t>+</w:t>
      </w:r>
      <w:r w:rsidR="002C2A18" w:rsidRPr="4D4307D7">
        <w:t>-centered features. This is likely due to the heterogeneous nature of the sample (i.e. dye aggregation) as well as the poor coupling between the electronic states of ZIF-67 and MB</w:t>
      </w:r>
      <w:r w:rsidR="002C2A18" w:rsidRPr="0009349A">
        <w:rPr>
          <w:vertAlign w:val="superscript"/>
        </w:rPr>
        <w:t>+</w:t>
      </w:r>
      <w:r w:rsidR="002C2A18" w:rsidRPr="4D4307D7">
        <w:t> due to surface contact only and the aforementioned dye aggregation.</w:t>
      </w:r>
    </w:p>
    <w:p w14:paraId="3CFA151F" w14:textId="77777777" w:rsidR="00C464D9" w:rsidRDefault="00C464D9" w:rsidP="4D4307D7">
      <w:pPr>
        <w:spacing w:after="0"/>
      </w:pPr>
    </w:p>
    <w:p w14:paraId="71511C71" w14:textId="0BF5EAE3" w:rsidR="002C2A18" w:rsidRDefault="002C2A18" w:rsidP="4D4307D7">
      <w:pPr>
        <w:shd w:val="clear" w:color="auto" w:fill="FFFFFF" w:themeFill="background1"/>
        <w:spacing w:line="276" w:lineRule="auto"/>
      </w:pPr>
      <w:bookmarkStart w:id="4" w:name="fig2"/>
      <w:r>
        <w:rPr>
          <w:rFonts w:ascii="Arial" w:hAnsi="Arial" w:cs="Arial"/>
          <w:noProof/>
          <w:color w:val="007AAF"/>
          <w:spacing w:val="-5"/>
        </w:rPr>
        <w:drawing>
          <wp:inline distT="0" distB="0" distL="0" distR="0" wp14:anchorId="338F93FC" wp14:editId="42DBF940">
            <wp:extent cx="3409950" cy="2771775"/>
            <wp:effectExtent l="0" t="0" r="0" b="9525"/>
            <wp:docPr id="30" name="Picture 30" descr="Transient absorption spectra of (a) ZIF-67 and (b) MB+-ZIF-67 following 1000 nm excitation. The comparison of TA kinetics of ZIF-67 and MB+-ZIF-67 at 670 nm (c), 608 nm (d), and 580 nm (inset of d). Inset of (b) shows the enlarged MB+ GSB region. The solid lines in (c and d) are the best fit lines from the global multiexponential result. " title="Figure 2">
              <a:hlinkClick xmlns:a="http://schemas.openxmlformats.org/drawingml/2006/main" r:id="rId50" tooltip="&quot;Select to open image in new 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ubs.rsc.org/image/article/2018/cp/c8cp02078g/c8cp02078g-f2.gif">
                      <a:hlinkClick r:id="rId50" tooltip="&quot;Select to open image in new window&quot;"/>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409950" cy="2771775"/>
                    </a:xfrm>
                    <a:prstGeom prst="rect">
                      <a:avLst/>
                    </a:prstGeom>
                    <a:noFill/>
                    <a:ln>
                      <a:noFill/>
                    </a:ln>
                  </pic:spPr>
                </pic:pic>
              </a:graphicData>
            </a:graphic>
          </wp:inline>
        </w:drawing>
      </w:r>
      <w:bookmarkEnd w:id="4"/>
    </w:p>
    <w:p w14:paraId="7D90F77A" w14:textId="0BF5EAE3" w:rsidR="002C2A18" w:rsidRDefault="002C2A18" w:rsidP="4D4307D7">
      <w:pPr>
        <w:pStyle w:val="NoSpacing"/>
      </w:pPr>
      <w:r w:rsidRPr="4D4307D7">
        <w:t>Fig. 2 Transient absorption spectra of (a) ZIF-67 and (b) MB</w:t>
      </w:r>
      <w:r w:rsidRPr="00D03896">
        <w:rPr>
          <w:vertAlign w:val="superscript"/>
        </w:rPr>
        <w:t>+</w:t>
      </w:r>
      <w:r w:rsidRPr="4D4307D7">
        <w:t>-ZIF-67 following 1000 nm excitation. The comparison of TA kinetics of ZIF-67 and MB</w:t>
      </w:r>
      <w:r w:rsidRPr="00D03896">
        <w:rPr>
          <w:vertAlign w:val="superscript"/>
        </w:rPr>
        <w:t>+</w:t>
      </w:r>
      <w:r w:rsidRPr="4D4307D7">
        <w:t>-ZIF-67 at 670 nm (c), 608 nm (d), and 580 nm (inset of d). Inset of (b) shows the enlarged MB</w:t>
      </w:r>
      <w:r w:rsidRPr="00D03896">
        <w:rPr>
          <w:vertAlign w:val="superscript"/>
        </w:rPr>
        <w:t>+</w:t>
      </w:r>
      <w:r w:rsidRPr="4D4307D7">
        <w:t> GSB region. The solid lines in (c and d) are the best fit lines from the global multiexponential result.</w:t>
      </w:r>
    </w:p>
    <w:p w14:paraId="0746DED8" w14:textId="734AF98A" w:rsidR="4D4307D7" w:rsidRDefault="4D4307D7" w:rsidP="4D4307D7"/>
    <w:p w14:paraId="3D72F74F" w14:textId="1A66B20A" w:rsidR="002C2A18" w:rsidRDefault="002C2A18" w:rsidP="00CB698A">
      <w:pPr>
        <w:spacing w:after="0"/>
      </w:pPr>
      <w:r w:rsidRPr="4D4307D7">
        <w:t>Further evidence of the ET process can be seen from the TA kinetics of MB</w:t>
      </w:r>
      <w:r w:rsidRPr="00D03896">
        <w:rPr>
          <w:vertAlign w:val="superscript"/>
        </w:rPr>
        <w:t>+</w:t>
      </w:r>
      <w:r w:rsidRPr="4D4307D7">
        <w:t>-ZIF-67. As shown in </w:t>
      </w:r>
      <w:hyperlink r:id="rId52" w:anchor="fig2" w:history="1">
        <w:r w:rsidRPr="4D4307D7">
          <w:rPr>
            <w:rStyle w:val="Hyperlink"/>
          </w:rPr>
          <w:t>Fig. 2c and d</w:t>
        </w:r>
      </w:hyperlink>
      <w:r w:rsidRPr="4D4307D7">
        <w:t>, instead of positive amplitudes for the kinetics at 670 nm and 608 nm for ZIF-67, the kinetics of MB</w:t>
      </w:r>
      <w:r w:rsidRPr="001E0368">
        <w:rPr>
          <w:vertAlign w:val="superscript"/>
        </w:rPr>
        <w:t>+</w:t>
      </w:r>
      <w:r w:rsidRPr="4D4307D7">
        <w:t xml:space="preserve">-ZIF-67 at </w:t>
      </w:r>
      <w:r w:rsidRPr="4D4307D7">
        <w:lastRenderedPageBreak/>
        <w:t>both wavelengths initiate with negative amplitudes, which suggests the instant formation of MB</w:t>
      </w:r>
      <w:r w:rsidRPr="005E1BA3">
        <w:rPr>
          <w:vertAlign w:val="superscript"/>
        </w:rPr>
        <w:t>+</w:t>
      </w:r>
      <w:r w:rsidRPr="4D4307D7">
        <w:t> GSB, accounting for an ultrafast ET process from the excited ZIF-67 to MB</w:t>
      </w:r>
      <w:r w:rsidRPr="001E0368">
        <w:rPr>
          <w:vertAlign w:val="superscript"/>
        </w:rPr>
        <w:t>+</w:t>
      </w:r>
      <w:r w:rsidRPr="4D4307D7">
        <w:t>. The recovery of MB</w:t>
      </w:r>
      <w:r w:rsidRPr="001E0368">
        <w:rPr>
          <w:vertAlign w:val="superscript"/>
        </w:rPr>
        <w:t>+</w:t>
      </w:r>
      <w:r w:rsidRPr="4D4307D7">
        <w:t> GSB was observed at &lt;10 ps, which can be attributed to the charge recombination (CR) process from reduced MB</w:t>
      </w:r>
      <w:r w:rsidRPr="001E0368">
        <w:rPr>
          <w:vertAlign w:val="superscript"/>
        </w:rPr>
        <w:t>+</w:t>
      </w:r>
      <w:r w:rsidRPr="4D4307D7">
        <w:t> and oxidized ZIF-67, consistent with the enhanced GSB recovery of ZIF-67 in MB</w:t>
      </w:r>
      <w:r w:rsidRPr="001E0368">
        <w:rPr>
          <w:vertAlign w:val="superscript"/>
        </w:rPr>
        <w:t>+</w:t>
      </w:r>
      <w:r w:rsidRPr="4D4307D7">
        <w:t>-ZIF-67 (inset of </w:t>
      </w:r>
      <w:hyperlink r:id="rId53" w:anchor="fig2" w:history="1">
        <w:r w:rsidRPr="4D4307D7">
          <w:rPr>
            <w:rStyle w:val="Hyperlink"/>
          </w:rPr>
          <w:t>Fig. 2d</w:t>
        </w:r>
      </w:hyperlink>
      <w:r w:rsidRPr="4D4307D7">
        <w:t>). Meanwhile, it is interesting to note that the GSB recovery of MB</w:t>
      </w:r>
      <w:r w:rsidRPr="001E0368">
        <w:rPr>
          <w:vertAlign w:val="superscript"/>
        </w:rPr>
        <w:t>+</w:t>
      </w:r>
      <w:r w:rsidRPr="4D4307D7">
        <w:t> stops after ∼10 ps, which is indeed followed by the further growth of MB</w:t>
      </w:r>
      <w:r w:rsidRPr="001E0368">
        <w:rPr>
          <w:vertAlign w:val="superscript"/>
        </w:rPr>
        <w:t>+</w:t>
      </w:r>
      <w:r w:rsidRPr="4D4307D7">
        <w:t> GSB, as can be seen in the kinetic traces in </w:t>
      </w:r>
      <w:hyperlink r:id="rId54" w:anchor="fig2" w:history="1">
        <w:r w:rsidRPr="4D4307D7">
          <w:rPr>
            <w:rStyle w:val="Hyperlink"/>
          </w:rPr>
          <w:t>Fig. 2c and d</w:t>
        </w:r>
      </w:hyperlink>
      <w:r w:rsidRPr="4D4307D7">
        <w:t> as well as the enlarged spectral region in the inset of </w:t>
      </w:r>
      <w:hyperlink r:id="rId55" w:anchor="fig2" w:history="1">
        <w:r w:rsidRPr="4D4307D7">
          <w:rPr>
            <w:rStyle w:val="Hyperlink"/>
          </w:rPr>
          <w:t>Fig. 2b</w:t>
        </w:r>
      </w:hyperlink>
      <w:r w:rsidRPr="4D4307D7">
        <w:t>. We attributed this irregularity to ET from ZIF-67 to MB</w:t>
      </w:r>
      <w:r w:rsidRPr="00382732">
        <w:rPr>
          <w:vertAlign w:val="superscript"/>
        </w:rPr>
        <w:t>+</w:t>
      </w:r>
      <w:r w:rsidRPr="4D4307D7">
        <w:t> but with a different pathway, the origin of which will be discussed in the next section. Different from the first ET pathway where the ultrafast CR process was observed, the CR associated with this second ET process is slow (≫5 ns).</w:t>
      </w:r>
    </w:p>
    <w:p w14:paraId="0163E3FC" w14:textId="77777777" w:rsidR="00C464D9" w:rsidRDefault="00C464D9" w:rsidP="4D4307D7">
      <w:pPr>
        <w:spacing w:after="0"/>
        <w:ind w:firstLine="240"/>
      </w:pPr>
    </w:p>
    <w:p w14:paraId="7E86726E" w14:textId="755CBA4C" w:rsidR="002C2A18" w:rsidRDefault="002C2A18" w:rsidP="00CB698A">
      <w:pPr>
        <w:spacing w:after="0"/>
      </w:pPr>
      <w:r w:rsidRPr="4D4307D7">
        <w:t>A multiexponential model was used to fit the kinetic traces at eight wavelengths globally across the TA probe range to quantify the kinetic trends observed (</w:t>
      </w:r>
      <w:hyperlink r:id="rId56" w:anchor="tab1" w:history="1">
        <w:r w:rsidRPr="4D4307D7">
          <w:rPr>
            <w:rStyle w:val="Hyperlink"/>
          </w:rPr>
          <w:t>Table 1</w:t>
        </w:r>
      </w:hyperlink>
      <w:r w:rsidRPr="4D4307D7">
        <w:t>). The data &lt;800 fs was excluded from the fits due to the combination of our 200 fs instrument response, coherent artifacts, and substrate effects that are visible in </w:t>
      </w:r>
      <w:hyperlink r:id="rId57" w:anchor="fig2" w:history="1">
        <w:r w:rsidRPr="4D4307D7">
          <w:rPr>
            <w:rStyle w:val="Hyperlink"/>
          </w:rPr>
          <w:t>Fig. 2</w:t>
        </w:r>
      </w:hyperlink>
      <w:r w:rsidRPr="4D4307D7">
        <w:t> as data points above and below the baselines of the kinetic traces at early times. To facilitate discussion, the kinetic traces at 580 nm, 608 nm, and 670 nm only are shown and compared here in the main text as they are representative of the assigned processes. The full global fit results are shown and discussed in the ESI</w:t>
      </w:r>
      <w:hyperlink r:id="rId58" w:anchor="fn1" w:tooltip="Electronic supplementary information (ESI) available: UV-visible spectra of MB+ in solution, MB+-quartz TA and kinetic fitting details. See DOI: 10.1039/c8cp02078g" w:history="1">
        <w:r w:rsidRPr="4D4307D7">
          <w:rPr>
            <w:rStyle w:val="Hyperlink"/>
          </w:rPr>
          <w:t>†</w:t>
        </w:r>
      </w:hyperlink>
      <w:r w:rsidRPr="4D4307D7">
        <w:t> (Fig. S3 and Table S1). The ZIF-67 sample was first fit using the same time constant (τ1 of 31.7 ps) found in our previous study at all wavelengths.</w:t>
      </w:r>
      <w:hyperlink r:id="rId59" w:anchor="cit22" w:history="1">
        <w:r w:rsidRPr="4D4307D7">
          <w:rPr>
            <w:rStyle w:val="Hyperlink"/>
          </w:rPr>
          <w:t>22</w:t>
        </w:r>
      </w:hyperlink>
      <w:r w:rsidRPr="4D4307D7">
        <w:t> The 470 nm and 670 nm features, assigned to the decay of ZIF-67 ES, were completely recovered by 100 ps and, thus, were fit with a single exponential. The 580 nm and 608 nm features, however, included a ≫5 ns component to account for the remaining signal at the end of our TA time window of 5 ns. The fast decay at an early time of all kinetic traces was fit with τ</w:t>
      </w:r>
      <w:r w:rsidRPr="00563F4A">
        <w:rPr>
          <w:vertAlign w:val="subscript"/>
        </w:rPr>
        <w:t>2</w:t>
      </w:r>
      <w:r w:rsidRPr="4D4307D7">
        <w:t> of 1.33 ps and is assigned to the recombination between some of the instantaneously generated MB˙ and ZIF-67+. The MB</w:t>
      </w:r>
      <w:r w:rsidRPr="005E1BA3">
        <w:rPr>
          <w:vertAlign w:val="superscript"/>
        </w:rPr>
        <w:t>+</w:t>
      </w:r>
      <w:r w:rsidRPr="4D4307D7">
        <w:t> GSB does not return to zero, however, indicating that some of the MB˙ persists beyond this first recombination component, possibly due to charge separation/delocalization. As mentioned previously, a distinct growth in all the kinetic features, except the ZIF-67 GSB feature at 580 nm where the remaining signal from ZIF-67 is relatively large, is present in the MB</w:t>
      </w:r>
      <w:r w:rsidRPr="00382732">
        <w:rPr>
          <w:vertAlign w:val="superscript"/>
        </w:rPr>
        <w:t>+</w:t>
      </w:r>
      <w:r w:rsidRPr="4D4307D7">
        <w:t>-ZIF-67 sample. To account for this signal growth, an additional time constant τ</w:t>
      </w:r>
      <w:r w:rsidRPr="00563F4A">
        <w:rPr>
          <w:vertAlign w:val="subscript"/>
        </w:rPr>
        <w:t>2</w:t>
      </w:r>
      <w:r w:rsidRPr="4D4307D7">
        <w:t> of 101.4 ps needed to be included in the global fit model.</w:t>
      </w:r>
    </w:p>
    <w:p w14:paraId="2A878B15" w14:textId="77777777" w:rsidR="00C464D9" w:rsidRDefault="00C464D9" w:rsidP="4D4307D7">
      <w:pPr>
        <w:spacing w:after="0"/>
        <w:ind w:firstLine="240"/>
      </w:pPr>
    </w:p>
    <w:p w14:paraId="06E0D2E9" w14:textId="6974B7B0" w:rsidR="002C2A18" w:rsidRDefault="002C2A18" w:rsidP="00CB698A">
      <w:pPr>
        <w:shd w:val="clear" w:color="auto" w:fill="FFFFFF" w:themeFill="background1"/>
        <w:spacing w:after="0" w:line="276" w:lineRule="auto"/>
      </w:pPr>
      <w:r w:rsidRPr="4D4307D7">
        <w:t>The evolution of TA features and the significant difference in time constants obtained can be well explained by a two-pathway model shown in </w:t>
      </w:r>
      <w:hyperlink r:id="rId60" w:anchor="fig3" w:history="1">
        <w:r w:rsidRPr="4D4307D7">
          <w:rPr>
            <w:rStyle w:val="Hyperlink"/>
          </w:rPr>
          <w:t>Fig. 3a</w:t>
        </w:r>
      </w:hyperlink>
      <w:r w:rsidRPr="4D4307D7">
        <w:t>. Due to the periodic nature of the ZIF-67 framework, there are two classes of [Co</w:t>
      </w:r>
      <w:r w:rsidRPr="006A60EF">
        <w:rPr>
          <w:vertAlign w:val="superscript"/>
        </w:rPr>
        <w:t>II</w:t>
      </w:r>
      <w:r w:rsidRPr="4D4307D7">
        <w:t>(mim)2] tetrahedron units: (1) the units that are located on the surface of the film and are directly in contact with MB</w:t>
      </w:r>
      <w:r w:rsidRPr="00382732">
        <w:rPr>
          <w:vertAlign w:val="superscript"/>
        </w:rPr>
        <w:t>+</w:t>
      </w:r>
      <w:r w:rsidRPr="4D4307D7">
        <w:t> and (2) units that are in the bulk of the film and were isolated from MB</w:t>
      </w:r>
      <w:r w:rsidRPr="00382732">
        <w:rPr>
          <w:vertAlign w:val="superscript"/>
        </w:rPr>
        <w:t>+</w:t>
      </w:r>
      <w:r w:rsidRPr="4D4307D7">
        <w:t> by the surface units. These different classes of [Co</w:t>
      </w:r>
      <w:r w:rsidRPr="006A60EF">
        <w:rPr>
          <w:vertAlign w:val="superscript"/>
        </w:rPr>
        <w:t>II</w:t>
      </w:r>
      <w:r w:rsidRPr="4D4307D7">
        <w:t>(mim)2] tetrahedron units lead to distinctly different pathways for ET to MB</w:t>
      </w:r>
      <w:r w:rsidRPr="00382732">
        <w:rPr>
          <w:vertAlign w:val="superscript"/>
        </w:rPr>
        <w:t>+</w:t>
      </w:r>
      <w:r w:rsidRPr="4D4307D7">
        <w:t> in the MB</w:t>
      </w:r>
      <w:r w:rsidRPr="00382732">
        <w:rPr>
          <w:vertAlign w:val="superscript"/>
        </w:rPr>
        <w:t>+</w:t>
      </w:r>
      <w:r w:rsidRPr="4D4307D7">
        <w:t>-ZIF-67 system, A and B, respectively (</w:t>
      </w:r>
      <w:hyperlink r:id="rId61" w:anchor="fig3" w:history="1">
        <w:r w:rsidRPr="4D4307D7">
          <w:rPr>
            <w:rStyle w:val="Hyperlink"/>
          </w:rPr>
          <w:t>Fig. 3a</w:t>
        </w:r>
      </w:hyperlink>
      <w:r w:rsidRPr="4D4307D7">
        <w:t>). Pathway A is initiated by excitation of a ZIF-67 tetrahedron unit that is in direct contact or close proximity with MB</w:t>
      </w:r>
      <w:r w:rsidRPr="00382732">
        <w:rPr>
          <w:vertAlign w:val="superscript"/>
        </w:rPr>
        <w:t>+</w:t>
      </w:r>
      <w:r w:rsidRPr="4D4307D7">
        <w:t>, resulting in ultrafast ET to MB</w:t>
      </w:r>
      <w:r w:rsidRPr="00382732">
        <w:rPr>
          <w:vertAlign w:val="superscript"/>
        </w:rPr>
        <w:t>+</w:t>
      </w:r>
      <w:r w:rsidRPr="4D4307D7">
        <w:t>, followed by fast 1.33 ps recombination between MB˙ and ZIF-67+. Pathway B is initiated by excitation of a ZIF-67 tetrahedron unit that is not in direct contact with MB</w:t>
      </w:r>
      <w:r w:rsidRPr="00B93F37">
        <w:rPr>
          <w:vertAlign w:val="superscript"/>
        </w:rPr>
        <w:t>+</w:t>
      </w:r>
      <w:r w:rsidRPr="4D4307D7">
        <w:t>. Excitation results in the formation of an intermediate state (IMS) that we have previously shown to be an intrinsic charge-separated state in ZIF-67 with LMCT character.</w:t>
      </w:r>
      <w:hyperlink r:id="rId62" w:anchor="cit22" w:history="1">
        <w:r w:rsidRPr="4D4307D7">
          <w:rPr>
            <w:rStyle w:val="Hyperlink"/>
          </w:rPr>
          <w:t>22</w:t>
        </w:r>
      </w:hyperlink>
      <w:r w:rsidRPr="4D4307D7">
        <w:t> We are unsure of the mechanism of charge separation within ZIF-67, which is an active area of research in our group, but it is suggested by our fundamental studies that it does occur and results in the long lifetime for photoexcited ZIF-67. The separated negative charge must then migrate to a site where it can reduce MB</w:t>
      </w:r>
      <w:r w:rsidRPr="00B93F37">
        <w:rPr>
          <w:vertAlign w:val="superscript"/>
        </w:rPr>
        <w:t>+</w:t>
      </w:r>
      <w:r w:rsidRPr="4D4307D7">
        <w:t> from the long-lived IMS with a time constant of 101.4 ps. As evidenced by the lack of decay in the 670 nm kinetic trace (</w:t>
      </w:r>
      <w:hyperlink r:id="rId63" w:anchor="fig2" w:history="1">
        <w:r w:rsidRPr="4D4307D7">
          <w:rPr>
            <w:rStyle w:val="Hyperlink"/>
          </w:rPr>
          <w:t>Fig. 2d</w:t>
        </w:r>
      </w:hyperlink>
      <w:r w:rsidRPr="4D4307D7">
        <w:t>) that can only be due to the GSB of MB</w:t>
      </w:r>
      <w:r w:rsidRPr="00B93F37">
        <w:rPr>
          <w:vertAlign w:val="superscript"/>
        </w:rPr>
        <w:t>˙</w:t>
      </w:r>
      <w:r w:rsidRPr="4D4307D7">
        <w:t xml:space="preserve"> since ZIF-67 has no signal at this wavelength at later times, recombination does not occur within our time window.</w:t>
      </w:r>
    </w:p>
    <w:p w14:paraId="25CD6ED1" w14:textId="062FD184" w:rsidR="002C2A18" w:rsidRDefault="002C2A18" w:rsidP="4D4307D7">
      <w:pPr>
        <w:pStyle w:val="NoSpacing"/>
      </w:pPr>
      <w:bookmarkStart w:id="5" w:name="fig3"/>
      <w:r>
        <w:rPr>
          <w:rFonts w:ascii="Arial" w:hAnsi="Arial" w:cs="Arial"/>
          <w:noProof/>
          <w:color w:val="007AAF"/>
          <w:spacing w:val="-5"/>
        </w:rPr>
        <w:lastRenderedPageBreak/>
        <w:drawing>
          <wp:inline distT="0" distB="0" distL="0" distR="0" wp14:anchorId="262D0151" wp14:editId="424FB06B">
            <wp:extent cx="3390900" cy="1914525"/>
            <wp:effectExtent l="0" t="0" r="0" b="9525"/>
            <wp:docPr id="29" name="Picture 29" descr=" (a) The proposed two-pathway electron transfer model in MB+-ZIF-67. (b) Schematic diagram depicting energetics and time constants for electron transfer dynamics in MB+-ZIF-67. " title="Figure 3">
              <a:hlinkClick xmlns:a="http://schemas.openxmlformats.org/drawingml/2006/main" r:id="rId64" tooltip="&quot;Select to open image in new 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ubs.rsc.org/image/article/2018/cp/c8cp02078g/c8cp02078g-f3.gif">
                      <a:hlinkClick r:id="rId64" tooltip="&quot;Select to open image in new window&quot;"/>
                    </pic:cNvPr>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3390900" cy="1914525"/>
                    </a:xfrm>
                    <a:prstGeom prst="rect">
                      <a:avLst/>
                    </a:prstGeom>
                    <a:noFill/>
                    <a:ln>
                      <a:noFill/>
                    </a:ln>
                  </pic:spPr>
                </pic:pic>
              </a:graphicData>
            </a:graphic>
          </wp:inline>
        </w:drawing>
      </w:r>
      <w:bookmarkEnd w:id="5"/>
    </w:p>
    <w:p w14:paraId="7A07EC50" w14:textId="062FD184" w:rsidR="002C2A18" w:rsidRDefault="002C2A18" w:rsidP="4D4307D7">
      <w:pPr>
        <w:pStyle w:val="NoSpacing"/>
      </w:pPr>
      <w:r w:rsidRPr="4D4307D7">
        <w:t>Fig. 3 (a) The proposed two-pathway electron transfer model in MB</w:t>
      </w:r>
      <w:r w:rsidRPr="00B93F37">
        <w:rPr>
          <w:vertAlign w:val="superscript"/>
        </w:rPr>
        <w:t>+</w:t>
      </w:r>
      <w:r w:rsidRPr="4D4307D7">
        <w:t>-ZIF-67. (b) Schematic diagram depicting energetics and time constants for electron transfer dynamics in MB</w:t>
      </w:r>
      <w:r w:rsidRPr="00B93F37">
        <w:rPr>
          <w:vertAlign w:val="superscript"/>
        </w:rPr>
        <w:t>+</w:t>
      </w:r>
      <w:r w:rsidRPr="4D4307D7">
        <w:t>-ZIF-67.</w:t>
      </w:r>
    </w:p>
    <w:p w14:paraId="68CE0D09" w14:textId="2960E622" w:rsidR="4D4307D7" w:rsidRDefault="4D4307D7" w:rsidP="4D4307D7"/>
    <w:p w14:paraId="1D01B7B2" w14:textId="3DB7D4FF" w:rsidR="002C2A18" w:rsidRDefault="002C2A18" w:rsidP="4D4307D7">
      <w:pPr>
        <w:spacing w:after="0"/>
      </w:pPr>
      <w:r w:rsidRPr="4D4307D7">
        <w:t>The scheme in </w:t>
      </w:r>
      <w:hyperlink r:id="rId66" w:anchor="fig3" w:history="1">
        <w:r w:rsidRPr="4D4307D7">
          <w:rPr>
            <w:rStyle w:val="Hyperlink"/>
          </w:rPr>
          <w:t>Fig. 3b</w:t>
        </w:r>
      </w:hyperlink>
      <w:r w:rsidRPr="4D4307D7">
        <w:t> depicts the energetics diagram inferred from the above TA results. ZIF-67 is first excited with 1000 nm light to promote an electron from the Co-centered </w:t>
      </w:r>
      <w:r w:rsidRPr="00AA48BA">
        <w:rPr>
          <w:vertAlign w:val="superscript"/>
        </w:rPr>
        <w:t>4</w:t>
      </w:r>
      <w:r w:rsidRPr="4D4307D7">
        <w:t>A</w:t>
      </w:r>
      <w:r w:rsidRPr="00AA48BA">
        <w:rPr>
          <w:vertAlign w:val="subscript"/>
        </w:rPr>
        <w:t>2</w:t>
      </w:r>
      <w:r w:rsidRPr="4D4307D7">
        <w:t>(F) state to the Co-centered </w:t>
      </w:r>
      <w:r w:rsidRPr="00AA48BA">
        <w:rPr>
          <w:vertAlign w:val="superscript"/>
        </w:rPr>
        <w:t>4</w:t>
      </w:r>
      <w:r w:rsidRPr="4D4307D7">
        <w:t>T</w:t>
      </w:r>
      <w:r w:rsidRPr="00AA48BA">
        <w:rPr>
          <w:vertAlign w:val="subscript"/>
        </w:rPr>
        <w:t>1</w:t>
      </w:r>
      <w:r w:rsidRPr="4D4307D7">
        <w:t>(F) state. From this state, some ET occurs from the ZIF-67 </w:t>
      </w:r>
      <w:r w:rsidRPr="00CB238B">
        <w:rPr>
          <w:vertAlign w:val="superscript"/>
        </w:rPr>
        <w:t>4</w:t>
      </w:r>
      <w:r w:rsidRPr="4D4307D7">
        <w:t>T</w:t>
      </w:r>
      <w:r w:rsidRPr="00CB238B">
        <w:rPr>
          <w:vertAlign w:val="subscript"/>
        </w:rPr>
        <w:t>1</w:t>
      </w:r>
      <w:r w:rsidRPr="4D4307D7">
        <w:t>(F) state to MB</w:t>
      </w:r>
      <w:r w:rsidRPr="00B93F37">
        <w:rPr>
          <w:vertAlign w:val="superscript"/>
        </w:rPr>
        <w:t>+</w:t>
      </w:r>
      <w:r w:rsidRPr="4D4307D7">
        <w:t> before our instrument response time (&lt;200 fs) while the remaining excited state relaxes down to the IMS with a 31.7 ps time constant.</w:t>
      </w:r>
      <w:hyperlink r:id="rId67" w:anchor="cit22" w:history="1">
        <w:r w:rsidRPr="4D4307D7">
          <w:rPr>
            <w:rStyle w:val="Hyperlink"/>
          </w:rPr>
          <w:t>22</w:t>
        </w:r>
      </w:hyperlink>
      <w:r w:rsidRPr="4D4307D7">
        <w:t> This 31.7 ps time constant should be unable to compete with the &lt;200 fs component of ET. However, as we proposed in two-pathway model (</w:t>
      </w:r>
      <w:hyperlink r:id="rId68" w:anchor="fig3" w:history="1">
        <w:r w:rsidRPr="4D4307D7">
          <w:rPr>
            <w:rStyle w:val="Hyperlink"/>
          </w:rPr>
          <w:t>Fig. 3a</w:t>
        </w:r>
      </w:hyperlink>
      <w:r w:rsidRPr="4D4307D7">
        <w:t>), there are ZIF-67 tetrahedron units that are not in contact with MB</w:t>
      </w:r>
      <w:r w:rsidRPr="00B93F37">
        <w:rPr>
          <w:vertAlign w:val="superscript"/>
        </w:rPr>
        <w:t>+</w:t>
      </w:r>
      <w:r w:rsidRPr="4D4307D7">
        <w:t>, which can prohibit the ultrafast ET event. In our previous study, the IMS has an amplitude weighted lifetime of 2.9 μs</w:t>
      </w:r>
      <w:hyperlink r:id="rId69" w:anchor="cit22" w:history="1">
        <w:r w:rsidRPr="4D4307D7">
          <w:rPr>
            <w:rStyle w:val="Hyperlink"/>
          </w:rPr>
          <w:t>22</w:t>
        </w:r>
      </w:hyperlink>
      <w:r w:rsidRPr="4D4307D7">
        <w:t> and therefore does not evolve any further at a later time (&gt;100 ps) of our TA time window. However, the additional rising component that fit with a time constant of 101.4 ps was observed and must be due to ET from the IMS state to MB</w:t>
      </w:r>
      <w:r w:rsidRPr="00B93F37">
        <w:rPr>
          <w:vertAlign w:val="superscript"/>
        </w:rPr>
        <w:t>+</w:t>
      </w:r>
      <w:r w:rsidRPr="4D4307D7">
        <w:t>, as the evolution of ZIF-67 features after the 31.7 ps component does not occur in the absence of MB</w:t>
      </w:r>
      <w:r w:rsidRPr="00B93F37">
        <w:rPr>
          <w:vertAlign w:val="superscript"/>
        </w:rPr>
        <w:t>+</w:t>
      </w:r>
      <w:r w:rsidRPr="4D4307D7">
        <w:t>. The two ET components are then associated with two recombination components of 1.33 ps and ≫5 ns, respectively.</w:t>
      </w:r>
    </w:p>
    <w:p w14:paraId="663337DF" w14:textId="26002DD9" w:rsidR="4D4307D7" w:rsidRDefault="4D4307D7" w:rsidP="4D4307D7">
      <w:pPr>
        <w:pStyle w:val="NormalWeb"/>
        <w:shd w:val="clear" w:color="auto" w:fill="FFFFFF" w:themeFill="background1"/>
        <w:spacing w:before="0" w:beforeAutospacing="0" w:after="0" w:afterAutospacing="0" w:line="276" w:lineRule="auto"/>
        <w:ind w:firstLine="240"/>
        <w:rPr>
          <w:rFonts w:asciiTheme="minorHAnsi" w:eastAsiaTheme="minorEastAsia" w:hAnsiTheme="minorHAnsi" w:cstheme="minorBidi"/>
          <w:sz w:val="22"/>
          <w:szCs w:val="22"/>
        </w:rPr>
      </w:pPr>
    </w:p>
    <w:p w14:paraId="65F0DA3D" w14:textId="77777777" w:rsidR="002C2A18" w:rsidRDefault="002C2A18" w:rsidP="4D4307D7">
      <w:pPr>
        <w:spacing w:after="0"/>
      </w:pPr>
      <w:r w:rsidRPr="4D4307D7">
        <w:t>While pathway A is important because it demonstrates the ability to extract an electron from ZIF-67 and provides a lower (positive) limit of −0.23 V vs. SCE for the position of the </w:t>
      </w:r>
      <w:r w:rsidRPr="00C5304D">
        <w:rPr>
          <w:vertAlign w:val="superscript"/>
        </w:rPr>
        <w:t>4</w:t>
      </w:r>
      <w:r w:rsidRPr="4D4307D7">
        <w:t>T</w:t>
      </w:r>
      <w:r w:rsidRPr="00C5304D">
        <w:rPr>
          <w:vertAlign w:val="subscript"/>
        </w:rPr>
        <w:t>1</w:t>
      </w:r>
      <w:r w:rsidRPr="4D4307D7">
        <w:t>(F) state electrochemical potential, the existence of pathway B is particularly interesting because it demonstrates the possibility to extract electrons from a super long-lived charge separated state intrinsic to ZIF-67. This characteristic is paramount to the successful application of photocatalytic materials, provided the electrochemical potential of the material is negative enough, on an electrochemical scale, to perform useful photocatalytic reactions. The following discussion will focus on recent examples in the literature that corroborate our findings here and demonstrate the applicability of ZIF materials to photocatalytic materials.</w:t>
      </w:r>
    </w:p>
    <w:p w14:paraId="11ACECA5" w14:textId="77777777" w:rsidR="00CA6D4A" w:rsidRDefault="00CA6D4A" w:rsidP="4D4307D7">
      <w:pPr>
        <w:spacing w:after="0"/>
      </w:pPr>
    </w:p>
    <w:p w14:paraId="63F1474D" w14:textId="794CC84B" w:rsidR="002C2A18" w:rsidRDefault="002C2A18" w:rsidP="4D4307D7">
      <w:pPr>
        <w:spacing w:after="0"/>
      </w:pPr>
      <w:r w:rsidRPr="4D4307D7">
        <w:t>A computational study based on periodic structure calculations indicated that Zn-based ZIF analogues with various linkers and mixed linkers all have LUCO (lowest unoccupied crystal orbital) levels negative enough to perform important photocatalytic reactions such as the proton reduction reaction and the reduction of CO</w:t>
      </w:r>
      <w:r w:rsidRPr="00135CEE">
        <w:rPr>
          <w:vertAlign w:val="subscript"/>
        </w:rPr>
        <w:t>2</w:t>
      </w:r>
      <w:r w:rsidRPr="4D4307D7">
        <w:t>(g) to methane or methanol.</w:t>
      </w:r>
      <w:hyperlink r:id="rId70" w:anchor="cit27" w:history="1">
        <w:r w:rsidRPr="4D4307D7">
          <w:rPr>
            <w:rStyle w:val="Hyperlink"/>
          </w:rPr>
          <w:t>27</w:t>
        </w:r>
      </w:hyperlink>
      <w:r w:rsidRPr="4D4307D7">
        <w:t> When Zn was replaced with Co, it was found that the Co 3d orbital was positioned significantly more negatively than the LUCO which could suggest that a charge-separated state with LMCT character in ZIF-67 would be capable of the redox activity observed in this study. A recent experimental work</w:t>
      </w:r>
      <w:hyperlink r:id="rId71" w:anchor="cit18" w:history="1">
        <w:r w:rsidRPr="4D4307D7">
          <w:rPr>
            <w:rStyle w:val="Hyperlink"/>
          </w:rPr>
          <w:t>18</w:t>
        </w:r>
      </w:hyperlink>
      <w:r w:rsidRPr="4D4307D7">
        <w:t> demonstrated that a Co-based ZIF analogue with benzimidazole linkers, ZIF-9, can reduce CO</w:t>
      </w:r>
      <w:r w:rsidRPr="00135CEE">
        <w:rPr>
          <w:vertAlign w:val="subscript"/>
        </w:rPr>
        <w:t>2</w:t>
      </w:r>
      <w:r w:rsidRPr="4D4307D7">
        <w:t>(g) to CO(g) in conjunction with a molecular photosensitizer that reduces ZIF-9 to its anion, ZIF-9−. If a corollary is made to a reduced Co center from intrinsic CS after photoexcitation, then it is feasible that photoexcited Co</w:t>
      </w:r>
      <w:r w:rsidRPr="006A60EF">
        <w:rPr>
          <w:vertAlign w:val="superscript"/>
        </w:rPr>
        <w:t>II</w:t>
      </w:r>
      <w:r w:rsidRPr="4D4307D7">
        <w:t>-ZIF would have a similar redox potential to ZIF-9−. In unpublished experiments, we have verified the ability of ZIF-67 to perform CO</w:t>
      </w:r>
      <w:r w:rsidRPr="00135CEE">
        <w:rPr>
          <w:vertAlign w:val="subscript"/>
        </w:rPr>
        <w:t>2</w:t>
      </w:r>
      <w:r w:rsidRPr="4D4307D7">
        <w:t> reduction to CO under the same conditions. On an electrochemical scale vs. SCE, CO</w:t>
      </w:r>
      <w:r w:rsidRPr="00135CEE">
        <w:rPr>
          <w:vertAlign w:val="subscript"/>
        </w:rPr>
        <w:t>2</w:t>
      </w:r>
      <w:r w:rsidRPr="4D4307D7">
        <w:t xml:space="preserve"> reduction </w:t>
      </w:r>
      <w:r w:rsidRPr="4D4307D7">
        <w:lastRenderedPageBreak/>
        <w:t>in aqueous media is reported to be −0.28 V, −0.158 V, and −0.005 V for the formation of the CO(g), CH</w:t>
      </w:r>
      <w:r w:rsidRPr="00115658">
        <w:rPr>
          <w:vertAlign w:val="subscript"/>
        </w:rPr>
        <w:t>3</w:t>
      </w:r>
      <w:r w:rsidRPr="4D4307D7">
        <w:t>OH(l) and CH</w:t>
      </w:r>
      <w:r w:rsidRPr="00115658">
        <w:rPr>
          <w:vertAlign w:val="subscript"/>
        </w:rPr>
        <w:t>4</w:t>
      </w:r>
      <w:r w:rsidRPr="4D4307D7">
        <w:t>(g) products, respectively.</w:t>
      </w:r>
      <w:hyperlink r:id="rId72" w:anchor="cit28" w:history="1">
        <w:r w:rsidRPr="4D4307D7">
          <w:rPr>
            <w:rStyle w:val="Hyperlink"/>
          </w:rPr>
          <w:t>28</w:t>
        </w:r>
      </w:hyperlink>
      <w:r w:rsidRPr="4D4307D7">
        <w:t> These values compare well to the reported redox potential of MB</w:t>
      </w:r>
      <w:r w:rsidRPr="00B93F37">
        <w:rPr>
          <w:vertAlign w:val="superscript"/>
        </w:rPr>
        <w:t>+</w:t>
      </w:r>
      <w:r w:rsidRPr="4D4307D7">
        <w:t> of −0.23 V vs. SCE, indicating that computational and experimental studies support our finding that ZIF-67 can reduce MB</w:t>
      </w:r>
      <w:r w:rsidRPr="008F523C">
        <w:rPr>
          <w:vertAlign w:val="superscript"/>
        </w:rPr>
        <w:t>+</w:t>
      </w:r>
      <w:r w:rsidRPr="4D4307D7">
        <w:t> after photoexcitation on an energetic basis.</w:t>
      </w:r>
    </w:p>
    <w:p w14:paraId="3A493974" w14:textId="77777777" w:rsidR="002C2A18" w:rsidRDefault="002C2A18" w:rsidP="4D4307D7">
      <w:pPr>
        <w:pStyle w:val="Heading1"/>
        <w:spacing w:before="360" w:after="120" w:line="420" w:lineRule="atLeast"/>
        <w:rPr>
          <w:rFonts w:asciiTheme="minorHAnsi" w:eastAsiaTheme="minorEastAsia" w:hAnsiTheme="minorHAnsi" w:cstheme="minorBidi"/>
          <w:color w:val="191919"/>
          <w:sz w:val="22"/>
          <w:szCs w:val="22"/>
        </w:rPr>
      </w:pPr>
      <w:r w:rsidRPr="4D4307D7">
        <w:t>Conclusions</w:t>
      </w:r>
    </w:p>
    <w:p w14:paraId="262DE0DF" w14:textId="77777777" w:rsidR="002C2A18" w:rsidRDefault="002C2A18" w:rsidP="4D4307D7">
      <w:pPr>
        <w:spacing w:after="0"/>
      </w:pPr>
      <w:r w:rsidRPr="4D4307D7">
        <w:t>In conclusion, we report that ZIF-67 can reduce MB</w:t>
      </w:r>
      <w:r w:rsidRPr="008F523C">
        <w:rPr>
          <w:vertAlign w:val="superscript"/>
        </w:rPr>
        <w:t>+</w:t>
      </w:r>
      <w:r w:rsidRPr="4D4307D7">
        <w:t> after photoexcitation. The dynamics of the ET event were characterized using ultrafast transient absorption spectroscopy after selective excitation of the ZIF-67 d–d transition, which demonstrated the formation of MB</w:t>
      </w:r>
      <w:r w:rsidRPr="008F523C">
        <w:rPr>
          <w:vertAlign w:val="superscript"/>
        </w:rPr>
        <w:t>˙</w:t>
      </w:r>
      <w:r w:rsidRPr="4D4307D7">
        <w:t xml:space="preserve"> on both an ultrafast (&lt;200 fs) timescale and on a relatively longer (101.4 ps) timescale. The ultrafast time constant is likely the ET time from the tetrahedral units located on the surface of the film that are directly in contact with MB</w:t>
      </w:r>
      <w:r w:rsidRPr="008F523C">
        <w:rPr>
          <w:vertAlign w:val="superscript"/>
        </w:rPr>
        <w:t>+</w:t>
      </w:r>
      <w:r w:rsidRPr="4D4307D7">
        <w:t>, while the 101.4 ps time constant is likely attributed to the ET time from the units in the bulk of the film that were isolated from MB</w:t>
      </w:r>
      <w:r w:rsidRPr="008F523C">
        <w:rPr>
          <w:vertAlign w:val="superscript"/>
        </w:rPr>
        <w:t>+</w:t>
      </w:r>
      <w:r w:rsidRPr="4D4307D7">
        <w:t> by the surface units. These results were compared with recent literature reports that corroborated the finding that the excited state redox potential of ZIF-67 is likely negative from the redox potential of MB</w:t>
      </w:r>
      <w:r w:rsidRPr="008F523C">
        <w:rPr>
          <w:vertAlign w:val="superscript"/>
        </w:rPr>
        <w:t>+</w:t>
      </w:r>
      <w:r w:rsidRPr="4D4307D7">
        <w:t>, −0.23 V vs. SCE. Since we have found the study of ZIF-67 via electrochemical means to be inaccessible, it is exceedingly important to pinpoint the excited state redox potential of ZIF-67 via photophysical studies. This first direct evidence of Co</w:t>
      </w:r>
      <w:r w:rsidRPr="006A60EF">
        <w:rPr>
          <w:vertAlign w:val="superscript"/>
        </w:rPr>
        <w:t>II</w:t>
      </w:r>
      <w:r w:rsidRPr="4D4307D7">
        <w:t>-ZIF photoredox chemistry strongly imply that ZIFs have a large potential as intrinsic light harvesting and charge separation materials and deserve further attention to be developed as a viable and versatile photocatalyst material.</w:t>
      </w:r>
    </w:p>
    <w:p w14:paraId="49189AA9" w14:textId="77777777" w:rsidR="002C2A18" w:rsidRDefault="002C2A18" w:rsidP="4D4307D7">
      <w:pPr>
        <w:pStyle w:val="Heading1"/>
        <w:spacing w:before="360" w:after="120" w:line="420" w:lineRule="atLeast"/>
        <w:rPr>
          <w:rFonts w:asciiTheme="minorHAnsi" w:eastAsiaTheme="minorEastAsia" w:hAnsiTheme="minorHAnsi" w:cstheme="minorBidi"/>
          <w:color w:val="191919"/>
          <w:sz w:val="22"/>
          <w:szCs w:val="22"/>
        </w:rPr>
      </w:pPr>
      <w:r w:rsidRPr="4D4307D7">
        <w:t>Conflicts of interest</w:t>
      </w:r>
    </w:p>
    <w:p w14:paraId="4FF22274" w14:textId="77777777" w:rsidR="002C2A18" w:rsidRDefault="002C2A18" w:rsidP="4D4307D7">
      <w:pPr>
        <w:spacing w:after="0"/>
      </w:pPr>
      <w:r w:rsidRPr="4D4307D7">
        <w:t>There are no conflicts of interest to declare.</w:t>
      </w:r>
    </w:p>
    <w:p w14:paraId="1720ACE9" w14:textId="77777777" w:rsidR="002C2A18" w:rsidRDefault="002C2A18" w:rsidP="4D4307D7">
      <w:pPr>
        <w:pStyle w:val="Heading1"/>
        <w:spacing w:before="360" w:after="120" w:line="420" w:lineRule="atLeast"/>
        <w:rPr>
          <w:rFonts w:asciiTheme="minorHAnsi" w:eastAsiaTheme="minorEastAsia" w:hAnsiTheme="minorHAnsi" w:cstheme="minorBidi"/>
          <w:color w:val="191919"/>
          <w:sz w:val="22"/>
          <w:szCs w:val="22"/>
        </w:rPr>
      </w:pPr>
      <w:r w:rsidRPr="4D4307D7">
        <w:t>Acknowledgements</w:t>
      </w:r>
    </w:p>
    <w:p w14:paraId="5B962848" w14:textId="77777777" w:rsidR="002C2A18" w:rsidRDefault="002C2A18" w:rsidP="4D4307D7">
      <w:pPr>
        <w:spacing w:after="0"/>
      </w:pPr>
      <w:r w:rsidRPr="4D4307D7">
        <w:t>This work was supported by the National Science Foundation (DMR-1654140) and ACS-PRF (57503-DNI6).</w:t>
      </w:r>
    </w:p>
    <w:p w14:paraId="2A94307E" w14:textId="77777777" w:rsidR="002C2A18" w:rsidRDefault="002C2A18" w:rsidP="4D4307D7">
      <w:pPr>
        <w:pStyle w:val="Heading1"/>
        <w:spacing w:before="360" w:after="120" w:line="420" w:lineRule="atLeast"/>
        <w:rPr>
          <w:rFonts w:asciiTheme="minorHAnsi" w:eastAsiaTheme="minorEastAsia" w:hAnsiTheme="minorHAnsi" w:cstheme="minorBidi"/>
          <w:color w:val="191919"/>
          <w:sz w:val="22"/>
          <w:szCs w:val="22"/>
        </w:rPr>
      </w:pPr>
      <w:r w:rsidRPr="4D4307D7">
        <w:t>References</w:t>
      </w:r>
    </w:p>
    <w:p w14:paraId="12151F8D" w14:textId="09068485"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A. Phan , C. J. Doonan , F. J. Uribe-Romo , C. B. Knobler , M. O’Keeffe and O. M. Yaghi , </w:t>
      </w:r>
      <w:r w:rsidRPr="7152785D">
        <w:rPr>
          <w:rStyle w:val="Emphasis"/>
          <w:spacing w:val="-5"/>
        </w:rPr>
        <w:t>Acc. Chem. Res.</w:t>
      </w:r>
      <w:r w:rsidRPr="7152785D">
        <w:rPr>
          <w:spacing w:val="-5"/>
        </w:rPr>
        <w:t>, 2010, </w:t>
      </w:r>
      <w:r w:rsidRPr="7152785D">
        <w:rPr>
          <w:rStyle w:val="Strong"/>
          <w:spacing w:val="-5"/>
        </w:rPr>
        <w:t>43</w:t>
      </w:r>
      <w:r w:rsidRPr="7152785D">
        <w:rPr>
          <w:spacing w:val="-5"/>
        </w:rPr>
        <w:t> , 58 -67 </w:t>
      </w:r>
    </w:p>
    <w:p w14:paraId="4F682C87" w14:textId="6B8B027F"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B. R. Pimentel , A. Parulkar , E. K. Zhou , N. A. Brunelli and R. P. Lively , </w:t>
      </w:r>
      <w:r w:rsidRPr="7152785D">
        <w:rPr>
          <w:rStyle w:val="Emphasis"/>
          <w:spacing w:val="-5"/>
        </w:rPr>
        <w:t>ChemSusChem</w:t>
      </w:r>
      <w:r w:rsidRPr="7152785D">
        <w:rPr>
          <w:spacing w:val="-5"/>
        </w:rPr>
        <w:t>, 2014, </w:t>
      </w:r>
      <w:r w:rsidRPr="7152785D">
        <w:rPr>
          <w:rStyle w:val="Strong"/>
          <w:spacing w:val="-5"/>
        </w:rPr>
        <w:t>7</w:t>
      </w:r>
      <w:r w:rsidRPr="7152785D">
        <w:rPr>
          <w:spacing w:val="-5"/>
        </w:rPr>
        <w:t> , 3202 -3240 </w:t>
      </w:r>
    </w:p>
    <w:p w14:paraId="6A811BBF" w14:textId="38B4B0D5"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B. L. Chen , Z. X. Yang , Y. Q. Zhu and Y. D. Xia , </w:t>
      </w:r>
      <w:r w:rsidRPr="7152785D">
        <w:rPr>
          <w:rStyle w:val="Emphasis"/>
          <w:spacing w:val="-5"/>
        </w:rPr>
        <w:t>J. Mater. Chem. A</w:t>
      </w:r>
      <w:r w:rsidRPr="7152785D">
        <w:rPr>
          <w:spacing w:val="-5"/>
        </w:rPr>
        <w:t>, 2014, </w:t>
      </w:r>
      <w:r w:rsidRPr="7152785D">
        <w:rPr>
          <w:rStyle w:val="Strong"/>
          <w:spacing w:val="-5"/>
        </w:rPr>
        <w:t>2</w:t>
      </w:r>
      <w:r w:rsidRPr="7152785D">
        <w:rPr>
          <w:spacing w:val="-5"/>
        </w:rPr>
        <w:t> , 16811 -16831  .</w:t>
      </w:r>
    </w:p>
    <w:p w14:paraId="76124D05" w14:textId="3B16FE9A"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K. S. Park , Z. Ni , A. P. Côté , J. Y. Choi , R. Huang , F. J. Uribe-Romo , H. K. Chae , M. O’Keeffe and O. M. Yaghi , </w:t>
      </w:r>
      <w:r w:rsidRPr="7152785D">
        <w:rPr>
          <w:rStyle w:val="Emphasis"/>
          <w:spacing w:val="-5"/>
        </w:rPr>
        <w:t>Proc. Natl. Acad. Sci. U. S. A.</w:t>
      </w:r>
      <w:r w:rsidRPr="7152785D">
        <w:rPr>
          <w:spacing w:val="-5"/>
        </w:rPr>
        <w:t>, 2006, </w:t>
      </w:r>
      <w:r w:rsidRPr="7152785D">
        <w:rPr>
          <w:rStyle w:val="Strong"/>
          <w:spacing w:val="-5"/>
        </w:rPr>
        <w:t>103</w:t>
      </w:r>
      <w:r w:rsidRPr="7152785D">
        <w:rPr>
          <w:spacing w:val="-5"/>
        </w:rPr>
        <w:t> , 10186 -10191 </w:t>
      </w:r>
    </w:p>
    <w:p w14:paraId="3721A277" w14:textId="769C8249"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R. Banerjee , A. Phan , B. Wang , C. Knobler , H. Furukawa , M. O'Keeffe and O. M. Yaghi , </w:t>
      </w:r>
      <w:r w:rsidRPr="7152785D">
        <w:rPr>
          <w:rStyle w:val="Emphasis"/>
          <w:spacing w:val="-5"/>
        </w:rPr>
        <w:t>Science</w:t>
      </w:r>
      <w:r w:rsidRPr="7152785D">
        <w:rPr>
          <w:spacing w:val="-5"/>
        </w:rPr>
        <w:t>, 2008, </w:t>
      </w:r>
      <w:r w:rsidRPr="7152785D">
        <w:rPr>
          <w:rStyle w:val="Strong"/>
          <w:spacing w:val="-5"/>
        </w:rPr>
        <w:t>319</w:t>
      </w:r>
      <w:r w:rsidRPr="7152785D">
        <w:rPr>
          <w:spacing w:val="-5"/>
        </w:rPr>
        <w:t> , 939 -943 </w:t>
      </w:r>
    </w:p>
    <w:p w14:paraId="20628D91" w14:textId="60E673E1"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J. C. Tan , T. D. Bennett and A. K. Cheetham , </w:t>
      </w:r>
      <w:r w:rsidRPr="7152785D">
        <w:rPr>
          <w:rStyle w:val="Emphasis"/>
          <w:spacing w:val="-5"/>
        </w:rPr>
        <w:t>Proc. Natl. Acad. Sci. U. S. A.</w:t>
      </w:r>
      <w:r w:rsidRPr="7152785D">
        <w:rPr>
          <w:spacing w:val="-5"/>
        </w:rPr>
        <w:t>, 2010, </w:t>
      </w:r>
      <w:r w:rsidRPr="7152785D">
        <w:rPr>
          <w:rStyle w:val="Strong"/>
          <w:spacing w:val="-5"/>
        </w:rPr>
        <w:t>107</w:t>
      </w:r>
      <w:r w:rsidRPr="7152785D">
        <w:rPr>
          <w:spacing w:val="-5"/>
        </w:rPr>
        <w:t> , 9938 -9943 </w:t>
      </w:r>
    </w:p>
    <w:p w14:paraId="7FDDC173" w14:textId="792C61AD"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K. Eum , K. C. Jayachandrababu , F. Rashidi , K. Zhang , J. Leisen , S. Graham , R. P. Lively , R. R. Chance , D. S. Sholl , C. W. Jones and S. Nair , </w:t>
      </w:r>
      <w:r w:rsidRPr="7152785D">
        <w:rPr>
          <w:rStyle w:val="Emphasis"/>
          <w:spacing w:val="-5"/>
        </w:rPr>
        <w:t>J. Am. Chem. Soc.</w:t>
      </w:r>
      <w:r w:rsidRPr="7152785D">
        <w:rPr>
          <w:spacing w:val="-5"/>
        </w:rPr>
        <w:t>, 2015, </w:t>
      </w:r>
      <w:r w:rsidRPr="7152785D">
        <w:rPr>
          <w:rStyle w:val="Strong"/>
          <w:spacing w:val="-5"/>
        </w:rPr>
        <w:t>137</w:t>
      </w:r>
      <w:r w:rsidRPr="7152785D">
        <w:rPr>
          <w:spacing w:val="-5"/>
        </w:rPr>
        <w:t> , 4191 -4197 </w:t>
      </w:r>
    </w:p>
    <w:p w14:paraId="79534771" w14:textId="64BF91BD"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Y. Yang , W. Rodríguez-Córdoba and T. Lian , </w:t>
      </w:r>
      <w:r w:rsidRPr="7152785D">
        <w:rPr>
          <w:rStyle w:val="Emphasis"/>
          <w:spacing w:val="-5"/>
        </w:rPr>
        <w:t>J. Am. Chem. Soc.</w:t>
      </w:r>
      <w:r w:rsidRPr="7152785D">
        <w:rPr>
          <w:spacing w:val="-5"/>
        </w:rPr>
        <w:t>, 2011, </w:t>
      </w:r>
      <w:r w:rsidRPr="7152785D">
        <w:rPr>
          <w:rStyle w:val="Strong"/>
          <w:spacing w:val="-5"/>
        </w:rPr>
        <w:t>133</w:t>
      </w:r>
      <w:r w:rsidRPr="7152785D">
        <w:rPr>
          <w:spacing w:val="-5"/>
        </w:rPr>
        <w:t> , 9246 -9249  </w:t>
      </w:r>
    </w:p>
    <w:p w14:paraId="0AE8C532" w14:textId="0639C1FC"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R. Li , X. Ren , X. Feng , X. Li , C. Hu and B. Wang , </w:t>
      </w:r>
      <w:r w:rsidRPr="7152785D">
        <w:rPr>
          <w:rStyle w:val="Emphasis"/>
          <w:spacing w:val="-5"/>
        </w:rPr>
        <w:t>Chem. Commun.</w:t>
      </w:r>
      <w:r w:rsidRPr="7152785D">
        <w:rPr>
          <w:spacing w:val="-5"/>
        </w:rPr>
        <w:t>, 2014, </w:t>
      </w:r>
      <w:r w:rsidRPr="7152785D">
        <w:rPr>
          <w:rStyle w:val="Strong"/>
          <w:spacing w:val="-5"/>
        </w:rPr>
        <w:t>50</w:t>
      </w:r>
      <w:r w:rsidRPr="7152785D">
        <w:rPr>
          <w:spacing w:val="-5"/>
        </w:rPr>
        <w:t> , 6894 -6897 </w:t>
      </w:r>
    </w:p>
    <w:p w14:paraId="1EE1CE7B" w14:textId="725378C6"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A. Schejn , A. Aboulaich , L. Balan , V. Falk , J. Lalevee , G. Medjahdi , L. Aranda , K. Mozet and R. Schneider , </w:t>
      </w:r>
      <w:r w:rsidRPr="7152785D">
        <w:rPr>
          <w:rStyle w:val="Emphasis"/>
          <w:spacing w:val="-5"/>
        </w:rPr>
        <w:t>Catal. Sci. Technol.</w:t>
      </w:r>
      <w:r w:rsidRPr="7152785D">
        <w:rPr>
          <w:spacing w:val="-5"/>
        </w:rPr>
        <w:t>, 2015, </w:t>
      </w:r>
      <w:r w:rsidRPr="7152785D">
        <w:rPr>
          <w:rStyle w:val="Strong"/>
          <w:spacing w:val="-5"/>
        </w:rPr>
        <w:t>5</w:t>
      </w:r>
      <w:r w:rsidRPr="7152785D">
        <w:rPr>
          <w:spacing w:val="-5"/>
        </w:rPr>
        <w:t> , 1829 -1839</w:t>
      </w:r>
    </w:p>
    <w:p w14:paraId="57BB0AD1" w14:textId="1907EE05"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lastRenderedPageBreak/>
        <w:t>J. A. Thompson , C. R. Blad , N. A. Brunelli , M. E. Lydon , R. P. Lively , C. W. Jones and S. Nair , </w:t>
      </w:r>
      <w:r w:rsidRPr="7152785D">
        <w:rPr>
          <w:rStyle w:val="Emphasis"/>
          <w:spacing w:val="-5"/>
        </w:rPr>
        <w:t>Chem. Mater.</w:t>
      </w:r>
      <w:r w:rsidRPr="7152785D">
        <w:rPr>
          <w:spacing w:val="-5"/>
        </w:rPr>
        <w:t>, 2012, </w:t>
      </w:r>
      <w:r w:rsidRPr="7152785D">
        <w:rPr>
          <w:rStyle w:val="Strong"/>
          <w:spacing w:val="-5"/>
        </w:rPr>
        <w:t>24</w:t>
      </w:r>
      <w:r w:rsidRPr="7152785D">
        <w:rPr>
          <w:spacing w:val="-5"/>
        </w:rPr>
        <w:t> , 1930 -1936 </w:t>
      </w:r>
    </w:p>
    <w:p w14:paraId="3D9ACE5D" w14:textId="2FB904DB"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K. C. Jayachandrababu , D. S. Sholl and S. Nair , </w:t>
      </w:r>
      <w:r w:rsidRPr="7152785D">
        <w:rPr>
          <w:rStyle w:val="Emphasis"/>
          <w:spacing w:val="-5"/>
        </w:rPr>
        <w:t>J. Am. Chem. Soc.</w:t>
      </w:r>
      <w:r w:rsidRPr="7152785D">
        <w:rPr>
          <w:spacing w:val="-5"/>
        </w:rPr>
        <w:t>, 2017, </w:t>
      </w:r>
      <w:r w:rsidRPr="7152785D">
        <w:rPr>
          <w:rStyle w:val="Strong"/>
          <w:spacing w:val="-5"/>
        </w:rPr>
        <w:t>139</w:t>
      </w:r>
      <w:r w:rsidRPr="7152785D">
        <w:rPr>
          <w:spacing w:val="-5"/>
        </w:rPr>
        <w:t> , 5906 -5915  </w:t>
      </w:r>
    </w:p>
    <w:p w14:paraId="76EBA8D6" w14:textId="5826B158"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L. T. L. Nguyen , K. K. A. Le and N. T. S. Phan , </w:t>
      </w:r>
      <w:r w:rsidRPr="7152785D">
        <w:rPr>
          <w:rStyle w:val="Emphasis"/>
          <w:spacing w:val="-5"/>
        </w:rPr>
        <w:t>Chin. J. Catal.</w:t>
      </w:r>
      <w:r w:rsidRPr="7152785D">
        <w:rPr>
          <w:spacing w:val="-5"/>
        </w:rPr>
        <w:t>, 2012, </w:t>
      </w:r>
      <w:r w:rsidRPr="7152785D">
        <w:rPr>
          <w:rStyle w:val="Strong"/>
          <w:spacing w:val="-5"/>
        </w:rPr>
        <w:t>33</w:t>
      </w:r>
      <w:r w:rsidRPr="7152785D">
        <w:rPr>
          <w:spacing w:val="-5"/>
        </w:rPr>
        <w:t> , 688 -696 </w:t>
      </w:r>
    </w:p>
    <w:p w14:paraId="49B91EE4" w14:textId="6FE69FC4"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L. T. L. Nguyen , K. K. A. Le , H. X. Truong and N. T. S. Phan , </w:t>
      </w:r>
      <w:r w:rsidRPr="7152785D">
        <w:rPr>
          <w:rStyle w:val="Emphasis"/>
          <w:spacing w:val="-5"/>
        </w:rPr>
        <w:t>Catal. Sci. Technol.</w:t>
      </w:r>
      <w:r w:rsidRPr="7152785D">
        <w:rPr>
          <w:spacing w:val="-5"/>
        </w:rPr>
        <w:t>, 2012, </w:t>
      </w:r>
      <w:r w:rsidRPr="7152785D">
        <w:rPr>
          <w:rStyle w:val="Strong"/>
          <w:spacing w:val="-5"/>
        </w:rPr>
        <w:t>2</w:t>
      </w:r>
      <w:r w:rsidRPr="7152785D">
        <w:rPr>
          <w:spacing w:val="-5"/>
        </w:rPr>
        <w:t> , 521 -528 </w:t>
      </w:r>
    </w:p>
    <w:p w14:paraId="5DE2E220" w14:textId="7641A535"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L. Lin , T. Zhang , X. Zhang , H. Liu , K. L. Yeung and J. Qiu , </w:t>
      </w:r>
      <w:r w:rsidRPr="7152785D">
        <w:rPr>
          <w:rStyle w:val="Emphasis"/>
          <w:spacing w:val="-5"/>
        </w:rPr>
        <w:t>Ind. Eng. Chem. Res.</w:t>
      </w:r>
      <w:r w:rsidRPr="7152785D">
        <w:rPr>
          <w:spacing w:val="-5"/>
        </w:rPr>
        <w:t>, 2014, </w:t>
      </w:r>
      <w:r w:rsidRPr="7152785D">
        <w:rPr>
          <w:rStyle w:val="Strong"/>
          <w:spacing w:val="-5"/>
        </w:rPr>
        <w:t>53</w:t>
      </w:r>
      <w:r w:rsidRPr="7152785D">
        <w:rPr>
          <w:spacing w:val="-5"/>
        </w:rPr>
        <w:t> , 10906 -10913 </w:t>
      </w:r>
    </w:p>
    <w:p w14:paraId="6409C289" w14:textId="6B7F75F1"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H.-P. Jing , C.-C. Wang , Y.-W. Zhang , P. Wang and R. Li , </w:t>
      </w:r>
      <w:r w:rsidRPr="7152785D">
        <w:rPr>
          <w:rStyle w:val="Emphasis"/>
          <w:spacing w:val="-5"/>
        </w:rPr>
        <w:t>RSC Adv.</w:t>
      </w:r>
      <w:r w:rsidRPr="7152785D">
        <w:rPr>
          <w:spacing w:val="-5"/>
        </w:rPr>
        <w:t>, 2014, </w:t>
      </w:r>
      <w:r w:rsidRPr="7152785D">
        <w:rPr>
          <w:rStyle w:val="Strong"/>
          <w:spacing w:val="-5"/>
        </w:rPr>
        <w:t>4</w:t>
      </w:r>
      <w:r w:rsidRPr="7152785D">
        <w:rPr>
          <w:spacing w:val="-5"/>
        </w:rPr>
        <w:t> , 54454 -54462 </w:t>
      </w:r>
    </w:p>
    <w:p w14:paraId="6578E499" w14:textId="2BC5F6C1"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T. T. Isimjan , H. Kazemian , S. Rohani and A. K. Ray , </w:t>
      </w:r>
      <w:r w:rsidRPr="7152785D">
        <w:rPr>
          <w:rStyle w:val="Emphasis"/>
          <w:spacing w:val="-5"/>
        </w:rPr>
        <w:t>J. Mater. Chem.</w:t>
      </w:r>
      <w:r w:rsidRPr="7152785D">
        <w:rPr>
          <w:spacing w:val="-5"/>
        </w:rPr>
        <w:t>, 2010, </w:t>
      </w:r>
      <w:r w:rsidRPr="7152785D">
        <w:rPr>
          <w:rStyle w:val="Strong"/>
          <w:spacing w:val="-5"/>
        </w:rPr>
        <w:t>20</w:t>
      </w:r>
      <w:r w:rsidRPr="7152785D">
        <w:rPr>
          <w:spacing w:val="-5"/>
        </w:rPr>
        <w:t> , 10241 -10245</w:t>
      </w:r>
    </w:p>
    <w:p w14:paraId="69E6B1D3" w14:textId="758298FB"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S. Wang , W. Yao , J. Lin , Z. Ding and X. Wang , </w:t>
      </w:r>
      <w:r w:rsidRPr="7152785D">
        <w:rPr>
          <w:rStyle w:val="Emphasis"/>
          <w:spacing w:val="-5"/>
        </w:rPr>
        <w:t>Angew. Chem., Int. Ed.</w:t>
      </w:r>
      <w:r w:rsidRPr="7152785D">
        <w:rPr>
          <w:spacing w:val="-5"/>
        </w:rPr>
        <w:t>, 2014, </w:t>
      </w:r>
      <w:r w:rsidRPr="7152785D">
        <w:rPr>
          <w:rStyle w:val="Strong"/>
          <w:spacing w:val="-5"/>
        </w:rPr>
        <w:t>53</w:t>
      </w:r>
      <w:r w:rsidRPr="7152785D">
        <w:rPr>
          <w:spacing w:val="-5"/>
        </w:rPr>
        <w:t> , 1034 -1038 </w:t>
      </w:r>
    </w:p>
    <w:p w14:paraId="5240C93D" w14:textId="3D587148"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S. B. Wang and X. C. Wang , </w:t>
      </w:r>
      <w:r w:rsidRPr="7152785D">
        <w:rPr>
          <w:rStyle w:val="Emphasis"/>
          <w:spacing w:val="-5"/>
        </w:rPr>
        <w:t>Appl. Catal., B</w:t>
      </w:r>
      <w:r w:rsidRPr="7152785D">
        <w:rPr>
          <w:spacing w:val="-5"/>
        </w:rPr>
        <w:t>, 2015, </w:t>
      </w:r>
      <w:r w:rsidRPr="7152785D">
        <w:rPr>
          <w:rStyle w:val="Strong"/>
          <w:spacing w:val="-5"/>
        </w:rPr>
        <w:t>162</w:t>
      </w:r>
      <w:r w:rsidRPr="7152785D">
        <w:rPr>
          <w:spacing w:val="-5"/>
        </w:rPr>
        <w:t> , 494 -500 </w:t>
      </w:r>
    </w:p>
    <w:p w14:paraId="1A74FDFB" w14:textId="68437489"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S. Yang , B. Pattengale , E. L. Kovrigin and J. Huang , </w:t>
      </w:r>
      <w:r w:rsidRPr="7152785D">
        <w:rPr>
          <w:rStyle w:val="Emphasis"/>
          <w:spacing w:val="-5"/>
        </w:rPr>
        <w:t>ACS Energy Lett.</w:t>
      </w:r>
      <w:r w:rsidRPr="7152785D">
        <w:rPr>
          <w:spacing w:val="-5"/>
        </w:rPr>
        <w:t>, 2017, </w:t>
      </w:r>
      <w:r w:rsidRPr="7152785D">
        <w:rPr>
          <w:rStyle w:val="Strong"/>
          <w:spacing w:val="-5"/>
        </w:rPr>
        <w:t>2</w:t>
      </w:r>
      <w:r w:rsidRPr="7152785D">
        <w:rPr>
          <w:spacing w:val="-5"/>
        </w:rPr>
        <w:t> , 75 -80 </w:t>
      </w:r>
    </w:p>
    <w:p w14:paraId="15405157" w14:textId="660AA9B5"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B. Pattengale , S. Yang , S. Lee and J. Huang , </w:t>
      </w:r>
      <w:r w:rsidRPr="7152785D">
        <w:rPr>
          <w:rStyle w:val="Emphasis"/>
          <w:spacing w:val="-5"/>
        </w:rPr>
        <w:t>ACS Catal.</w:t>
      </w:r>
      <w:r w:rsidRPr="7152785D">
        <w:rPr>
          <w:spacing w:val="-5"/>
        </w:rPr>
        <w:t>, 2017, </w:t>
      </w:r>
      <w:r w:rsidRPr="7152785D">
        <w:rPr>
          <w:rStyle w:val="Strong"/>
          <w:spacing w:val="-5"/>
        </w:rPr>
        <w:t>7</w:t>
      </w:r>
      <w:r w:rsidRPr="7152785D">
        <w:rPr>
          <w:spacing w:val="-5"/>
        </w:rPr>
        <w:t> , 8446 -8453 </w:t>
      </w:r>
    </w:p>
    <w:p w14:paraId="5F7D3133" w14:textId="0F206FA2"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B. Pattengale , S. Yang , J. Ludwig , Z. Huang , X. Zhang and J. Huang , </w:t>
      </w:r>
      <w:r w:rsidRPr="7152785D">
        <w:rPr>
          <w:rStyle w:val="Emphasis"/>
          <w:spacing w:val="-5"/>
        </w:rPr>
        <w:t>J. Am. Chem. Soc.</w:t>
      </w:r>
      <w:r w:rsidRPr="7152785D">
        <w:rPr>
          <w:spacing w:val="-5"/>
        </w:rPr>
        <w:t>, 2016, </w:t>
      </w:r>
      <w:r w:rsidRPr="7152785D">
        <w:rPr>
          <w:rStyle w:val="Strong"/>
          <w:spacing w:val="-5"/>
        </w:rPr>
        <w:t>138</w:t>
      </w:r>
      <w:r w:rsidRPr="7152785D">
        <w:rPr>
          <w:spacing w:val="-5"/>
        </w:rPr>
        <w:t> , 8072 -8075 </w:t>
      </w:r>
    </w:p>
    <w:p w14:paraId="71F863F9" w14:textId="2135CCD5"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W. Xia , J. Zhu , W. Guo , L. An , D. Xia and R. Zou , </w:t>
      </w:r>
      <w:r w:rsidRPr="7152785D">
        <w:rPr>
          <w:rStyle w:val="Emphasis"/>
          <w:spacing w:val="-5"/>
        </w:rPr>
        <w:t>J. Mater. Chem. A</w:t>
      </w:r>
      <w:r w:rsidRPr="7152785D">
        <w:rPr>
          <w:spacing w:val="-5"/>
        </w:rPr>
        <w:t>, 2014, </w:t>
      </w:r>
      <w:r w:rsidRPr="7152785D">
        <w:rPr>
          <w:rStyle w:val="Strong"/>
          <w:spacing w:val="-5"/>
        </w:rPr>
        <w:t>2</w:t>
      </w:r>
      <w:r w:rsidRPr="7152785D">
        <w:rPr>
          <w:spacing w:val="-5"/>
        </w:rPr>
        <w:t> , 11606 -11613 D. Heger , J. Jirkovsk and P. Kln , </w:t>
      </w:r>
      <w:r w:rsidRPr="7152785D">
        <w:rPr>
          <w:rStyle w:val="Emphasis"/>
          <w:spacing w:val="-5"/>
        </w:rPr>
        <w:t>J. Phys. Chem. A</w:t>
      </w:r>
      <w:r w:rsidRPr="7152785D">
        <w:rPr>
          <w:spacing w:val="-5"/>
        </w:rPr>
        <w:t>, 2005, </w:t>
      </w:r>
      <w:r w:rsidRPr="7152785D">
        <w:rPr>
          <w:rStyle w:val="Strong"/>
          <w:spacing w:val="-5"/>
        </w:rPr>
        <w:t>109</w:t>
      </w:r>
      <w:r w:rsidRPr="7152785D">
        <w:rPr>
          <w:spacing w:val="-5"/>
        </w:rPr>
        <w:t> , 6702 -6709 </w:t>
      </w:r>
    </w:p>
    <w:p w14:paraId="61203945" w14:textId="53C1C16D"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J. Qian , F. Sun and L. Qin , </w:t>
      </w:r>
      <w:r w:rsidRPr="7152785D">
        <w:rPr>
          <w:rStyle w:val="Emphasis"/>
          <w:spacing w:val="-5"/>
        </w:rPr>
        <w:t>Mater. Lett.</w:t>
      </w:r>
      <w:r w:rsidRPr="7152785D">
        <w:rPr>
          <w:spacing w:val="-5"/>
        </w:rPr>
        <w:t>, 2012, </w:t>
      </w:r>
      <w:r w:rsidRPr="7152785D">
        <w:rPr>
          <w:rStyle w:val="Strong"/>
          <w:spacing w:val="-5"/>
        </w:rPr>
        <w:t>82</w:t>
      </w:r>
      <w:r w:rsidRPr="7152785D">
        <w:rPr>
          <w:spacing w:val="-5"/>
        </w:rPr>
        <w:t> , 220 -223 </w:t>
      </w:r>
    </w:p>
    <w:p w14:paraId="2C4208F9" w14:textId="5619768D"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T. Takizawa , T. Watanabe and K. Honda , </w:t>
      </w:r>
      <w:r w:rsidRPr="7152785D">
        <w:rPr>
          <w:rStyle w:val="Emphasis"/>
          <w:spacing w:val="-5"/>
        </w:rPr>
        <w:t>J. Phys. Chem.</w:t>
      </w:r>
      <w:r w:rsidRPr="7152785D">
        <w:rPr>
          <w:spacing w:val="-5"/>
        </w:rPr>
        <w:t>, 1978, </w:t>
      </w:r>
      <w:r w:rsidRPr="7152785D">
        <w:rPr>
          <w:rStyle w:val="Strong"/>
          <w:spacing w:val="-5"/>
        </w:rPr>
        <w:t>82</w:t>
      </w:r>
      <w:r w:rsidRPr="7152785D">
        <w:rPr>
          <w:spacing w:val="-5"/>
        </w:rPr>
        <w:t> , 1391 -1396 </w:t>
      </w:r>
    </w:p>
    <w:p w14:paraId="7C5F0A6D" w14:textId="13024311"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R. Grau-Crespo , A. Aziz , A. W. Collins , R. Crespo-Otero , N. C. Hernández , L. M. Rodriguez-Albelo , A. R. Ruiz-Salvador , S. Calero and S. Hamad , </w:t>
      </w:r>
      <w:r w:rsidRPr="7152785D">
        <w:rPr>
          <w:rStyle w:val="Emphasis"/>
          <w:spacing w:val="-5"/>
        </w:rPr>
        <w:t>Angew. Chem., Int. Ed.</w:t>
      </w:r>
      <w:r w:rsidRPr="7152785D">
        <w:rPr>
          <w:spacing w:val="-5"/>
        </w:rPr>
        <w:t>, 2016, </w:t>
      </w:r>
      <w:r w:rsidRPr="7152785D">
        <w:rPr>
          <w:rStyle w:val="Strong"/>
          <w:spacing w:val="-5"/>
        </w:rPr>
        <w:t>55</w:t>
      </w:r>
      <w:r w:rsidRPr="7152785D">
        <w:rPr>
          <w:spacing w:val="-5"/>
        </w:rPr>
        <w:t> , 16012 -16016 </w:t>
      </w:r>
    </w:p>
    <w:p w14:paraId="651FECDC" w14:textId="4A86728A" w:rsidR="002C2A18" w:rsidRDefault="002C2A18" w:rsidP="4D4307D7">
      <w:pPr>
        <w:numPr>
          <w:ilvl w:val="0"/>
          <w:numId w:val="2"/>
        </w:numPr>
        <w:shd w:val="clear" w:color="auto" w:fill="FFFFFF" w:themeFill="background1"/>
        <w:spacing w:after="0" w:line="276" w:lineRule="auto"/>
        <w:ind w:left="360"/>
        <w:rPr>
          <w:rFonts w:ascii="Arial" w:hAnsi="Arial" w:cs="Arial"/>
        </w:rPr>
      </w:pPr>
      <w:r w:rsidRPr="7152785D">
        <w:rPr>
          <w:spacing w:val="-5"/>
        </w:rPr>
        <w:t>J. L. White , M. F. Baruch , J. E. Pander , Y. Hu , I. C. Fortmeyer , J. E. Park , T. Zhang , K. Liao , J. Gu , Y. Yan , T. W. Shaw , E. Abelev and A. B. Bocarsly , </w:t>
      </w:r>
      <w:r w:rsidRPr="7152785D">
        <w:rPr>
          <w:rStyle w:val="Emphasis"/>
          <w:spacing w:val="-5"/>
        </w:rPr>
        <w:t>Chem. Rev.</w:t>
      </w:r>
      <w:r w:rsidRPr="7152785D">
        <w:rPr>
          <w:spacing w:val="-5"/>
        </w:rPr>
        <w:t>, 2015, </w:t>
      </w:r>
      <w:r w:rsidRPr="7152785D">
        <w:rPr>
          <w:rStyle w:val="Strong"/>
          <w:spacing w:val="-5"/>
        </w:rPr>
        <w:t>115</w:t>
      </w:r>
      <w:r w:rsidRPr="7152785D">
        <w:rPr>
          <w:spacing w:val="-5"/>
        </w:rPr>
        <w:t> , 12888 -12935 </w:t>
      </w:r>
    </w:p>
    <w:p w14:paraId="14CE981B" w14:textId="77777777" w:rsidR="002C2A18" w:rsidRDefault="002C2A18" w:rsidP="001727B3">
      <w:pPr>
        <w:pStyle w:val="Heading1"/>
      </w:pPr>
      <w:r w:rsidRPr="7152785D">
        <w:t>Footnotes</w:t>
      </w:r>
    </w:p>
    <w:p w14:paraId="54ADF1AA" w14:textId="77777777" w:rsidR="002C2A18" w:rsidRDefault="002C2A18" w:rsidP="4D4307D7">
      <w:pPr>
        <w:numPr>
          <w:ilvl w:val="0"/>
          <w:numId w:val="3"/>
        </w:numPr>
        <w:shd w:val="clear" w:color="auto" w:fill="FFFFFF" w:themeFill="background1"/>
        <w:spacing w:before="100" w:beforeAutospacing="1" w:after="100" w:afterAutospacing="1" w:line="276" w:lineRule="auto"/>
        <w:ind w:left="0"/>
        <w:rPr>
          <w:rFonts w:ascii="Arial" w:hAnsi="Arial" w:cs="Arial"/>
        </w:rPr>
      </w:pPr>
      <w:r w:rsidRPr="7152785D">
        <w:rPr>
          <w:rStyle w:val="Strong"/>
          <w:spacing w:val="-5"/>
        </w:rPr>
        <w:t>†</w:t>
      </w:r>
      <w:r w:rsidRPr="7152785D">
        <w:rPr>
          <w:spacing w:val="-5"/>
        </w:rPr>
        <w:t> Electronic supplementary information (ESI) available: UV-visible spectra of MB</w:t>
      </w:r>
      <w:r w:rsidRPr="7152785D">
        <w:rPr>
          <w:spacing w:val="-5"/>
          <w:vertAlign w:val="superscript"/>
        </w:rPr>
        <w:t>+</w:t>
      </w:r>
      <w:r w:rsidRPr="7152785D">
        <w:rPr>
          <w:spacing w:val="-5"/>
        </w:rPr>
        <w:t> in solution, MB</w:t>
      </w:r>
      <w:r w:rsidRPr="7152785D">
        <w:rPr>
          <w:spacing w:val="-5"/>
          <w:vertAlign w:val="superscript"/>
        </w:rPr>
        <w:t>+</w:t>
      </w:r>
      <w:r w:rsidRPr="7152785D">
        <w:rPr>
          <w:spacing w:val="-5"/>
        </w:rPr>
        <w:t>-quartz TA and kinetic fitting details. See DOI: </w:t>
      </w:r>
      <w:hyperlink r:id="rId73" w:tgtFrame="_blank" w:tooltip="Select to resolve DOI: RSCpubs.ePlatform.Web.Services.Transformer2.StyledText.Text" w:history="1">
        <w:r w:rsidRPr="7152785D">
          <w:rPr>
            <w:rStyle w:val="Hyperlink"/>
            <w:color w:val="007AAF"/>
            <w:spacing w:val="-5"/>
          </w:rPr>
          <w:t>10.1039/c8cp02078g</w:t>
        </w:r>
      </w:hyperlink>
    </w:p>
    <w:p w14:paraId="301CE6E4" w14:textId="77777777" w:rsidR="002C2A18" w:rsidRDefault="002C2A18" w:rsidP="4D4307D7">
      <w:pPr>
        <w:numPr>
          <w:ilvl w:val="0"/>
          <w:numId w:val="3"/>
        </w:numPr>
        <w:shd w:val="clear" w:color="auto" w:fill="FFFFFF" w:themeFill="background1"/>
        <w:spacing w:before="100" w:beforeAutospacing="1" w:after="100" w:afterAutospacing="1" w:line="276" w:lineRule="auto"/>
        <w:ind w:left="0"/>
        <w:rPr>
          <w:rFonts w:ascii="Arial" w:hAnsi="Arial" w:cs="Arial"/>
        </w:rPr>
      </w:pPr>
      <w:r w:rsidRPr="7152785D">
        <w:rPr>
          <w:rStyle w:val="Strong"/>
          <w:spacing w:val="-5"/>
        </w:rPr>
        <w:t>‡</w:t>
      </w:r>
      <w:r w:rsidRPr="7152785D">
        <w:rPr>
          <w:spacing w:val="-5"/>
        </w:rPr>
        <w:t> Eisch Research Fellow during the academic year 2017–2018.</w:t>
      </w:r>
    </w:p>
    <w:p w14:paraId="5C9FA21D" w14:textId="5C8640B3" w:rsidR="00617C12" w:rsidRPr="002C2A18" w:rsidRDefault="002C2A18" w:rsidP="4D4307D7">
      <w:pPr>
        <w:pStyle w:val="NormalWeb"/>
        <w:shd w:val="clear" w:color="auto" w:fill="FFFFFF" w:themeFill="background1"/>
        <w:spacing w:after="0" w:afterAutospacing="0" w:line="276" w:lineRule="auto"/>
        <w:rPr>
          <w:rFonts w:asciiTheme="minorHAnsi" w:eastAsiaTheme="minorEastAsia" w:hAnsiTheme="minorHAnsi" w:cstheme="minorBidi"/>
          <w:b/>
          <w:bCs/>
          <w:sz w:val="22"/>
          <w:szCs w:val="22"/>
        </w:rPr>
      </w:pPr>
      <w:r w:rsidRPr="7152785D">
        <w:rPr>
          <w:rFonts w:asciiTheme="minorHAnsi" w:eastAsiaTheme="minorEastAsia" w:hAnsiTheme="minorHAnsi" w:cstheme="minorBidi"/>
          <w:b/>
          <w:bCs/>
          <w:spacing w:val="-5"/>
          <w:sz w:val="22"/>
          <w:szCs w:val="22"/>
        </w:rPr>
        <w:t>This journal is © the Owner Societies 2018</w:t>
      </w:r>
    </w:p>
    <w:sectPr w:rsidR="00617C12" w:rsidRPr="002C2A18" w:rsidSect="009F14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F2C43"/>
    <w:multiLevelType w:val="multilevel"/>
    <w:tmpl w:val="8BBAD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833A7E"/>
    <w:multiLevelType w:val="multilevel"/>
    <w:tmpl w:val="82427C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49A"/>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5658"/>
    <w:rsid w:val="00117F89"/>
    <w:rsid w:val="00120313"/>
    <w:rsid w:val="001233A5"/>
    <w:rsid w:val="00123BC0"/>
    <w:rsid w:val="00123E80"/>
    <w:rsid w:val="00124CE0"/>
    <w:rsid w:val="00131A15"/>
    <w:rsid w:val="00131C28"/>
    <w:rsid w:val="00134CF7"/>
    <w:rsid w:val="00135CEE"/>
    <w:rsid w:val="0014182B"/>
    <w:rsid w:val="0014490B"/>
    <w:rsid w:val="00146A5C"/>
    <w:rsid w:val="00146E50"/>
    <w:rsid w:val="00150DB6"/>
    <w:rsid w:val="00154D34"/>
    <w:rsid w:val="00160E1F"/>
    <w:rsid w:val="00161372"/>
    <w:rsid w:val="001622DB"/>
    <w:rsid w:val="0016239B"/>
    <w:rsid w:val="00163F71"/>
    <w:rsid w:val="0016423B"/>
    <w:rsid w:val="001727B3"/>
    <w:rsid w:val="00173556"/>
    <w:rsid w:val="0018114F"/>
    <w:rsid w:val="00181ADF"/>
    <w:rsid w:val="001830B7"/>
    <w:rsid w:val="00183A38"/>
    <w:rsid w:val="001854EA"/>
    <w:rsid w:val="00185C26"/>
    <w:rsid w:val="00196C7C"/>
    <w:rsid w:val="001A1C71"/>
    <w:rsid w:val="001A1DF4"/>
    <w:rsid w:val="001A34C4"/>
    <w:rsid w:val="001B6E76"/>
    <w:rsid w:val="001C3936"/>
    <w:rsid w:val="001C3A3F"/>
    <w:rsid w:val="001D1087"/>
    <w:rsid w:val="001D1F5C"/>
    <w:rsid w:val="001D2448"/>
    <w:rsid w:val="001D3ADE"/>
    <w:rsid w:val="001D58D3"/>
    <w:rsid w:val="001D776C"/>
    <w:rsid w:val="001D7BCC"/>
    <w:rsid w:val="001E0368"/>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3C6B"/>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5B0"/>
    <w:rsid w:val="002A7FBB"/>
    <w:rsid w:val="002B1ED8"/>
    <w:rsid w:val="002B45EC"/>
    <w:rsid w:val="002B62C6"/>
    <w:rsid w:val="002C17A7"/>
    <w:rsid w:val="002C2A18"/>
    <w:rsid w:val="002C2DA5"/>
    <w:rsid w:val="002C4714"/>
    <w:rsid w:val="002C6160"/>
    <w:rsid w:val="002D02F2"/>
    <w:rsid w:val="002D28EA"/>
    <w:rsid w:val="002D51BB"/>
    <w:rsid w:val="002D5BAE"/>
    <w:rsid w:val="002D5DDC"/>
    <w:rsid w:val="002D6AA3"/>
    <w:rsid w:val="002E5C33"/>
    <w:rsid w:val="002E5D29"/>
    <w:rsid w:val="002F4F57"/>
    <w:rsid w:val="00300EE4"/>
    <w:rsid w:val="0030197F"/>
    <w:rsid w:val="0030223E"/>
    <w:rsid w:val="00303A1E"/>
    <w:rsid w:val="00303BBD"/>
    <w:rsid w:val="00313440"/>
    <w:rsid w:val="00314FCD"/>
    <w:rsid w:val="00323394"/>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2732"/>
    <w:rsid w:val="0038549B"/>
    <w:rsid w:val="0038628A"/>
    <w:rsid w:val="0038634F"/>
    <w:rsid w:val="00391C48"/>
    <w:rsid w:val="00394337"/>
    <w:rsid w:val="003945E1"/>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A4D76"/>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3F4A"/>
    <w:rsid w:val="005643C8"/>
    <w:rsid w:val="005673D1"/>
    <w:rsid w:val="00570F38"/>
    <w:rsid w:val="00573955"/>
    <w:rsid w:val="00580E33"/>
    <w:rsid w:val="00583225"/>
    <w:rsid w:val="0058724D"/>
    <w:rsid w:val="0059216B"/>
    <w:rsid w:val="005939F2"/>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1BA3"/>
    <w:rsid w:val="005E2628"/>
    <w:rsid w:val="005E5F66"/>
    <w:rsid w:val="005F46EC"/>
    <w:rsid w:val="005F49C9"/>
    <w:rsid w:val="005F71CE"/>
    <w:rsid w:val="005F7A68"/>
    <w:rsid w:val="00601980"/>
    <w:rsid w:val="0060332C"/>
    <w:rsid w:val="00604C5A"/>
    <w:rsid w:val="00607F1D"/>
    <w:rsid w:val="00612DE8"/>
    <w:rsid w:val="00615A83"/>
    <w:rsid w:val="00617156"/>
    <w:rsid w:val="00617C12"/>
    <w:rsid w:val="00620EA0"/>
    <w:rsid w:val="00623E47"/>
    <w:rsid w:val="00624CD2"/>
    <w:rsid w:val="0062795C"/>
    <w:rsid w:val="00631A06"/>
    <w:rsid w:val="00633D28"/>
    <w:rsid w:val="00633F1B"/>
    <w:rsid w:val="00634D07"/>
    <w:rsid w:val="00634DB1"/>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5C83"/>
    <w:rsid w:val="006871E0"/>
    <w:rsid w:val="00693B53"/>
    <w:rsid w:val="00697377"/>
    <w:rsid w:val="006A04AE"/>
    <w:rsid w:val="006A1F61"/>
    <w:rsid w:val="006A533C"/>
    <w:rsid w:val="006A5E52"/>
    <w:rsid w:val="006A60EF"/>
    <w:rsid w:val="006A712D"/>
    <w:rsid w:val="006A7B71"/>
    <w:rsid w:val="006B20FD"/>
    <w:rsid w:val="006B3B2B"/>
    <w:rsid w:val="006C024E"/>
    <w:rsid w:val="006C5F69"/>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4A17"/>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0B5E"/>
    <w:rsid w:val="007C16F7"/>
    <w:rsid w:val="007C4680"/>
    <w:rsid w:val="007D25DB"/>
    <w:rsid w:val="007D3877"/>
    <w:rsid w:val="007D51E8"/>
    <w:rsid w:val="007D655B"/>
    <w:rsid w:val="007D762B"/>
    <w:rsid w:val="007D7C64"/>
    <w:rsid w:val="007E2E07"/>
    <w:rsid w:val="007E40B1"/>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1A2E"/>
    <w:rsid w:val="008B2242"/>
    <w:rsid w:val="008B4AD1"/>
    <w:rsid w:val="008B506B"/>
    <w:rsid w:val="008B6D93"/>
    <w:rsid w:val="008B7AF1"/>
    <w:rsid w:val="008C3543"/>
    <w:rsid w:val="008D0F0D"/>
    <w:rsid w:val="008D0FF2"/>
    <w:rsid w:val="008D14D6"/>
    <w:rsid w:val="008D1D7F"/>
    <w:rsid w:val="008D3526"/>
    <w:rsid w:val="008F0401"/>
    <w:rsid w:val="008F04C1"/>
    <w:rsid w:val="008F2457"/>
    <w:rsid w:val="008F252A"/>
    <w:rsid w:val="008F523C"/>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1476"/>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8BA"/>
    <w:rsid w:val="00AA493D"/>
    <w:rsid w:val="00AB4807"/>
    <w:rsid w:val="00AB4813"/>
    <w:rsid w:val="00AC0052"/>
    <w:rsid w:val="00AC04D6"/>
    <w:rsid w:val="00AC6520"/>
    <w:rsid w:val="00AD0685"/>
    <w:rsid w:val="00AD38C1"/>
    <w:rsid w:val="00AD5A78"/>
    <w:rsid w:val="00AE1517"/>
    <w:rsid w:val="00AE4078"/>
    <w:rsid w:val="00AE4230"/>
    <w:rsid w:val="00AE69D7"/>
    <w:rsid w:val="00AE71AA"/>
    <w:rsid w:val="00AF0AF0"/>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776"/>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F37"/>
    <w:rsid w:val="00B945E5"/>
    <w:rsid w:val="00B9636B"/>
    <w:rsid w:val="00B974AD"/>
    <w:rsid w:val="00BA22C6"/>
    <w:rsid w:val="00BA316D"/>
    <w:rsid w:val="00BA5FEF"/>
    <w:rsid w:val="00BA7628"/>
    <w:rsid w:val="00BA7C93"/>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0C97"/>
    <w:rsid w:val="00BF6ECD"/>
    <w:rsid w:val="00BF790B"/>
    <w:rsid w:val="00C01E67"/>
    <w:rsid w:val="00C03F8B"/>
    <w:rsid w:val="00C05302"/>
    <w:rsid w:val="00C06B6B"/>
    <w:rsid w:val="00C06F37"/>
    <w:rsid w:val="00C0799A"/>
    <w:rsid w:val="00C12836"/>
    <w:rsid w:val="00C13438"/>
    <w:rsid w:val="00C170FF"/>
    <w:rsid w:val="00C172F3"/>
    <w:rsid w:val="00C173E1"/>
    <w:rsid w:val="00C2019E"/>
    <w:rsid w:val="00C27AEF"/>
    <w:rsid w:val="00C3110E"/>
    <w:rsid w:val="00C3466C"/>
    <w:rsid w:val="00C355FF"/>
    <w:rsid w:val="00C41A64"/>
    <w:rsid w:val="00C464D9"/>
    <w:rsid w:val="00C47122"/>
    <w:rsid w:val="00C47959"/>
    <w:rsid w:val="00C47CEA"/>
    <w:rsid w:val="00C515E0"/>
    <w:rsid w:val="00C5304D"/>
    <w:rsid w:val="00C531A3"/>
    <w:rsid w:val="00C57F24"/>
    <w:rsid w:val="00C63EA6"/>
    <w:rsid w:val="00C6619F"/>
    <w:rsid w:val="00C6624A"/>
    <w:rsid w:val="00C742C3"/>
    <w:rsid w:val="00C75559"/>
    <w:rsid w:val="00C76386"/>
    <w:rsid w:val="00C76D88"/>
    <w:rsid w:val="00C7785D"/>
    <w:rsid w:val="00C77A26"/>
    <w:rsid w:val="00C85BDD"/>
    <w:rsid w:val="00C86B81"/>
    <w:rsid w:val="00C91557"/>
    <w:rsid w:val="00C92F74"/>
    <w:rsid w:val="00CA1C19"/>
    <w:rsid w:val="00CA204D"/>
    <w:rsid w:val="00CA2E14"/>
    <w:rsid w:val="00CA60CD"/>
    <w:rsid w:val="00CA6D4A"/>
    <w:rsid w:val="00CB10E9"/>
    <w:rsid w:val="00CB11D6"/>
    <w:rsid w:val="00CB238B"/>
    <w:rsid w:val="00CB5475"/>
    <w:rsid w:val="00CB665E"/>
    <w:rsid w:val="00CB698A"/>
    <w:rsid w:val="00CB6E09"/>
    <w:rsid w:val="00CC09A7"/>
    <w:rsid w:val="00CC0FD9"/>
    <w:rsid w:val="00CC1F8F"/>
    <w:rsid w:val="00CD139B"/>
    <w:rsid w:val="00CD5E59"/>
    <w:rsid w:val="00CD7831"/>
    <w:rsid w:val="00CE05D4"/>
    <w:rsid w:val="00CE4712"/>
    <w:rsid w:val="00CF53EE"/>
    <w:rsid w:val="00D01AFA"/>
    <w:rsid w:val="00D01E5B"/>
    <w:rsid w:val="00D02378"/>
    <w:rsid w:val="00D02BE9"/>
    <w:rsid w:val="00D03896"/>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1A64"/>
    <w:rsid w:val="00D71BAA"/>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1A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0A0"/>
    <w:rsid w:val="00E52F87"/>
    <w:rsid w:val="00E6120D"/>
    <w:rsid w:val="00E61D06"/>
    <w:rsid w:val="00E637CB"/>
    <w:rsid w:val="00E7043E"/>
    <w:rsid w:val="00E747D9"/>
    <w:rsid w:val="00E75D5D"/>
    <w:rsid w:val="00E766CA"/>
    <w:rsid w:val="00E81F85"/>
    <w:rsid w:val="00E8413D"/>
    <w:rsid w:val="00E84C2A"/>
    <w:rsid w:val="00E90CA1"/>
    <w:rsid w:val="00E91D25"/>
    <w:rsid w:val="00E9483E"/>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B6C65"/>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 w:val="4D4307D7"/>
    <w:rsid w:val="715278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0569FF74-8772-4A44-9556-A848C8AFF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2C2A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ction-title">
    <w:name w:val="section-title"/>
    <w:basedOn w:val="DefaultParagraphFont"/>
    <w:rsid w:val="002C2A18"/>
  </w:style>
  <w:style w:type="character" w:styleId="FollowedHyperlink">
    <w:name w:val="FollowedHyperlink"/>
    <w:basedOn w:val="DefaultParagraphFont"/>
    <w:uiPriority w:val="99"/>
    <w:semiHidden/>
    <w:unhideWhenUsed/>
    <w:rsid w:val="002C2A18"/>
    <w:rPr>
      <w:color w:val="800080"/>
      <w:u w:val="single"/>
    </w:rPr>
  </w:style>
  <w:style w:type="character" w:customStyle="1" w:styleId="h--heading3">
    <w:name w:val="h--heading3"/>
    <w:basedOn w:val="DefaultParagraphFont"/>
    <w:rsid w:val="002C2A18"/>
  </w:style>
  <w:style w:type="character" w:customStyle="1" w:styleId="tfootnote">
    <w:name w:val="tfootnote"/>
    <w:basedOn w:val="DefaultParagraphFont"/>
    <w:rsid w:val="002C2A18"/>
  </w:style>
  <w:style w:type="character" w:customStyle="1" w:styleId="supinf">
    <w:name w:val="sup_inf"/>
    <w:basedOn w:val="DefaultParagraphFont"/>
    <w:rsid w:val="002C2A18"/>
  </w:style>
  <w:style w:type="character" w:customStyle="1" w:styleId="h--heading4">
    <w:name w:val="h--heading4"/>
    <w:basedOn w:val="DefaultParagraphFont"/>
    <w:rsid w:val="002C2A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692734124">
          <w:marLeft w:val="0"/>
          <w:marRight w:val="0"/>
          <w:marTop w:val="0"/>
          <w:marBottom w:val="0"/>
          <w:divBdr>
            <w:top w:val="none" w:sz="0" w:space="0" w:color="auto"/>
            <w:left w:val="none" w:sz="0" w:space="0" w:color="auto"/>
            <w:bottom w:val="none" w:sz="0" w:space="0" w:color="auto"/>
            <w:right w:val="none" w:sz="0" w:space="0" w:color="auto"/>
          </w:divBdr>
          <w:divsChild>
            <w:div w:id="116072464">
              <w:marLeft w:val="0"/>
              <w:marRight w:val="0"/>
              <w:marTop w:val="150"/>
              <w:marBottom w:val="270"/>
              <w:divBdr>
                <w:top w:val="none" w:sz="0" w:space="0" w:color="auto"/>
                <w:left w:val="none" w:sz="0" w:space="0" w:color="auto"/>
                <w:bottom w:val="none" w:sz="0" w:space="0" w:color="auto"/>
                <w:right w:val="none" w:sz="0" w:space="0" w:color="auto"/>
              </w:divBdr>
              <w:divsChild>
                <w:div w:id="227964401">
                  <w:marLeft w:val="0"/>
                  <w:marRight w:val="0"/>
                  <w:marTop w:val="0"/>
                  <w:marBottom w:val="0"/>
                  <w:divBdr>
                    <w:top w:val="none" w:sz="0" w:space="0" w:color="auto"/>
                    <w:left w:val="none" w:sz="0" w:space="0" w:color="auto"/>
                    <w:bottom w:val="none" w:sz="0" w:space="0" w:color="auto"/>
                    <w:right w:val="none" w:sz="0" w:space="0" w:color="auto"/>
                  </w:divBdr>
                </w:div>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sChild>
            </w:div>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0911081">
              <w:marLeft w:val="0"/>
              <w:marRight w:val="0"/>
              <w:marTop w:val="150"/>
              <w:marBottom w:val="270"/>
              <w:divBdr>
                <w:top w:val="none" w:sz="0" w:space="0" w:color="auto"/>
                <w:left w:val="none" w:sz="0" w:space="0" w:color="auto"/>
                <w:bottom w:val="none" w:sz="0" w:space="0" w:color="auto"/>
                <w:right w:val="none" w:sz="0" w:space="0" w:color="auto"/>
              </w:divBdr>
              <w:divsChild>
                <w:div w:id="180706451">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1377318926">
                  <w:marLeft w:val="0"/>
                  <w:marRight w:val="0"/>
                  <w:marTop w:val="0"/>
                  <w:marBottom w:val="0"/>
                  <w:divBdr>
                    <w:top w:val="none" w:sz="0" w:space="0" w:color="auto"/>
                    <w:left w:val="none" w:sz="0" w:space="0" w:color="auto"/>
                    <w:bottom w:val="none" w:sz="0" w:space="0" w:color="auto"/>
                    <w:right w:val="none" w:sz="0" w:space="0" w:color="auto"/>
                  </w:divBdr>
                </w:div>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 w:id="1499225871">
              <w:marLeft w:val="0"/>
              <w:marRight w:val="0"/>
              <w:marTop w:val="150"/>
              <w:marBottom w:val="270"/>
              <w:divBdr>
                <w:top w:val="none" w:sz="0" w:space="0" w:color="auto"/>
                <w:left w:val="none" w:sz="0" w:space="0" w:color="auto"/>
                <w:bottom w:val="none" w:sz="0" w:space="0" w:color="auto"/>
                <w:right w:val="none" w:sz="0" w:space="0" w:color="auto"/>
              </w:divBdr>
              <w:divsChild>
                <w:div w:id="939293834">
                  <w:marLeft w:val="0"/>
                  <w:marRight w:val="0"/>
                  <w:marTop w:val="0"/>
                  <w:marBottom w:val="0"/>
                  <w:divBdr>
                    <w:top w:val="none" w:sz="0" w:space="0" w:color="auto"/>
                    <w:left w:val="none" w:sz="0" w:space="0" w:color="auto"/>
                    <w:bottom w:val="none" w:sz="0" w:space="0" w:color="auto"/>
                    <w:right w:val="none" w:sz="0" w:space="0" w:color="auto"/>
                  </w:divBdr>
                </w:div>
                <w:div w:id="1690133200">
                  <w:marLeft w:val="0"/>
                  <w:marRight w:val="0"/>
                  <w:marTop w:val="0"/>
                  <w:marBottom w:val="0"/>
                  <w:divBdr>
                    <w:top w:val="none" w:sz="0" w:space="0" w:color="auto"/>
                    <w:left w:val="none" w:sz="0" w:space="0" w:color="auto"/>
                    <w:bottom w:val="none" w:sz="0" w:space="0" w:color="auto"/>
                    <w:right w:val="none" w:sz="0" w:space="0" w:color="auto"/>
                  </w:divBdr>
                </w:div>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 w:id="1748261084">
          <w:marLeft w:val="0"/>
          <w:marRight w:val="0"/>
          <w:marTop w:val="0"/>
          <w:marBottom w:val="0"/>
          <w:divBdr>
            <w:top w:val="none" w:sz="0" w:space="0" w:color="auto"/>
            <w:left w:val="none" w:sz="0" w:space="0" w:color="auto"/>
            <w:bottom w:val="none" w:sz="0" w:space="0" w:color="auto"/>
            <w:right w:val="none" w:sz="0" w:space="0" w:color="auto"/>
          </w:divBdr>
        </w:div>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929045835">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 w:id="204547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sChild>
    </w:div>
    <w:div w:id="249780131">
      <w:bodyDiv w:val="1"/>
      <w:marLeft w:val="0"/>
      <w:marRight w:val="0"/>
      <w:marTop w:val="0"/>
      <w:marBottom w:val="0"/>
      <w:divBdr>
        <w:top w:val="none" w:sz="0" w:space="0" w:color="auto"/>
        <w:left w:val="none" w:sz="0" w:space="0" w:color="auto"/>
        <w:bottom w:val="none" w:sz="0" w:space="0" w:color="auto"/>
        <w:right w:val="none" w:sz="0" w:space="0" w:color="auto"/>
      </w:divBdr>
      <w:divsChild>
        <w:div w:id="711729571">
          <w:marLeft w:val="0"/>
          <w:marRight w:val="0"/>
          <w:marTop w:val="0"/>
          <w:marBottom w:val="0"/>
          <w:divBdr>
            <w:top w:val="none" w:sz="0" w:space="0" w:color="auto"/>
            <w:left w:val="none" w:sz="0" w:space="0" w:color="auto"/>
            <w:bottom w:val="none" w:sz="0" w:space="0" w:color="auto"/>
            <w:right w:val="none" w:sz="0" w:space="0" w:color="auto"/>
          </w:divBdr>
          <w:divsChild>
            <w:div w:id="534273588">
              <w:marLeft w:val="0"/>
              <w:marRight w:val="0"/>
              <w:marTop w:val="0"/>
              <w:marBottom w:val="0"/>
              <w:divBdr>
                <w:top w:val="none" w:sz="0" w:space="0" w:color="auto"/>
                <w:left w:val="none" w:sz="0" w:space="0" w:color="auto"/>
                <w:bottom w:val="none" w:sz="0" w:space="0" w:color="auto"/>
                <w:right w:val="none" w:sz="0" w:space="0" w:color="auto"/>
              </w:divBdr>
            </w:div>
            <w:div w:id="966543650">
              <w:marLeft w:val="0"/>
              <w:marRight w:val="0"/>
              <w:marTop w:val="0"/>
              <w:marBottom w:val="0"/>
              <w:divBdr>
                <w:top w:val="none" w:sz="0" w:space="0" w:color="auto"/>
                <w:left w:val="none" w:sz="0" w:space="0" w:color="auto"/>
                <w:bottom w:val="none" w:sz="0" w:space="0" w:color="auto"/>
                <w:right w:val="none" w:sz="0" w:space="0" w:color="auto"/>
              </w:divBdr>
            </w:div>
            <w:div w:id="970329862">
              <w:marLeft w:val="0"/>
              <w:marRight w:val="0"/>
              <w:marTop w:val="0"/>
              <w:marBottom w:val="360"/>
              <w:divBdr>
                <w:top w:val="none" w:sz="0" w:space="0" w:color="auto"/>
                <w:left w:val="none" w:sz="0" w:space="0" w:color="auto"/>
                <w:bottom w:val="none" w:sz="0" w:space="0" w:color="auto"/>
                <w:right w:val="none" w:sz="0" w:space="0" w:color="auto"/>
              </w:divBdr>
            </w:div>
            <w:div w:id="1131437100">
              <w:marLeft w:val="0"/>
              <w:marRight w:val="0"/>
              <w:marTop w:val="360"/>
              <w:marBottom w:val="0"/>
              <w:divBdr>
                <w:top w:val="single" w:sz="6" w:space="0" w:color="E8E8E8"/>
                <w:left w:val="none" w:sz="0" w:space="0" w:color="auto"/>
                <w:bottom w:val="none" w:sz="0" w:space="0" w:color="auto"/>
                <w:right w:val="none" w:sz="0" w:space="0" w:color="auto"/>
              </w:divBdr>
            </w:div>
            <w:div w:id="1275360104">
              <w:marLeft w:val="0"/>
              <w:marRight w:val="0"/>
              <w:marTop w:val="360"/>
              <w:marBottom w:val="240"/>
              <w:divBdr>
                <w:top w:val="single" w:sz="12" w:space="0" w:color="D1CCBD"/>
                <w:left w:val="none" w:sz="0" w:space="0" w:color="auto"/>
                <w:bottom w:val="single" w:sz="12" w:space="12" w:color="D1CCBD"/>
                <w:right w:val="none" w:sz="0" w:space="0" w:color="auto"/>
              </w:divBdr>
              <w:divsChild>
                <w:div w:id="1564945460">
                  <w:marLeft w:val="0"/>
                  <w:marRight w:val="0"/>
                  <w:marTop w:val="0"/>
                  <w:marBottom w:val="0"/>
                  <w:divBdr>
                    <w:top w:val="single" w:sz="6" w:space="0" w:color="000000"/>
                    <w:left w:val="none" w:sz="0" w:space="0" w:color="auto"/>
                    <w:bottom w:val="none" w:sz="0" w:space="0" w:color="auto"/>
                    <w:right w:val="none" w:sz="0" w:space="0" w:color="auto"/>
                  </w:divBdr>
                  <w:divsChild>
                    <w:div w:id="95008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998148">
              <w:marLeft w:val="0"/>
              <w:marRight w:val="0"/>
              <w:marTop w:val="0"/>
              <w:marBottom w:val="360"/>
              <w:divBdr>
                <w:top w:val="none" w:sz="0" w:space="0" w:color="auto"/>
                <w:left w:val="none" w:sz="0" w:space="0" w:color="auto"/>
                <w:bottom w:val="none" w:sz="0" w:space="0" w:color="auto"/>
                <w:right w:val="none" w:sz="0" w:space="0" w:color="auto"/>
              </w:divBdr>
            </w:div>
            <w:div w:id="2045325180">
              <w:marLeft w:val="0"/>
              <w:marRight w:val="0"/>
              <w:marTop w:val="0"/>
              <w:marBottom w:val="360"/>
              <w:divBdr>
                <w:top w:val="none" w:sz="0" w:space="0" w:color="auto"/>
                <w:left w:val="none" w:sz="0" w:space="0" w:color="auto"/>
                <w:bottom w:val="none" w:sz="0" w:space="0" w:color="auto"/>
                <w:right w:val="none" w:sz="0" w:space="0" w:color="auto"/>
              </w:divBdr>
            </w:div>
          </w:divsChild>
        </w:div>
        <w:div w:id="776557429">
          <w:marLeft w:val="0"/>
          <w:marRight w:val="0"/>
          <w:marTop w:val="0"/>
          <w:marBottom w:val="0"/>
          <w:divBdr>
            <w:top w:val="none" w:sz="0" w:space="0" w:color="auto"/>
            <w:left w:val="none" w:sz="0" w:space="0" w:color="auto"/>
            <w:bottom w:val="none" w:sz="0" w:space="0" w:color="auto"/>
            <w:right w:val="none" w:sz="0" w:space="0" w:color="auto"/>
          </w:divBdr>
          <w:divsChild>
            <w:div w:id="141219121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ubs.rsc.org/en/content/articlelanding/2018/CP/C8CP02078G" TargetMode="External"/><Relationship Id="rId21" Type="http://schemas.openxmlformats.org/officeDocument/2006/relationships/hyperlink" Target="https://pubs.rsc.org/en/content/articlelanding/2018/CP/C8CP02078G" TargetMode="External"/><Relationship Id="rId42" Type="http://schemas.openxmlformats.org/officeDocument/2006/relationships/image" Target="media/image2.gif"/><Relationship Id="rId47" Type="http://schemas.openxmlformats.org/officeDocument/2006/relationships/hyperlink" Target="https://pubs.rsc.org/en/content/articlelanding/2018/CP/C8CP02078G" TargetMode="External"/><Relationship Id="rId63" Type="http://schemas.openxmlformats.org/officeDocument/2006/relationships/hyperlink" Target="https://pubs.rsc.org/en/content/articlelanding/2018/CP/C8CP02078G" TargetMode="External"/><Relationship Id="rId68" Type="http://schemas.openxmlformats.org/officeDocument/2006/relationships/hyperlink" Target="https://pubs.rsc.org/en/content/articlelanding/2018/CP/C8CP02078G" TargetMode="External"/><Relationship Id="rId2" Type="http://schemas.openxmlformats.org/officeDocument/2006/relationships/customXml" Target="../customXml/item2.xml"/><Relationship Id="rId16" Type="http://schemas.openxmlformats.org/officeDocument/2006/relationships/hyperlink" Target="https://pubs.rsc.org/en/content/articlelanding/2018/CP/C8CP02078G" TargetMode="External"/><Relationship Id="rId29" Type="http://schemas.openxmlformats.org/officeDocument/2006/relationships/hyperlink" Target="https://pubs.rsc.org/en/content/articlelanding/2018/CP/C8CP02078G" TargetMode="External"/><Relationship Id="rId11" Type="http://schemas.openxmlformats.org/officeDocument/2006/relationships/image" Target="media/image1.gif"/><Relationship Id="rId24" Type="http://schemas.openxmlformats.org/officeDocument/2006/relationships/hyperlink" Target="https://pubs.rsc.org/en/content/articlelanding/2018/CP/C8CP02078G" TargetMode="External"/><Relationship Id="rId32" Type="http://schemas.openxmlformats.org/officeDocument/2006/relationships/hyperlink" Target="https://pubs.rsc.org/en/content/articlelanding/2018/CP/C8CP02078G" TargetMode="External"/><Relationship Id="rId37" Type="http://schemas.openxmlformats.org/officeDocument/2006/relationships/hyperlink" Target="https://pubs.rsc.org/en/content/articlelanding/2018/CP/C8CP02078G" TargetMode="External"/><Relationship Id="rId40" Type="http://schemas.openxmlformats.org/officeDocument/2006/relationships/hyperlink" Target="https://pubs.rsc.org/en/content/articlelanding/2018/CP/C8CP02078G" TargetMode="External"/><Relationship Id="rId45" Type="http://schemas.openxmlformats.org/officeDocument/2006/relationships/hyperlink" Target="https://pubs.rsc.org/en/content/articlelanding/2018/CP/C8CP02078G" TargetMode="External"/><Relationship Id="rId53" Type="http://schemas.openxmlformats.org/officeDocument/2006/relationships/hyperlink" Target="https://pubs.rsc.org/en/content/articlelanding/2018/CP/C8CP02078G" TargetMode="External"/><Relationship Id="rId58" Type="http://schemas.openxmlformats.org/officeDocument/2006/relationships/hyperlink" Target="https://pubs.rsc.org/en/content/articlelanding/2018/CP/C8CP02078G" TargetMode="External"/><Relationship Id="rId66" Type="http://schemas.openxmlformats.org/officeDocument/2006/relationships/hyperlink" Target="https://pubs.rsc.org/en/content/articlelanding/2018/CP/C8CP02078G"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pubs.rsc.org/en/content/articlelanding/2018/CP/C8CP02078G" TargetMode="External"/><Relationship Id="rId19" Type="http://schemas.openxmlformats.org/officeDocument/2006/relationships/hyperlink" Target="https://pubs.rsc.org/en/content/articlelanding/2018/CP/C8CP02078G" TargetMode="External"/><Relationship Id="rId14" Type="http://schemas.openxmlformats.org/officeDocument/2006/relationships/hyperlink" Target="https://pubs.rsc.org/en/content/articlelanding/2018/CP/C8CP02078G" TargetMode="External"/><Relationship Id="rId22" Type="http://schemas.openxmlformats.org/officeDocument/2006/relationships/hyperlink" Target="https://pubs.rsc.org/en/content/articlelanding/2018/CP/C8CP02078G" TargetMode="External"/><Relationship Id="rId27" Type="http://schemas.openxmlformats.org/officeDocument/2006/relationships/hyperlink" Target="https://pubs.rsc.org/en/content/articlelanding/2018/CP/C8CP02078G" TargetMode="External"/><Relationship Id="rId30" Type="http://schemas.openxmlformats.org/officeDocument/2006/relationships/hyperlink" Target="https://pubs.rsc.org/en/content/articlelanding/2018/CP/C8CP02078G" TargetMode="External"/><Relationship Id="rId35" Type="http://schemas.openxmlformats.org/officeDocument/2006/relationships/hyperlink" Target="https://pubs.rsc.org/en/content/articlelanding/2018/CP/C8CP02078G" TargetMode="External"/><Relationship Id="rId43" Type="http://schemas.openxmlformats.org/officeDocument/2006/relationships/hyperlink" Target="https://pubs.rsc.org/en/content/articlelanding/2018/CP/C8CP02078G" TargetMode="External"/><Relationship Id="rId48" Type="http://schemas.openxmlformats.org/officeDocument/2006/relationships/hyperlink" Target="https://pubs.rsc.org/en/content/articlelanding/2018/CP/C8CP02078G" TargetMode="External"/><Relationship Id="rId56" Type="http://schemas.openxmlformats.org/officeDocument/2006/relationships/hyperlink" Target="https://pubs.rsc.org/en/content/articlelanding/2018/CP/C8CP02078G" TargetMode="External"/><Relationship Id="rId64" Type="http://schemas.openxmlformats.org/officeDocument/2006/relationships/hyperlink" Target="https://pubs.rsc.org/image/article/2018/cp/c8cp02078g/c8cp02078g-f3_hi-res.gif" TargetMode="External"/><Relationship Id="rId69" Type="http://schemas.openxmlformats.org/officeDocument/2006/relationships/hyperlink" Target="https://pubs.rsc.org/en/content/articlelanding/2018/CP/C8CP02078G" TargetMode="External"/><Relationship Id="rId8" Type="http://schemas.openxmlformats.org/officeDocument/2006/relationships/webSettings" Target="webSettings.xml"/><Relationship Id="rId51" Type="http://schemas.openxmlformats.org/officeDocument/2006/relationships/image" Target="media/image3.gif"/><Relationship Id="rId72" Type="http://schemas.openxmlformats.org/officeDocument/2006/relationships/hyperlink" Target="https://pubs.rsc.org/en/content/articlelanding/2018/CP/C8CP02078G" TargetMode="External"/><Relationship Id="rId3" Type="http://schemas.openxmlformats.org/officeDocument/2006/relationships/customXml" Target="../customXml/item3.xml"/><Relationship Id="rId12" Type="http://schemas.openxmlformats.org/officeDocument/2006/relationships/hyperlink" Target="https://pubs.rsc.org/en/content/articlelanding/2018/CP/C8CP02078G" TargetMode="External"/><Relationship Id="rId17" Type="http://schemas.openxmlformats.org/officeDocument/2006/relationships/hyperlink" Target="https://pubs.rsc.org/en/content/articlelanding/2018/CP/C8CP02078G" TargetMode="External"/><Relationship Id="rId25" Type="http://schemas.openxmlformats.org/officeDocument/2006/relationships/hyperlink" Target="https://pubs.rsc.org/en/content/articlelanding/2018/CP/C8CP02078G" TargetMode="External"/><Relationship Id="rId33" Type="http://schemas.openxmlformats.org/officeDocument/2006/relationships/hyperlink" Target="https://pubs.rsc.org/en/content/articlelanding/2018/CP/C8CP02078G" TargetMode="External"/><Relationship Id="rId38" Type="http://schemas.openxmlformats.org/officeDocument/2006/relationships/hyperlink" Target="https://pubs.rsc.org/en/content/articlelanding/2018/CP/C8CP02078G" TargetMode="External"/><Relationship Id="rId46" Type="http://schemas.openxmlformats.org/officeDocument/2006/relationships/hyperlink" Target="https://pubs.rsc.org/en/content/articlelanding/2018/CP/C8CP02078G" TargetMode="External"/><Relationship Id="rId59" Type="http://schemas.openxmlformats.org/officeDocument/2006/relationships/hyperlink" Target="https://pubs.rsc.org/en/content/articlelanding/2018/CP/C8CP02078G" TargetMode="External"/><Relationship Id="rId67" Type="http://schemas.openxmlformats.org/officeDocument/2006/relationships/hyperlink" Target="https://pubs.rsc.org/en/content/articlelanding/2018/CP/C8CP02078G" TargetMode="External"/><Relationship Id="rId20" Type="http://schemas.openxmlformats.org/officeDocument/2006/relationships/hyperlink" Target="https://pubs.rsc.org/en/content/articlelanding/2018/CP/C8CP02078G" TargetMode="External"/><Relationship Id="rId41" Type="http://schemas.openxmlformats.org/officeDocument/2006/relationships/hyperlink" Target="https://pubs.rsc.org/image/article/2018/cp/c8cp02078g/c8cp02078g-f1_hi-res.gif" TargetMode="External"/><Relationship Id="rId54" Type="http://schemas.openxmlformats.org/officeDocument/2006/relationships/hyperlink" Target="https://pubs.rsc.org/en/content/articlelanding/2018/CP/C8CP02078G" TargetMode="External"/><Relationship Id="rId62" Type="http://schemas.openxmlformats.org/officeDocument/2006/relationships/hyperlink" Target="https://pubs.rsc.org/en/content/articlelanding/2018/CP/C8CP02078G" TargetMode="External"/><Relationship Id="rId70" Type="http://schemas.openxmlformats.org/officeDocument/2006/relationships/hyperlink" Target="https://pubs.rsc.org/en/content/articlelanding/2018/CP/C8CP02078G"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ubs.rsc.org/en/content/articlelanding/2018/CP/C8CP02078G" TargetMode="External"/><Relationship Id="rId23" Type="http://schemas.openxmlformats.org/officeDocument/2006/relationships/hyperlink" Target="https://pubs.rsc.org/en/content/articlelanding/2018/CP/C8CP02078G" TargetMode="External"/><Relationship Id="rId28" Type="http://schemas.openxmlformats.org/officeDocument/2006/relationships/hyperlink" Target="https://pubs.rsc.org/en/content/articlelanding/2018/CP/C8CP02078G" TargetMode="External"/><Relationship Id="rId36" Type="http://schemas.openxmlformats.org/officeDocument/2006/relationships/hyperlink" Target="https://pubs.rsc.org/en/content/articlelanding/2018/CP/C8CP02078G" TargetMode="External"/><Relationship Id="rId49" Type="http://schemas.openxmlformats.org/officeDocument/2006/relationships/hyperlink" Target="https://pubs.rsc.org/en/content/articlelanding/2018/CP/C8CP02078G" TargetMode="External"/><Relationship Id="rId57" Type="http://schemas.openxmlformats.org/officeDocument/2006/relationships/hyperlink" Target="https://pubs.rsc.org/en/content/articlelanding/2018/CP/C8CP02078G" TargetMode="External"/><Relationship Id="rId10" Type="http://schemas.openxmlformats.org/officeDocument/2006/relationships/hyperlink" Target="http://epublications.marquette.edu/" TargetMode="External"/><Relationship Id="rId31" Type="http://schemas.openxmlformats.org/officeDocument/2006/relationships/hyperlink" Target="https://pubs.rsc.org/en/content/articlelanding/2018/CP/C8CP02078G" TargetMode="External"/><Relationship Id="rId44" Type="http://schemas.openxmlformats.org/officeDocument/2006/relationships/hyperlink" Target="https://pubs.rsc.org/en/content/articlelanding/2018/CP/C8CP02078G" TargetMode="External"/><Relationship Id="rId52" Type="http://schemas.openxmlformats.org/officeDocument/2006/relationships/hyperlink" Target="https://pubs.rsc.org/en/content/articlelanding/2018/CP/C8CP02078G" TargetMode="External"/><Relationship Id="rId60" Type="http://schemas.openxmlformats.org/officeDocument/2006/relationships/hyperlink" Target="https://pubs.rsc.org/en/content/articlelanding/2018/CP/C8CP02078G" TargetMode="External"/><Relationship Id="rId65" Type="http://schemas.openxmlformats.org/officeDocument/2006/relationships/image" Target="media/image4.gif"/><Relationship Id="rId73" Type="http://schemas.openxmlformats.org/officeDocument/2006/relationships/hyperlink" Target="http://xlink.rsc.org/?DOI=c8cp02078g" TargetMode="External"/><Relationship Id="rId4" Type="http://schemas.openxmlformats.org/officeDocument/2006/relationships/customXml" Target="../customXml/item4.xml"/><Relationship Id="rId9" Type="http://schemas.openxmlformats.org/officeDocument/2006/relationships/hyperlink" Target="http://xlink.rsc.org/?DOI=c8cp02078g" TargetMode="External"/><Relationship Id="rId13" Type="http://schemas.openxmlformats.org/officeDocument/2006/relationships/hyperlink" Target="https://pubs.rsc.org/en/content/articlelanding/2018/CP/C8CP02078G" TargetMode="External"/><Relationship Id="rId18" Type="http://schemas.openxmlformats.org/officeDocument/2006/relationships/hyperlink" Target="https://pubs.rsc.org/en/content/articlelanding/2018/CP/C8CP02078G" TargetMode="External"/><Relationship Id="rId39" Type="http://schemas.openxmlformats.org/officeDocument/2006/relationships/hyperlink" Target="https://pubs.rsc.org/en/content/articlelanding/2018/CP/C8CP02078G" TargetMode="External"/><Relationship Id="rId34" Type="http://schemas.openxmlformats.org/officeDocument/2006/relationships/hyperlink" Target="https://pubs.rsc.org/en/content/articlelanding/2018/CP/C8CP02078G" TargetMode="External"/><Relationship Id="rId50" Type="http://schemas.openxmlformats.org/officeDocument/2006/relationships/hyperlink" Target="https://pubs.rsc.org/image/article/2018/cp/c8cp02078g/c8cp02078g-f2_hi-res.gif" TargetMode="External"/><Relationship Id="rId55" Type="http://schemas.openxmlformats.org/officeDocument/2006/relationships/hyperlink" Target="https://pubs.rsc.org/en/content/articlelanding/2018/CP/C8CP02078G" TargetMode="External"/><Relationship Id="rId7" Type="http://schemas.openxmlformats.org/officeDocument/2006/relationships/settings" Target="settings.xml"/><Relationship Id="rId71" Type="http://schemas.openxmlformats.org/officeDocument/2006/relationships/hyperlink" Target="https://pubs.rsc.org/en/content/articlelanding/2018/CP/C8CP02078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89747-56E2-4126-9DE8-F1423FEA64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B924E9-9739-4F8F-A6B2-D1DFFCAFFBD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3DD6ABF-8E19-4869-89BA-FA24B4E34522}">
  <ds:schemaRefs>
    <ds:schemaRef ds:uri="http://schemas.microsoft.com/sharepoint/v3/contenttype/forms"/>
  </ds:schemaRefs>
</ds:datastoreItem>
</file>

<file path=customXml/itemProps4.xml><?xml version="1.0" encoding="utf-8"?>
<ds:datastoreItem xmlns:ds="http://schemas.openxmlformats.org/officeDocument/2006/customXml" ds:itemID="{F722D9E4-AC9D-4155-A8E1-BB805A544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9</Pages>
  <Words>4991</Words>
  <Characters>28453</Characters>
  <Application>Microsoft Office Word</Application>
  <DocSecurity>0</DocSecurity>
  <Lines>237</Lines>
  <Paragraphs>66</Paragraphs>
  <ScaleCrop>false</ScaleCrop>
  <Company/>
  <LinksUpToDate>false</LinksUpToDate>
  <CharactersWithSpaces>33378</CharactersWithSpaces>
  <SharedDoc>false</SharedDoc>
  <HLinks>
    <vt:vector size="348" baseType="variant">
      <vt:variant>
        <vt:i4>983056</vt:i4>
      </vt:variant>
      <vt:variant>
        <vt:i4>171</vt:i4>
      </vt:variant>
      <vt:variant>
        <vt:i4>0</vt:i4>
      </vt:variant>
      <vt:variant>
        <vt:i4>5</vt:i4>
      </vt:variant>
      <vt:variant>
        <vt:lpwstr>http://xlink.rsc.org/?DOI=c8cp02078g</vt:lpwstr>
      </vt:variant>
      <vt:variant>
        <vt:lpwstr/>
      </vt:variant>
      <vt:variant>
        <vt:i4>5898311</vt:i4>
      </vt:variant>
      <vt:variant>
        <vt:i4>168</vt:i4>
      </vt:variant>
      <vt:variant>
        <vt:i4>0</vt:i4>
      </vt:variant>
      <vt:variant>
        <vt:i4>5</vt:i4>
      </vt:variant>
      <vt:variant>
        <vt:lpwstr>https://pubs.rsc.org/en/content/articlelanding/2018/CP/C8CP02078G</vt:lpwstr>
      </vt:variant>
      <vt:variant>
        <vt:lpwstr>cit28</vt:lpwstr>
      </vt:variant>
      <vt:variant>
        <vt:i4>5832775</vt:i4>
      </vt:variant>
      <vt:variant>
        <vt:i4>165</vt:i4>
      </vt:variant>
      <vt:variant>
        <vt:i4>0</vt:i4>
      </vt:variant>
      <vt:variant>
        <vt:i4>5</vt:i4>
      </vt:variant>
      <vt:variant>
        <vt:lpwstr>https://pubs.rsc.org/en/content/articlelanding/2018/CP/C8CP02078G</vt:lpwstr>
      </vt:variant>
      <vt:variant>
        <vt:lpwstr>cit18</vt:lpwstr>
      </vt:variant>
      <vt:variant>
        <vt:i4>5898311</vt:i4>
      </vt:variant>
      <vt:variant>
        <vt:i4>162</vt:i4>
      </vt:variant>
      <vt:variant>
        <vt:i4>0</vt:i4>
      </vt:variant>
      <vt:variant>
        <vt:i4>5</vt:i4>
      </vt:variant>
      <vt:variant>
        <vt:lpwstr>https://pubs.rsc.org/en/content/articlelanding/2018/CP/C8CP02078G</vt:lpwstr>
      </vt:variant>
      <vt:variant>
        <vt:lpwstr>cit27</vt:lpwstr>
      </vt:variant>
      <vt:variant>
        <vt:i4>5898311</vt:i4>
      </vt:variant>
      <vt:variant>
        <vt:i4>159</vt:i4>
      </vt:variant>
      <vt:variant>
        <vt:i4>0</vt:i4>
      </vt:variant>
      <vt:variant>
        <vt:i4>5</vt:i4>
      </vt:variant>
      <vt:variant>
        <vt:lpwstr>https://pubs.rsc.org/en/content/articlelanding/2018/CP/C8CP02078G</vt:lpwstr>
      </vt:variant>
      <vt:variant>
        <vt:lpwstr>cit22</vt:lpwstr>
      </vt:variant>
      <vt:variant>
        <vt:i4>5963857</vt:i4>
      </vt:variant>
      <vt:variant>
        <vt:i4>156</vt:i4>
      </vt:variant>
      <vt:variant>
        <vt:i4>0</vt:i4>
      </vt:variant>
      <vt:variant>
        <vt:i4>5</vt:i4>
      </vt:variant>
      <vt:variant>
        <vt:lpwstr>https://pubs.rsc.org/en/content/articlelanding/2018/CP/C8CP02078G</vt:lpwstr>
      </vt:variant>
      <vt:variant>
        <vt:lpwstr>fig3</vt:lpwstr>
      </vt:variant>
      <vt:variant>
        <vt:i4>5898311</vt:i4>
      </vt:variant>
      <vt:variant>
        <vt:i4>153</vt:i4>
      </vt:variant>
      <vt:variant>
        <vt:i4>0</vt:i4>
      </vt:variant>
      <vt:variant>
        <vt:i4>5</vt:i4>
      </vt:variant>
      <vt:variant>
        <vt:lpwstr>https://pubs.rsc.org/en/content/articlelanding/2018/CP/C8CP02078G</vt:lpwstr>
      </vt:variant>
      <vt:variant>
        <vt:lpwstr>cit22</vt:lpwstr>
      </vt:variant>
      <vt:variant>
        <vt:i4>5963857</vt:i4>
      </vt:variant>
      <vt:variant>
        <vt:i4>150</vt:i4>
      </vt:variant>
      <vt:variant>
        <vt:i4>0</vt:i4>
      </vt:variant>
      <vt:variant>
        <vt:i4>5</vt:i4>
      </vt:variant>
      <vt:variant>
        <vt:lpwstr>https://pubs.rsc.org/en/content/articlelanding/2018/CP/C8CP02078G</vt:lpwstr>
      </vt:variant>
      <vt:variant>
        <vt:lpwstr>fig3</vt:lpwstr>
      </vt:variant>
      <vt:variant>
        <vt:i4>5898321</vt:i4>
      </vt:variant>
      <vt:variant>
        <vt:i4>147</vt:i4>
      </vt:variant>
      <vt:variant>
        <vt:i4>0</vt:i4>
      </vt:variant>
      <vt:variant>
        <vt:i4>5</vt:i4>
      </vt:variant>
      <vt:variant>
        <vt:lpwstr>https://pubs.rsc.org/en/content/articlelanding/2018/CP/C8CP02078G</vt:lpwstr>
      </vt:variant>
      <vt:variant>
        <vt:lpwstr>fig2</vt:lpwstr>
      </vt:variant>
      <vt:variant>
        <vt:i4>5898311</vt:i4>
      </vt:variant>
      <vt:variant>
        <vt:i4>144</vt:i4>
      </vt:variant>
      <vt:variant>
        <vt:i4>0</vt:i4>
      </vt:variant>
      <vt:variant>
        <vt:i4>5</vt:i4>
      </vt:variant>
      <vt:variant>
        <vt:lpwstr>https://pubs.rsc.org/en/content/articlelanding/2018/CP/C8CP02078G</vt:lpwstr>
      </vt:variant>
      <vt:variant>
        <vt:lpwstr>cit22</vt:lpwstr>
      </vt:variant>
      <vt:variant>
        <vt:i4>5963857</vt:i4>
      </vt:variant>
      <vt:variant>
        <vt:i4>141</vt:i4>
      </vt:variant>
      <vt:variant>
        <vt:i4>0</vt:i4>
      </vt:variant>
      <vt:variant>
        <vt:i4>5</vt:i4>
      </vt:variant>
      <vt:variant>
        <vt:lpwstr>https://pubs.rsc.org/en/content/articlelanding/2018/CP/C8CP02078G</vt:lpwstr>
      </vt:variant>
      <vt:variant>
        <vt:lpwstr>fig3</vt:lpwstr>
      </vt:variant>
      <vt:variant>
        <vt:i4>5963857</vt:i4>
      </vt:variant>
      <vt:variant>
        <vt:i4>138</vt:i4>
      </vt:variant>
      <vt:variant>
        <vt:i4>0</vt:i4>
      </vt:variant>
      <vt:variant>
        <vt:i4>5</vt:i4>
      </vt:variant>
      <vt:variant>
        <vt:lpwstr>https://pubs.rsc.org/en/content/articlelanding/2018/CP/C8CP02078G</vt:lpwstr>
      </vt:variant>
      <vt:variant>
        <vt:lpwstr>fig3</vt:lpwstr>
      </vt:variant>
      <vt:variant>
        <vt:i4>5898311</vt:i4>
      </vt:variant>
      <vt:variant>
        <vt:i4>135</vt:i4>
      </vt:variant>
      <vt:variant>
        <vt:i4>0</vt:i4>
      </vt:variant>
      <vt:variant>
        <vt:i4>5</vt:i4>
      </vt:variant>
      <vt:variant>
        <vt:lpwstr>https://pubs.rsc.org/en/content/articlelanding/2018/CP/C8CP02078G</vt:lpwstr>
      </vt:variant>
      <vt:variant>
        <vt:lpwstr>cit22</vt:lpwstr>
      </vt:variant>
      <vt:variant>
        <vt:i4>7274550</vt:i4>
      </vt:variant>
      <vt:variant>
        <vt:i4>132</vt:i4>
      </vt:variant>
      <vt:variant>
        <vt:i4>0</vt:i4>
      </vt:variant>
      <vt:variant>
        <vt:i4>5</vt:i4>
      </vt:variant>
      <vt:variant>
        <vt:lpwstr>https://pubs.rsc.org/en/content/articlelanding/2018/CP/C8CP02078G</vt:lpwstr>
      </vt:variant>
      <vt:variant>
        <vt:lpwstr>fn1</vt:lpwstr>
      </vt:variant>
      <vt:variant>
        <vt:i4>5898321</vt:i4>
      </vt:variant>
      <vt:variant>
        <vt:i4>129</vt:i4>
      </vt:variant>
      <vt:variant>
        <vt:i4>0</vt:i4>
      </vt:variant>
      <vt:variant>
        <vt:i4>5</vt:i4>
      </vt:variant>
      <vt:variant>
        <vt:lpwstr>https://pubs.rsc.org/en/content/articlelanding/2018/CP/C8CP02078G</vt:lpwstr>
      </vt:variant>
      <vt:variant>
        <vt:lpwstr>fig2</vt:lpwstr>
      </vt:variant>
      <vt:variant>
        <vt:i4>5308486</vt:i4>
      </vt:variant>
      <vt:variant>
        <vt:i4>126</vt:i4>
      </vt:variant>
      <vt:variant>
        <vt:i4>0</vt:i4>
      </vt:variant>
      <vt:variant>
        <vt:i4>5</vt:i4>
      </vt:variant>
      <vt:variant>
        <vt:lpwstr>https://pubs.rsc.org/en/content/articlelanding/2018/CP/C8CP02078G</vt:lpwstr>
      </vt:variant>
      <vt:variant>
        <vt:lpwstr>tab1</vt:lpwstr>
      </vt:variant>
      <vt:variant>
        <vt:i4>5898321</vt:i4>
      </vt:variant>
      <vt:variant>
        <vt:i4>123</vt:i4>
      </vt:variant>
      <vt:variant>
        <vt:i4>0</vt:i4>
      </vt:variant>
      <vt:variant>
        <vt:i4>5</vt:i4>
      </vt:variant>
      <vt:variant>
        <vt:lpwstr>https://pubs.rsc.org/en/content/articlelanding/2018/CP/C8CP02078G</vt:lpwstr>
      </vt:variant>
      <vt:variant>
        <vt:lpwstr>fig2</vt:lpwstr>
      </vt:variant>
      <vt:variant>
        <vt:i4>5898321</vt:i4>
      </vt:variant>
      <vt:variant>
        <vt:i4>120</vt:i4>
      </vt:variant>
      <vt:variant>
        <vt:i4>0</vt:i4>
      </vt:variant>
      <vt:variant>
        <vt:i4>5</vt:i4>
      </vt:variant>
      <vt:variant>
        <vt:lpwstr>https://pubs.rsc.org/en/content/articlelanding/2018/CP/C8CP02078G</vt:lpwstr>
      </vt:variant>
      <vt:variant>
        <vt:lpwstr>fig2</vt:lpwstr>
      </vt:variant>
      <vt:variant>
        <vt:i4>5898321</vt:i4>
      </vt:variant>
      <vt:variant>
        <vt:i4>117</vt:i4>
      </vt:variant>
      <vt:variant>
        <vt:i4>0</vt:i4>
      </vt:variant>
      <vt:variant>
        <vt:i4>5</vt:i4>
      </vt:variant>
      <vt:variant>
        <vt:lpwstr>https://pubs.rsc.org/en/content/articlelanding/2018/CP/C8CP02078G</vt:lpwstr>
      </vt:variant>
      <vt:variant>
        <vt:lpwstr>fig2</vt:lpwstr>
      </vt:variant>
      <vt:variant>
        <vt:i4>5898321</vt:i4>
      </vt:variant>
      <vt:variant>
        <vt:i4>114</vt:i4>
      </vt:variant>
      <vt:variant>
        <vt:i4>0</vt:i4>
      </vt:variant>
      <vt:variant>
        <vt:i4>5</vt:i4>
      </vt:variant>
      <vt:variant>
        <vt:lpwstr>https://pubs.rsc.org/en/content/articlelanding/2018/CP/C8CP02078G</vt:lpwstr>
      </vt:variant>
      <vt:variant>
        <vt:lpwstr>fig2</vt:lpwstr>
      </vt:variant>
      <vt:variant>
        <vt:i4>5898311</vt:i4>
      </vt:variant>
      <vt:variant>
        <vt:i4>111</vt:i4>
      </vt:variant>
      <vt:variant>
        <vt:i4>0</vt:i4>
      </vt:variant>
      <vt:variant>
        <vt:i4>5</vt:i4>
      </vt:variant>
      <vt:variant>
        <vt:lpwstr>https://pubs.rsc.org/en/content/articlelanding/2018/CP/C8CP02078G</vt:lpwstr>
      </vt:variant>
      <vt:variant>
        <vt:lpwstr>cit26</vt:lpwstr>
      </vt:variant>
      <vt:variant>
        <vt:i4>5898321</vt:i4>
      </vt:variant>
      <vt:variant>
        <vt:i4>108</vt:i4>
      </vt:variant>
      <vt:variant>
        <vt:i4>0</vt:i4>
      </vt:variant>
      <vt:variant>
        <vt:i4>5</vt:i4>
      </vt:variant>
      <vt:variant>
        <vt:lpwstr>https://pubs.rsc.org/en/content/articlelanding/2018/CP/C8CP02078G</vt:lpwstr>
      </vt:variant>
      <vt:variant>
        <vt:lpwstr>fig2</vt:lpwstr>
      </vt:variant>
      <vt:variant>
        <vt:i4>5898321</vt:i4>
      </vt:variant>
      <vt:variant>
        <vt:i4>105</vt:i4>
      </vt:variant>
      <vt:variant>
        <vt:i4>0</vt:i4>
      </vt:variant>
      <vt:variant>
        <vt:i4>5</vt:i4>
      </vt:variant>
      <vt:variant>
        <vt:lpwstr>https://pubs.rsc.org/en/content/articlelanding/2018/CP/C8CP02078G</vt:lpwstr>
      </vt:variant>
      <vt:variant>
        <vt:lpwstr>fig2</vt:lpwstr>
      </vt:variant>
      <vt:variant>
        <vt:i4>5898311</vt:i4>
      </vt:variant>
      <vt:variant>
        <vt:i4>102</vt:i4>
      </vt:variant>
      <vt:variant>
        <vt:i4>0</vt:i4>
      </vt:variant>
      <vt:variant>
        <vt:i4>5</vt:i4>
      </vt:variant>
      <vt:variant>
        <vt:lpwstr>https://pubs.rsc.org/en/content/articlelanding/2018/CP/C8CP02078G</vt:lpwstr>
      </vt:variant>
      <vt:variant>
        <vt:lpwstr>cit22</vt:lpwstr>
      </vt:variant>
      <vt:variant>
        <vt:i4>5898321</vt:i4>
      </vt:variant>
      <vt:variant>
        <vt:i4>99</vt:i4>
      </vt:variant>
      <vt:variant>
        <vt:i4>0</vt:i4>
      </vt:variant>
      <vt:variant>
        <vt:i4>5</vt:i4>
      </vt:variant>
      <vt:variant>
        <vt:lpwstr>https://pubs.rsc.org/en/content/articlelanding/2018/CP/C8CP02078G</vt:lpwstr>
      </vt:variant>
      <vt:variant>
        <vt:lpwstr>fig2</vt:lpwstr>
      </vt:variant>
      <vt:variant>
        <vt:i4>7274550</vt:i4>
      </vt:variant>
      <vt:variant>
        <vt:i4>96</vt:i4>
      </vt:variant>
      <vt:variant>
        <vt:i4>0</vt:i4>
      </vt:variant>
      <vt:variant>
        <vt:i4>5</vt:i4>
      </vt:variant>
      <vt:variant>
        <vt:lpwstr>https://pubs.rsc.org/en/content/articlelanding/2018/CP/C8CP02078G</vt:lpwstr>
      </vt:variant>
      <vt:variant>
        <vt:lpwstr>fn1</vt:lpwstr>
      </vt:variant>
      <vt:variant>
        <vt:i4>5832785</vt:i4>
      </vt:variant>
      <vt:variant>
        <vt:i4>93</vt:i4>
      </vt:variant>
      <vt:variant>
        <vt:i4>0</vt:i4>
      </vt:variant>
      <vt:variant>
        <vt:i4>5</vt:i4>
      </vt:variant>
      <vt:variant>
        <vt:lpwstr>https://pubs.rsc.org/en/content/articlelanding/2018/CP/C8CP02078G</vt:lpwstr>
      </vt:variant>
      <vt:variant>
        <vt:lpwstr>fig1</vt:lpwstr>
      </vt:variant>
      <vt:variant>
        <vt:i4>5898311</vt:i4>
      </vt:variant>
      <vt:variant>
        <vt:i4>90</vt:i4>
      </vt:variant>
      <vt:variant>
        <vt:i4>0</vt:i4>
      </vt:variant>
      <vt:variant>
        <vt:i4>5</vt:i4>
      </vt:variant>
      <vt:variant>
        <vt:lpwstr>https://pubs.rsc.org/en/content/articlelanding/2018/CP/C8CP02078G</vt:lpwstr>
      </vt:variant>
      <vt:variant>
        <vt:lpwstr>cit25</vt:lpwstr>
      </vt:variant>
      <vt:variant>
        <vt:i4>5832785</vt:i4>
      </vt:variant>
      <vt:variant>
        <vt:i4>87</vt:i4>
      </vt:variant>
      <vt:variant>
        <vt:i4>0</vt:i4>
      </vt:variant>
      <vt:variant>
        <vt:i4>5</vt:i4>
      </vt:variant>
      <vt:variant>
        <vt:lpwstr>https://pubs.rsc.org/en/content/articlelanding/2018/CP/C8CP02078G</vt:lpwstr>
      </vt:variant>
      <vt:variant>
        <vt:lpwstr>fig1</vt:lpwstr>
      </vt:variant>
      <vt:variant>
        <vt:i4>5832785</vt:i4>
      </vt:variant>
      <vt:variant>
        <vt:i4>84</vt:i4>
      </vt:variant>
      <vt:variant>
        <vt:i4>0</vt:i4>
      </vt:variant>
      <vt:variant>
        <vt:i4>5</vt:i4>
      </vt:variant>
      <vt:variant>
        <vt:lpwstr>https://pubs.rsc.org/en/content/articlelanding/2018/CP/C8CP02078G</vt:lpwstr>
      </vt:variant>
      <vt:variant>
        <vt:lpwstr>fig1</vt:lpwstr>
      </vt:variant>
      <vt:variant>
        <vt:i4>7274550</vt:i4>
      </vt:variant>
      <vt:variant>
        <vt:i4>81</vt:i4>
      </vt:variant>
      <vt:variant>
        <vt:i4>0</vt:i4>
      </vt:variant>
      <vt:variant>
        <vt:i4>5</vt:i4>
      </vt:variant>
      <vt:variant>
        <vt:lpwstr>https://pubs.rsc.org/en/content/articlelanding/2018/CP/C8CP02078G</vt:lpwstr>
      </vt:variant>
      <vt:variant>
        <vt:lpwstr>fn1</vt:lpwstr>
      </vt:variant>
      <vt:variant>
        <vt:i4>5898311</vt:i4>
      </vt:variant>
      <vt:variant>
        <vt:i4>78</vt:i4>
      </vt:variant>
      <vt:variant>
        <vt:i4>0</vt:i4>
      </vt:variant>
      <vt:variant>
        <vt:i4>5</vt:i4>
      </vt:variant>
      <vt:variant>
        <vt:lpwstr>https://pubs.rsc.org/en/content/articlelanding/2018/CP/C8CP02078G</vt:lpwstr>
      </vt:variant>
      <vt:variant>
        <vt:lpwstr>cit22</vt:lpwstr>
      </vt:variant>
      <vt:variant>
        <vt:i4>5898311</vt:i4>
      </vt:variant>
      <vt:variant>
        <vt:i4>75</vt:i4>
      </vt:variant>
      <vt:variant>
        <vt:i4>0</vt:i4>
      </vt:variant>
      <vt:variant>
        <vt:i4>5</vt:i4>
      </vt:variant>
      <vt:variant>
        <vt:lpwstr>https://pubs.rsc.org/en/content/articlelanding/2018/CP/C8CP02078G</vt:lpwstr>
      </vt:variant>
      <vt:variant>
        <vt:lpwstr>cit24</vt:lpwstr>
      </vt:variant>
      <vt:variant>
        <vt:i4>7274550</vt:i4>
      </vt:variant>
      <vt:variant>
        <vt:i4>72</vt:i4>
      </vt:variant>
      <vt:variant>
        <vt:i4>0</vt:i4>
      </vt:variant>
      <vt:variant>
        <vt:i4>5</vt:i4>
      </vt:variant>
      <vt:variant>
        <vt:lpwstr>https://pubs.rsc.org/en/content/articlelanding/2018/CP/C8CP02078G</vt:lpwstr>
      </vt:variant>
      <vt:variant>
        <vt:lpwstr>fn1</vt:lpwstr>
      </vt:variant>
      <vt:variant>
        <vt:i4>5832785</vt:i4>
      </vt:variant>
      <vt:variant>
        <vt:i4>69</vt:i4>
      </vt:variant>
      <vt:variant>
        <vt:i4>0</vt:i4>
      </vt:variant>
      <vt:variant>
        <vt:i4>5</vt:i4>
      </vt:variant>
      <vt:variant>
        <vt:lpwstr>https://pubs.rsc.org/en/content/articlelanding/2018/CP/C8CP02078G</vt:lpwstr>
      </vt:variant>
      <vt:variant>
        <vt:lpwstr>fig1</vt:lpwstr>
      </vt:variant>
      <vt:variant>
        <vt:i4>5898311</vt:i4>
      </vt:variant>
      <vt:variant>
        <vt:i4>66</vt:i4>
      </vt:variant>
      <vt:variant>
        <vt:i4>0</vt:i4>
      </vt:variant>
      <vt:variant>
        <vt:i4>5</vt:i4>
      </vt:variant>
      <vt:variant>
        <vt:lpwstr>https://pubs.rsc.org/en/content/articlelanding/2018/CP/C8CP02078G</vt:lpwstr>
      </vt:variant>
      <vt:variant>
        <vt:lpwstr>cit22</vt:lpwstr>
      </vt:variant>
      <vt:variant>
        <vt:i4>4128800</vt:i4>
      </vt:variant>
      <vt:variant>
        <vt:i4>63</vt:i4>
      </vt:variant>
      <vt:variant>
        <vt:i4>0</vt:i4>
      </vt:variant>
      <vt:variant>
        <vt:i4>5</vt:i4>
      </vt:variant>
      <vt:variant>
        <vt:lpwstr>https://pubs.rsc.org/en/content/articlelanding/2018/CP/C8CP02078G</vt:lpwstr>
      </vt:variant>
      <vt:variant>
        <vt:lpwstr>tab1fna</vt:lpwstr>
      </vt:variant>
      <vt:variant>
        <vt:i4>4128800</vt:i4>
      </vt:variant>
      <vt:variant>
        <vt:i4>60</vt:i4>
      </vt:variant>
      <vt:variant>
        <vt:i4>0</vt:i4>
      </vt:variant>
      <vt:variant>
        <vt:i4>5</vt:i4>
      </vt:variant>
      <vt:variant>
        <vt:lpwstr>https://pubs.rsc.org/en/content/articlelanding/2018/CP/C8CP02078G</vt:lpwstr>
      </vt:variant>
      <vt:variant>
        <vt:lpwstr>tab1fna</vt:lpwstr>
      </vt:variant>
      <vt:variant>
        <vt:i4>4128800</vt:i4>
      </vt:variant>
      <vt:variant>
        <vt:i4>57</vt:i4>
      </vt:variant>
      <vt:variant>
        <vt:i4>0</vt:i4>
      </vt:variant>
      <vt:variant>
        <vt:i4>5</vt:i4>
      </vt:variant>
      <vt:variant>
        <vt:lpwstr>https://pubs.rsc.org/en/content/articlelanding/2018/CP/C8CP02078G</vt:lpwstr>
      </vt:variant>
      <vt:variant>
        <vt:lpwstr>tab1fna</vt:lpwstr>
      </vt:variant>
      <vt:variant>
        <vt:i4>4128800</vt:i4>
      </vt:variant>
      <vt:variant>
        <vt:i4>54</vt:i4>
      </vt:variant>
      <vt:variant>
        <vt:i4>0</vt:i4>
      </vt:variant>
      <vt:variant>
        <vt:i4>5</vt:i4>
      </vt:variant>
      <vt:variant>
        <vt:lpwstr>https://pubs.rsc.org/en/content/articlelanding/2018/CP/C8CP02078G</vt:lpwstr>
      </vt:variant>
      <vt:variant>
        <vt:lpwstr>tab1fna</vt:lpwstr>
      </vt:variant>
      <vt:variant>
        <vt:i4>4128800</vt:i4>
      </vt:variant>
      <vt:variant>
        <vt:i4>51</vt:i4>
      </vt:variant>
      <vt:variant>
        <vt:i4>0</vt:i4>
      </vt:variant>
      <vt:variant>
        <vt:i4>5</vt:i4>
      </vt:variant>
      <vt:variant>
        <vt:lpwstr>https://pubs.rsc.org/en/content/articlelanding/2018/CP/C8CP02078G</vt:lpwstr>
      </vt:variant>
      <vt:variant>
        <vt:lpwstr>tab1fna</vt:lpwstr>
      </vt:variant>
      <vt:variant>
        <vt:i4>4128800</vt:i4>
      </vt:variant>
      <vt:variant>
        <vt:i4>48</vt:i4>
      </vt:variant>
      <vt:variant>
        <vt:i4>0</vt:i4>
      </vt:variant>
      <vt:variant>
        <vt:i4>5</vt:i4>
      </vt:variant>
      <vt:variant>
        <vt:lpwstr>https://pubs.rsc.org/en/content/articlelanding/2018/CP/C8CP02078G</vt:lpwstr>
      </vt:variant>
      <vt:variant>
        <vt:lpwstr>tab1fna</vt:lpwstr>
      </vt:variant>
      <vt:variant>
        <vt:i4>5898311</vt:i4>
      </vt:variant>
      <vt:variant>
        <vt:i4>45</vt:i4>
      </vt:variant>
      <vt:variant>
        <vt:i4>0</vt:i4>
      </vt:variant>
      <vt:variant>
        <vt:i4>5</vt:i4>
      </vt:variant>
      <vt:variant>
        <vt:lpwstr>https://pubs.rsc.org/en/content/articlelanding/2018/CP/C8CP02078G</vt:lpwstr>
      </vt:variant>
      <vt:variant>
        <vt:lpwstr>cit22</vt:lpwstr>
      </vt:variant>
      <vt:variant>
        <vt:i4>5898311</vt:i4>
      </vt:variant>
      <vt:variant>
        <vt:i4>42</vt:i4>
      </vt:variant>
      <vt:variant>
        <vt:i4>0</vt:i4>
      </vt:variant>
      <vt:variant>
        <vt:i4>5</vt:i4>
      </vt:variant>
      <vt:variant>
        <vt:lpwstr>https://pubs.rsc.org/en/content/articlelanding/2018/CP/C8CP02078G</vt:lpwstr>
      </vt:variant>
      <vt:variant>
        <vt:lpwstr>cit22</vt:lpwstr>
      </vt:variant>
      <vt:variant>
        <vt:i4>5898311</vt:i4>
      </vt:variant>
      <vt:variant>
        <vt:i4>39</vt:i4>
      </vt:variant>
      <vt:variant>
        <vt:i4>0</vt:i4>
      </vt:variant>
      <vt:variant>
        <vt:i4>5</vt:i4>
      </vt:variant>
      <vt:variant>
        <vt:lpwstr>https://pubs.rsc.org/en/content/articlelanding/2018/CP/C8CP02078G</vt:lpwstr>
      </vt:variant>
      <vt:variant>
        <vt:lpwstr>cit20</vt:lpwstr>
      </vt:variant>
      <vt:variant>
        <vt:i4>5832775</vt:i4>
      </vt:variant>
      <vt:variant>
        <vt:i4>36</vt:i4>
      </vt:variant>
      <vt:variant>
        <vt:i4>0</vt:i4>
      </vt:variant>
      <vt:variant>
        <vt:i4>5</vt:i4>
      </vt:variant>
      <vt:variant>
        <vt:lpwstr>https://pubs.rsc.org/en/content/articlelanding/2018/CP/C8CP02078G</vt:lpwstr>
      </vt:variant>
      <vt:variant>
        <vt:lpwstr>cit18</vt:lpwstr>
      </vt:variant>
      <vt:variant>
        <vt:i4>5832775</vt:i4>
      </vt:variant>
      <vt:variant>
        <vt:i4>33</vt:i4>
      </vt:variant>
      <vt:variant>
        <vt:i4>0</vt:i4>
      </vt:variant>
      <vt:variant>
        <vt:i4>5</vt:i4>
      </vt:variant>
      <vt:variant>
        <vt:lpwstr>https://pubs.rsc.org/en/content/articlelanding/2018/CP/C8CP02078G</vt:lpwstr>
      </vt:variant>
      <vt:variant>
        <vt:lpwstr>cit17</vt:lpwstr>
      </vt:variant>
      <vt:variant>
        <vt:i4>5832775</vt:i4>
      </vt:variant>
      <vt:variant>
        <vt:i4>30</vt:i4>
      </vt:variant>
      <vt:variant>
        <vt:i4>0</vt:i4>
      </vt:variant>
      <vt:variant>
        <vt:i4>5</vt:i4>
      </vt:variant>
      <vt:variant>
        <vt:lpwstr>https://pubs.rsc.org/en/content/articlelanding/2018/CP/C8CP02078G</vt:lpwstr>
      </vt:variant>
      <vt:variant>
        <vt:lpwstr>cit16</vt:lpwstr>
      </vt:variant>
      <vt:variant>
        <vt:i4>5832775</vt:i4>
      </vt:variant>
      <vt:variant>
        <vt:i4>27</vt:i4>
      </vt:variant>
      <vt:variant>
        <vt:i4>0</vt:i4>
      </vt:variant>
      <vt:variant>
        <vt:i4>5</vt:i4>
      </vt:variant>
      <vt:variant>
        <vt:lpwstr>https://pubs.rsc.org/en/content/articlelanding/2018/CP/C8CP02078G</vt:lpwstr>
      </vt:variant>
      <vt:variant>
        <vt:lpwstr>cit15</vt:lpwstr>
      </vt:variant>
      <vt:variant>
        <vt:i4>5832775</vt:i4>
      </vt:variant>
      <vt:variant>
        <vt:i4>24</vt:i4>
      </vt:variant>
      <vt:variant>
        <vt:i4>0</vt:i4>
      </vt:variant>
      <vt:variant>
        <vt:i4>5</vt:i4>
      </vt:variant>
      <vt:variant>
        <vt:lpwstr>https://pubs.rsc.org/en/content/articlelanding/2018/CP/C8CP02078G</vt:lpwstr>
      </vt:variant>
      <vt:variant>
        <vt:lpwstr>cit14</vt:lpwstr>
      </vt:variant>
      <vt:variant>
        <vt:i4>5832775</vt:i4>
      </vt:variant>
      <vt:variant>
        <vt:i4>21</vt:i4>
      </vt:variant>
      <vt:variant>
        <vt:i4>0</vt:i4>
      </vt:variant>
      <vt:variant>
        <vt:i4>5</vt:i4>
      </vt:variant>
      <vt:variant>
        <vt:lpwstr>https://pubs.rsc.org/en/content/articlelanding/2018/CP/C8CP02078G</vt:lpwstr>
      </vt:variant>
      <vt:variant>
        <vt:lpwstr>cit13</vt:lpwstr>
      </vt:variant>
      <vt:variant>
        <vt:i4>5832775</vt:i4>
      </vt:variant>
      <vt:variant>
        <vt:i4>18</vt:i4>
      </vt:variant>
      <vt:variant>
        <vt:i4>0</vt:i4>
      </vt:variant>
      <vt:variant>
        <vt:i4>5</vt:i4>
      </vt:variant>
      <vt:variant>
        <vt:lpwstr>https://pubs.rsc.org/en/content/articlelanding/2018/CP/C8CP02078G</vt:lpwstr>
      </vt:variant>
      <vt:variant>
        <vt:lpwstr>cit11</vt:lpwstr>
      </vt:variant>
      <vt:variant>
        <vt:i4>5832775</vt:i4>
      </vt:variant>
      <vt:variant>
        <vt:i4>15</vt:i4>
      </vt:variant>
      <vt:variant>
        <vt:i4>0</vt:i4>
      </vt:variant>
      <vt:variant>
        <vt:i4>5</vt:i4>
      </vt:variant>
      <vt:variant>
        <vt:lpwstr>https://pubs.rsc.org/en/content/articlelanding/2018/CP/C8CP02078G</vt:lpwstr>
      </vt:variant>
      <vt:variant>
        <vt:lpwstr>cit1</vt:lpwstr>
      </vt:variant>
      <vt:variant>
        <vt:i4>6094919</vt:i4>
      </vt:variant>
      <vt:variant>
        <vt:i4>12</vt:i4>
      </vt:variant>
      <vt:variant>
        <vt:i4>0</vt:i4>
      </vt:variant>
      <vt:variant>
        <vt:i4>5</vt:i4>
      </vt:variant>
      <vt:variant>
        <vt:lpwstr>https://pubs.rsc.org/en/content/articlelanding/2018/CP/C8CP02078G</vt:lpwstr>
      </vt:variant>
      <vt:variant>
        <vt:lpwstr>cit5</vt:lpwstr>
      </vt:variant>
      <vt:variant>
        <vt:i4>6029383</vt:i4>
      </vt:variant>
      <vt:variant>
        <vt:i4>9</vt:i4>
      </vt:variant>
      <vt:variant>
        <vt:i4>0</vt:i4>
      </vt:variant>
      <vt:variant>
        <vt:i4>5</vt:i4>
      </vt:variant>
      <vt:variant>
        <vt:lpwstr>https://pubs.rsc.org/en/content/articlelanding/2018/CP/C8CP02078G</vt:lpwstr>
      </vt:variant>
      <vt:variant>
        <vt:lpwstr>cit4</vt:lpwstr>
      </vt:variant>
      <vt:variant>
        <vt:i4>5832775</vt:i4>
      </vt:variant>
      <vt:variant>
        <vt:i4>6</vt:i4>
      </vt:variant>
      <vt:variant>
        <vt:i4>0</vt:i4>
      </vt:variant>
      <vt:variant>
        <vt:i4>5</vt:i4>
      </vt:variant>
      <vt:variant>
        <vt:lpwstr>https://pubs.rsc.org/en/content/articlelanding/2018/CP/C8CP02078G</vt:lpwstr>
      </vt:variant>
      <vt:variant>
        <vt:lpwstr>cit1</vt:lpwstr>
      </vt:variant>
      <vt:variant>
        <vt:i4>3604593</vt:i4>
      </vt:variant>
      <vt:variant>
        <vt:i4>3</vt:i4>
      </vt:variant>
      <vt:variant>
        <vt:i4>0</vt:i4>
      </vt:variant>
      <vt:variant>
        <vt:i4>5</vt:i4>
      </vt:variant>
      <vt:variant>
        <vt:lpwstr>http://epublications.marquette.edu/</vt:lpwstr>
      </vt:variant>
      <vt:variant>
        <vt:lpwstr/>
      </vt:variant>
      <vt:variant>
        <vt:i4>983056</vt:i4>
      </vt:variant>
      <vt:variant>
        <vt:i4>0</vt:i4>
      </vt:variant>
      <vt:variant>
        <vt:i4>0</vt:i4>
      </vt:variant>
      <vt:variant>
        <vt:i4>5</vt:i4>
      </vt:variant>
      <vt:variant>
        <vt:lpwstr>http://xlink.rsc.org/?DOI=c8cp02078g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64</cp:revision>
  <dcterms:created xsi:type="dcterms:W3CDTF">2019-09-24T17:16:00Z</dcterms:created>
  <dcterms:modified xsi:type="dcterms:W3CDTF">2019-10-11T15:07:00Z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