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4768C9" w:rsidRDefault="000A7622" w:rsidP="004768C9">
      <w:pPr>
        <w:pStyle w:val="Default"/>
        <w:spacing w:line="276" w:lineRule="auto"/>
        <w:rPr>
          <w:rFonts w:asciiTheme="minorHAnsi" w:hAnsiTheme="minorHAnsi" w:cstheme="minorHAnsi"/>
          <w:sz w:val="22"/>
          <w:szCs w:val="22"/>
        </w:rPr>
      </w:pPr>
    </w:p>
    <w:p w14:paraId="2538F7F5" w14:textId="77777777" w:rsidR="000A7622" w:rsidRPr="004768C9" w:rsidRDefault="000A7622" w:rsidP="004768C9">
      <w:pPr>
        <w:autoSpaceDE w:val="0"/>
        <w:autoSpaceDN w:val="0"/>
        <w:adjustRightInd w:val="0"/>
        <w:spacing w:line="276" w:lineRule="auto"/>
        <w:rPr>
          <w:rFonts w:cstheme="minorHAnsi"/>
          <w:b/>
          <w:bCs/>
          <w:color w:val="316192"/>
          <w:sz w:val="28"/>
          <w:szCs w:val="26"/>
        </w:rPr>
      </w:pPr>
      <w:bookmarkStart w:id="0" w:name="_Hlk505159787"/>
      <w:bookmarkStart w:id="1" w:name="_Hlk510431162"/>
      <w:r w:rsidRPr="004768C9">
        <w:rPr>
          <w:rFonts w:cstheme="minorHAnsi"/>
          <w:b/>
          <w:bCs/>
          <w:color w:val="316192"/>
          <w:sz w:val="28"/>
          <w:szCs w:val="26"/>
        </w:rPr>
        <w:t>Marquette Univ</w:t>
      </w:r>
      <w:bookmarkStart w:id="2" w:name="_GoBack"/>
      <w:bookmarkEnd w:id="2"/>
      <w:r w:rsidRPr="004768C9">
        <w:rPr>
          <w:rFonts w:cstheme="minorHAnsi"/>
          <w:b/>
          <w:bCs/>
          <w:color w:val="316192"/>
          <w:sz w:val="28"/>
          <w:szCs w:val="26"/>
        </w:rPr>
        <w:t>ersity</w:t>
      </w:r>
    </w:p>
    <w:p w14:paraId="158D4B9F" w14:textId="77777777" w:rsidR="000A7622" w:rsidRPr="004768C9" w:rsidRDefault="000A7622" w:rsidP="004768C9">
      <w:pPr>
        <w:autoSpaceDE w:val="0"/>
        <w:autoSpaceDN w:val="0"/>
        <w:adjustRightInd w:val="0"/>
        <w:spacing w:line="276" w:lineRule="auto"/>
        <w:rPr>
          <w:rFonts w:cstheme="minorHAnsi"/>
          <w:b/>
          <w:bCs/>
          <w:color w:val="316192"/>
          <w:sz w:val="40"/>
          <w:szCs w:val="36"/>
        </w:rPr>
      </w:pPr>
      <w:proofErr w:type="spellStart"/>
      <w:r w:rsidRPr="004768C9">
        <w:rPr>
          <w:rFonts w:cstheme="minorHAnsi"/>
          <w:b/>
          <w:bCs/>
          <w:color w:val="316192"/>
          <w:sz w:val="40"/>
          <w:szCs w:val="36"/>
        </w:rPr>
        <w:t>e-Publications@Marquette</w:t>
      </w:r>
      <w:proofErr w:type="spellEnd"/>
    </w:p>
    <w:p w14:paraId="689ACF87" w14:textId="77777777" w:rsidR="000A7622" w:rsidRPr="004768C9" w:rsidRDefault="000A7622" w:rsidP="004768C9">
      <w:pPr>
        <w:autoSpaceDE w:val="0"/>
        <w:autoSpaceDN w:val="0"/>
        <w:adjustRightInd w:val="0"/>
        <w:spacing w:line="276" w:lineRule="auto"/>
        <w:rPr>
          <w:rFonts w:cstheme="minorHAnsi"/>
          <w:b/>
          <w:bCs/>
          <w:i/>
          <w:iCs/>
        </w:rPr>
      </w:pPr>
    </w:p>
    <w:p w14:paraId="161853CC" w14:textId="4147E22B" w:rsidR="000A7622" w:rsidRPr="004768C9" w:rsidRDefault="009D2AA8" w:rsidP="004768C9">
      <w:pPr>
        <w:autoSpaceDE w:val="0"/>
        <w:autoSpaceDN w:val="0"/>
        <w:adjustRightInd w:val="0"/>
        <w:spacing w:line="276" w:lineRule="auto"/>
        <w:rPr>
          <w:rFonts w:cstheme="minorHAnsi"/>
          <w:b/>
          <w:bCs/>
          <w:i/>
          <w:iCs/>
          <w:sz w:val="32"/>
          <w:szCs w:val="32"/>
        </w:rPr>
      </w:pPr>
      <w:r w:rsidRPr="004768C9">
        <w:rPr>
          <w:rFonts w:cstheme="minorHAnsi"/>
          <w:b/>
          <w:bCs/>
          <w:i/>
          <w:iCs/>
          <w:sz w:val="32"/>
          <w:szCs w:val="32"/>
        </w:rPr>
        <w:t xml:space="preserve">Chemistry </w:t>
      </w:r>
      <w:r w:rsidR="000A7622" w:rsidRPr="004768C9">
        <w:rPr>
          <w:rFonts w:cstheme="minorHAnsi"/>
          <w:b/>
          <w:bCs/>
          <w:i/>
          <w:iCs/>
          <w:sz w:val="32"/>
          <w:szCs w:val="32"/>
        </w:rPr>
        <w:t>Faculty Research and Publications/</w:t>
      </w:r>
      <w:r w:rsidR="009732A9" w:rsidRPr="004768C9">
        <w:rPr>
          <w:rFonts w:cstheme="minorHAnsi"/>
          <w:b/>
          <w:bCs/>
          <w:i/>
          <w:iCs/>
          <w:sz w:val="32"/>
          <w:szCs w:val="32"/>
        </w:rPr>
        <w:t xml:space="preserve">College of </w:t>
      </w:r>
      <w:r w:rsidRPr="004768C9">
        <w:rPr>
          <w:rFonts w:cstheme="minorHAnsi"/>
          <w:b/>
          <w:bCs/>
          <w:i/>
          <w:iCs/>
          <w:sz w:val="32"/>
          <w:szCs w:val="32"/>
        </w:rPr>
        <w:t>Arts and Sciences</w:t>
      </w:r>
    </w:p>
    <w:bookmarkEnd w:id="0"/>
    <w:p w14:paraId="3E538636" w14:textId="77777777" w:rsidR="000A7622" w:rsidRPr="004768C9" w:rsidRDefault="000A7622" w:rsidP="004768C9">
      <w:pPr>
        <w:spacing w:line="276" w:lineRule="auto"/>
        <w:jc w:val="center"/>
        <w:rPr>
          <w:rFonts w:cstheme="minorHAnsi"/>
          <w:b/>
          <w:bCs/>
          <w:i/>
          <w:iCs/>
        </w:rPr>
      </w:pPr>
    </w:p>
    <w:p w14:paraId="25509BF0" w14:textId="3FC0B04E" w:rsidR="000A7622" w:rsidRPr="004768C9" w:rsidRDefault="000A7622" w:rsidP="004768C9">
      <w:pPr>
        <w:spacing w:line="276" w:lineRule="auto"/>
        <w:jc w:val="center"/>
        <w:rPr>
          <w:rFonts w:cstheme="minorHAnsi"/>
          <w:sz w:val="24"/>
          <w:szCs w:val="24"/>
        </w:rPr>
      </w:pPr>
      <w:r w:rsidRPr="004768C9">
        <w:rPr>
          <w:rFonts w:cstheme="minorHAnsi"/>
          <w:b/>
          <w:bCs/>
          <w:i/>
          <w:iCs/>
          <w:sz w:val="24"/>
          <w:szCs w:val="24"/>
        </w:rPr>
        <w:t xml:space="preserve">This paper is NOT THE PUBLISHED VERSION; </w:t>
      </w:r>
      <w:r w:rsidRPr="004768C9">
        <w:rPr>
          <w:rFonts w:cstheme="minorHAnsi"/>
          <w:b/>
          <w:bCs/>
          <w:sz w:val="24"/>
          <w:szCs w:val="24"/>
        </w:rPr>
        <w:t xml:space="preserve">but the author’s final, peer-reviewed manuscript. </w:t>
      </w:r>
      <w:r w:rsidRPr="004768C9">
        <w:rPr>
          <w:rFonts w:cstheme="minorHAnsi"/>
          <w:sz w:val="24"/>
          <w:szCs w:val="24"/>
        </w:rPr>
        <w:t xml:space="preserve">The published version may be accessed by following the link in </w:t>
      </w:r>
      <w:proofErr w:type="spellStart"/>
      <w:r w:rsidRPr="004768C9">
        <w:rPr>
          <w:rFonts w:cstheme="minorHAnsi"/>
          <w:sz w:val="24"/>
          <w:szCs w:val="24"/>
        </w:rPr>
        <w:t>th</w:t>
      </w:r>
      <w:proofErr w:type="spellEnd"/>
      <w:r w:rsidRPr="004768C9">
        <w:rPr>
          <w:rFonts w:cstheme="minorHAnsi"/>
          <w:sz w:val="24"/>
          <w:szCs w:val="24"/>
        </w:rPr>
        <w:t xml:space="preserve"> citation below.</w:t>
      </w:r>
    </w:p>
    <w:p w14:paraId="207B0342" w14:textId="77777777" w:rsidR="000A7622" w:rsidRPr="004768C9" w:rsidRDefault="000A7622" w:rsidP="004768C9">
      <w:pPr>
        <w:spacing w:line="276" w:lineRule="auto"/>
        <w:jc w:val="center"/>
        <w:rPr>
          <w:rFonts w:cstheme="minorHAnsi"/>
          <w:sz w:val="24"/>
          <w:szCs w:val="24"/>
        </w:rPr>
      </w:pPr>
    </w:p>
    <w:p w14:paraId="2A38AFE1" w14:textId="0AFAD706" w:rsidR="000A7622" w:rsidRPr="004768C9" w:rsidRDefault="00136AB2" w:rsidP="004768C9">
      <w:pPr>
        <w:spacing w:line="276" w:lineRule="auto"/>
        <w:rPr>
          <w:rFonts w:cstheme="minorHAnsi"/>
          <w:sz w:val="24"/>
          <w:szCs w:val="24"/>
        </w:rPr>
      </w:pPr>
      <w:proofErr w:type="spellStart"/>
      <w:r w:rsidRPr="00136AB2">
        <w:rPr>
          <w:rFonts w:cstheme="minorHAnsi"/>
          <w:i/>
          <w:sz w:val="24"/>
          <w:szCs w:val="24"/>
          <w:lang w:val="fr-FR"/>
        </w:rPr>
        <w:t>Angewandte</w:t>
      </w:r>
      <w:proofErr w:type="spellEnd"/>
      <w:r w:rsidRPr="00136AB2">
        <w:rPr>
          <w:rFonts w:cstheme="minorHAnsi"/>
          <w:i/>
          <w:sz w:val="24"/>
          <w:szCs w:val="24"/>
          <w:lang w:val="fr-FR"/>
        </w:rPr>
        <w:t xml:space="preserve"> </w:t>
      </w:r>
      <w:proofErr w:type="spellStart"/>
      <w:r w:rsidRPr="00136AB2">
        <w:rPr>
          <w:rFonts w:cstheme="minorHAnsi"/>
          <w:i/>
          <w:sz w:val="24"/>
          <w:szCs w:val="24"/>
          <w:lang w:val="fr-FR"/>
        </w:rPr>
        <w:t>Chemie</w:t>
      </w:r>
      <w:proofErr w:type="spellEnd"/>
      <w:r w:rsidRPr="00136AB2">
        <w:rPr>
          <w:rFonts w:cstheme="minorHAnsi"/>
          <w:i/>
          <w:sz w:val="24"/>
          <w:szCs w:val="24"/>
          <w:lang w:val="fr-FR"/>
        </w:rPr>
        <w:t xml:space="preserve"> International Edition</w:t>
      </w:r>
      <w:r w:rsidR="000A7622" w:rsidRPr="004768C9">
        <w:rPr>
          <w:rFonts w:cstheme="minorHAnsi"/>
          <w:sz w:val="24"/>
          <w:szCs w:val="24"/>
          <w:lang w:val="fr-FR"/>
        </w:rPr>
        <w:t xml:space="preserve">, Vol. </w:t>
      </w:r>
      <w:r w:rsidR="00094C79">
        <w:rPr>
          <w:rFonts w:cstheme="minorHAnsi"/>
          <w:sz w:val="24"/>
          <w:szCs w:val="24"/>
          <w:lang w:val="fr-FR"/>
        </w:rPr>
        <w:t>57</w:t>
      </w:r>
      <w:r w:rsidR="000A7622" w:rsidRPr="004768C9">
        <w:rPr>
          <w:rFonts w:cstheme="minorHAnsi"/>
          <w:sz w:val="24"/>
          <w:szCs w:val="24"/>
          <w:lang w:val="fr-FR"/>
        </w:rPr>
        <w:t xml:space="preserve">, No. </w:t>
      </w:r>
      <w:r w:rsidR="00094C79">
        <w:rPr>
          <w:rFonts w:cstheme="minorHAnsi"/>
          <w:sz w:val="24"/>
          <w:szCs w:val="24"/>
          <w:lang w:val="fr-FR"/>
        </w:rPr>
        <w:t>27</w:t>
      </w:r>
      <w:r w:rsidR="000A7622" w:rsidRPr="004768C9">
        <w:rPr>
          <w:rFonts w:cstheme="minorHAnsi"/>
          <w:sz w:val="24"/>
          <w:szCs w:val="24"/>
          <w:lang w:val="fr-FR"/>
        </w:rPr>
        <w:t xml:space="preserve"> (</w:t>
      </w:r>
      <w:r w:rsidR="00094C79">
        <w:rPr>
          <w:rFonts w:cstheme="minorHAnsi"/>
          <w:sz w:val="24"/>
          <w:szCs w:val="24"/>
          <w:lang w:val="fr-FR"/>
        </w:rPr>
        <w:t>May 7, 2018</w:t>
      </w:r>
      <w:proofErr w:type="gramStart"/>
      <w:r w:rsidR="000A7622" w:rsidRPr="004768C9">
        <w:rPr>
          <w:rFonts w:cstheme="minorHAnsi"/>
          <w:sz w:val="24"/>
          <w:szCs w:val="24"/>
          <w:lang w:val="fr-FR"/>
        </w:rPr>
        <w:t>):</w:t>
      </w:r>
      <w:proofErr w:type="gramEnd"/>
      <w:r w:rsidR="000A7622" w:rsidRPr="004768C9">
        <w:rPr>
          <w:rFonts w:cstheme="minorHAnsi"/>
          <w:sz w:val="24"/>
          <w:szCs w:val="24"/>
          <w:lang w:val="fr-FR"/>
        </w:rPr>
        <w:t xml:space="preserve"> </w:t>
      </w:r>
      <w:r w:rsidR="00D75499" w:rsidRPr="00D75499">
        <w:rPr>
          <w:rFonts w:cstheme="minorHAnsi"/>
          <w:sz w:val="24"/>
          <w:szCs w:val="24"/>
          <w:lang w:val="fr-FR"/>
        </w:rPr>
        <w:t>8189-8193</w:t>
      </w:r>
      <w:r w:rsidR="000A7622" w:rsidRPr="004768C9">
        <w:rPr>
          <w:rFonts w:cstheme="minorHAnsi"/>
          <w:sz w:val="24"/>
          <w:szCs w:val="24"/>
          <w:lang w:val="fr-FR"/>
        </w:rPr>
        <w:t xml:space="preserve">. </w:t>
      </w:r>
      <w:hyperlink r:id="rId8" w:history="1">
        <w:r w:rsidR="000A7622" w:rsidRPr="004768C9">
          <w:rPr>
            <w:rFonts w:cstheme="minorHAnsi"/>
            <w:color w:val="0563C1" w:themeColor="hyperlink"/>
            <w:sz w:val="24"/>
            <w:szCs w:val="24"/>
            <w:u w:val="single"/>
            <w:lang w:val="fr-FR"/>
          </w:rPr>
          <w:t>DOI</w:t>
        </w:r>
      </w:hyperlink>
      <w:r w:rsidR="000A7622" w:rsidRPr="004768C9">
        <w:rPr>
          <w:rFonts w:cstheme="minorHAnsi"/>
          <w:sz w:val="24"/>
          <w:szCs w:val="24"/>
          <w:lang w:val="fr-FR"/>
        </w:rPr>
        <w:t xml:space="preserve">. </w:t>
      </w:r>
      <w:r w:rsidR="000A7622" w:rsidRPr="004768C9">
        <w:rPr>
          <w:rFonts w:cstheme="minorHAnsi"/>
          <w:sz w:val="24"/>
          <w:szCs w:val="24"/>
        </w:rPr>
        <w:t xml:space="preserve">This article is © </w:t>
      </w:r>
      <w:r w:rsidR="00D75499">
        <w:rPr>
          <w:rFonts w:cstheme="minorHAnsi"/>
          <w:sz w:val="24"/>
          <w:szCs w:val="24"/>
        </w:rPr>
        <w:t>Wiley</w:t>
      </w:r>
      <w:r w:rsidR="000A7622" w:rsidRPr="004768C9">
        <w:rPr>
          <w:rFonts w:cstheme="minorHAnsi"/>
          <w:sz w:val="24"/>
          <w:szCs w:val="24"/>
        </w:rPr>
        <w:t xml:space="preserve"> and permission has been granted for this version to appear in </w:t>
      </w:r>
      <w:hyperlink r:id="rId9" w:history="1">
        <w:proofErr w:type="spellStart"/>
        <w:r w:rsidR="000A7622" w:rsidRPr="004768C9">
          <w:rPr>
            <w:rFonts w:cstheme="minorHAnsi"/>
            <w:color w:val="0563C1" w:themeColor="hyperlink"/>
            <w:sz w:val="24"/>
            <w:szCs w:val="24"/>
            <w:u w:val="single"/>
          </w:rPr>
          <w:t>e-Publications@Marquette</w:t>
        </w:r>
        <w:proofErr w:type="spellEnd"/>
      </w:hyperlink>
      <w:r w:rsidR="000A7622" w:rsidRPr="004768C9">
        <w:rPr>
          <w:rFonts w:cstheme="minorHAnsi"/>
          <w:sz w:val="24"/>
          <w:szCs w:val="24"/>
        </w:rPr>
        <w:t xml:space="preserve">. </w:t>
      </w:r>
      <w:r w:rsidR="00D75499">
        <w:rPr>
          <w:rFonts w:cstheme="minorHAnsi"/>
          <w:sz w:val="24"/>
          <w:szCs w:val="24"/>
        </w:rPr>
        <w:t>Wiley</w:t>
      </w:r>
      <w:r w:rsidR="000A7622" w:rsidRPr="004768C9">
        <w:rPr>
          <w:rFonts w:cstheme="minorHAnsi"/>
          <w:sz w:val="24"/>
          <w:szCs w:val="24"/>
        </w:rPr>
        <w:t xml:space="preserve"> does not grant permission for this article to be further copied/distributed or hosted elsewhere without the express permission from </w:t>
      </w:r>
      <w:r w:rsidR="00D75499">
        <w:rPr>
          <w:rFonts w:cstheme="minorHAnsi"/>
          <w:sz w:val="24"/>
          <w:szCs w:val="24"/>
        </w:rPr>
        <w:t>Wiley</w:t>
      </w:r>
      <w:r w:rsidR="000A7622" w:rsidRPr="004768C9">
        <w:rPr>
          <w:rFonts w:cstheme="minorHAnsi"/>
          <w:sz w:val="24"/>
          <w:szCs w:val="24"/>
        </w:rPr>
        <w:t xml:space="preserve">. </w:t>
      </w:r>
    </w:p>
    <w:p w14:paraId="40A6E4DE" w14:textId="1BF2E9EE" w:rsidR="009D2AA8" w:rsidRPr="004768C9" w:rsidRDefault="000E5EEE" w:rsidP="004768C9">
      <w:pPr>
        <w:pStyle w:val="Title"/>
        <w:spacing w:line="276" w:lineRule="auto"/>
        <w:rPr>
          <w:rFonts w:asciiTheme="minorHAnsi" w:hAnsiTheme="minorHAnsi" w:cstheme="minorHAnsi"/>
          <w:sz w:val="24"/>
          <w:szCs w:val="24"/>
        </w:rPr>
      </w:pPr>
      <w:r w:rsidRPr="004768C9">
        <w:rPr>
          <w:rFonts w:asciiTheme="minorHAnsi" w:hAnsiTheme="minorHAnsi" w:cstheme="minorHAnsi"/>
          <w:shd w:val="clear" w:color="auto" w:fill="FFFFFF"/>
        </w:rPr>
        <w:t xml:space="preserve">The Role of Torsional Dynamics on Hole and Exciton Stabilization in π‐Stacked Assemblies: Design of Rigid </w:t>
      </w:r>
      <w:proofErr w:type="spellStart"/>
      <w:r w:rsidRPr="004768C9">
        <w:rPr>
          <w:rFonts w:asciiTheme="minorHAnsi" w:hAnsiTheme="minorHAnsi" w:cstheme="minorHAnsi"/>
          <w:shd w:val="clear" w:color="auto" w:fill="FFFFFF"/>
        </w:rPr>
        <w:t>Torsionomers</w:t>
      </w:r>
      <w:proofErr w:type="spellEnd"/>
      <w:r w:rsidRPr="004768C9">
        <w:rPr>
          <w:rFonts w:asciiTheme="minorHAnsi" w:hAnsiTheme="minorHAnsi" w:cstheme="minorHAnsi"/>
          <w:shd w:val="clear" w:color="auto" w:fill="FFFFFF"/>
        </w:rPr>
        <w:t xml:space="preserve"> of a </w:t>
      </w:r>
      <w:proofErr w:type="spellStart"/>
      <w:r w:rsidRPr="004768C9">
        <w:rPr>
          <w:rFonts w:asciiTheme="minorHAnsi" w:hAnsiTheme="minorHAnsi" w:cstheme="minorHAnsi"/>
          <w:shd w:val="clear" w:color="auto" w:fill="FFFFFF"/>
        </w:rPr>
        <w:t>Cofacial</w:t>
      </w:r>
      <w:proofErr w:type="spellEnd"/>
      <w:r w:rsidRPr="004768C9">
        <w:rPr>
          <w:rFonts w:asciiTheme="minorHAnsi" w:hAnsiTheme="minorHAnsi" w:cstheme="minorHAnsi"/>
          <w:shd w:val="clear" w:color="auto" w:fill="FFFFFF"/>
        </w:rPr>
        <w:t xml:space="preserve"> </w:t>
      </w:r>
      <w:proofErr w:type="spellStart"/>
      <w:r w:rsidRPr="004768C9">
        <w:rPr>
          <w:rFonts w:asciiTheme="minorHAnsi" w:hAnsiTheme="minorHAnsi" w:cstheme="minorHAnsi"/>
          <w:shd w:val="clear" w:color="auto" w:fill="FFFFFF"/>
        </w:rPr>
        <w:t>Bifluorene</w:t>
      </w:r>
      <w:proofErr w:type="spellEnd"/>
    </w:p>
    <w:p w14:paraId="1CDDD294" w14:textId="77777777" w:rsidR="004768C9" w:rsidRPr="004768C9" w:rsidRDefault="004768C9" w:rsidP="004768C9">
      <w:pPr>
        <w:pStyle w:val="NoSpacing"/>
        <w:spacing w:line="276" w:lineRule="auto"/>
        <w:rPr>
          <w:rFonts w:cstheme="minorHAnsi"/>
          <w:sz w:val="24"/>
          <w:szCs w:val="24"/>
        </w:rPr>
      </w:pPr>
    </w:p>
    <w:p w14:paraId="44FAED4A" w14:textId="3D2DB0A1" w:rsidR="000E5EEE" w:rsidRPr="004768C9" w:rsidRDefault="000E5EEE" w:rsidP="004768C9">
      <w:pPr>
        <w:pStyle w:val="NoSpacing"/>
        <w:spacing w:line="276" w:lineRule="auto"/>
        <w:rPr>
          <w:rFonts w:cstheme="minorHAnsi"/>
          <w:sz w:val="32"/>
          <w:szCs w:val="32"/>
        </w:rPr>
      </w:pPr>
      <w:proofErr w:type="spellStart"/>
      <w:r w:rsidRPr="004768C9">
        <w:rPr>
          <w:rFonts w:cstheme="minorHAnsi"/>
          <w:sz w:val="32"/>
          <w:szCs w:val="32"/>
        </w:rPr>
        <w:t>Denan</w:t>
      </w:r>
      <w:proofErr w:type="spellEnd"/>
      <w:r w:rsidRPr="004768C9">
        <w:rPr>
          <w:rFonts w:cstheme="minorHAnsi"/>
          <w:sz w:val="32"/>
          <w:szCs w:val="32"/>
        </w:rPr>
        <w:t xml:space="preserve"> Wang</w:t>
      </w:r>
    </w:p>
    <w:p w14:paraId="3FED538F" w14:textId="43C5F6A1" w:rsidR="000E5EEE" w:rsidRPr="004768C9" w:rsidRDefault="0060386C" w:rsidP="004768C9">
      <w:pPr>
        <w:pStyle w:val="NoSpacing"/>
        <w:spacing w:line="276" w:lineRule="auto"/>
        <w:rPr>
          <w:rFonts w:cstheme="minorHAnsi"/>
          <w:sz w:val="24"/>
          <w:szCs w:val="24"/>
        </w:rPr>
      </w:pPr>
      <w:r w:rsidRPr="004768C9">
        <w:rPr>
          <w:rFonts w:cstheme="minorHAnsi"/>
          <w:sz w:val="24"/>
          <w:szCs w:val="24"/>
        </w:rPr>
        <w:t>Department of Chemistry, Marquette University, Milwaukee, WI</w:t>
      </w:r>
    </w:p>
    <w:p w14:paraId="62FF1A72" w14:textId="77777777" w:rsidR="000E5EEE" w:rsidRPr="004768C9" w:rsidRDefault="000E5EEE" w:rsidP="004768C9">
      <w:pPr>
        <w:pStyle w:val="NoSpacing"/>
        <w:spacing w:line="276" w:lineRule="auto"/>
        <w:rPr>
          <w:rFonts w:cstheme="minorHAnsi"/>
          <w:sz w:val="32"/>
          <w:szCs w:val="32"/>
        </w:rPr>
      </w:pPr>
      <w:r w:rsidRPr="004768C9">
        <w:rPr>
          <w:rFonts w:cstheme="minorHAnsi"/>
          <w:sz w:val="32"/>
          <w:szCs w:val="32"/>
        </w:rPr>
        <w:t>Maxim V. Ivanov</w:t>
      </w:r>
    </w:p>
    <w:p w14:paraId="2F68F3E6" w14:textId="77777777" w:rsidR="004768C9" w:rsidRPr="004768C9" w:rsidRDefault="004768C9" w:rsidP="004768C9">
      <w:pPr>
        <w:pStyle w:val="NoSpacing"/>
        <w:spacing w:line="276" w:lineRule="auto"/>
        <w:rPr>
          <w:rFonts w:cstheme="minorHAnsi"/>
          <w:sz w:val="24"/>
          <w:szCs w:val="24"/>
        </w:rPr>
      </w:pPr>
      <w:r w:rsidRPr="004768C9">
        <w:rPr>
          <w:rFonts w:cstheme="minorHAnsi"/>
          <w:sz w:val="24"/>
          <w:szCs w:val="24"/>
        </w:rPr>
        <w:t>Department of Chemistry, Marquette University, Milwaukee, WI</w:t>
      </w:r>
    </w:p>
    <w:p w14:paraId="3AF75E25" w14:textId="77777777" w:rsidR="000E5EEE" w:rsidRPr="004768C9" w:rsidRDefault="000E5EEE" w:rsidP="004768C9">
      <w:pPr>
        <w:pStyle w:val="NoSpacing"/>
        <w:spacing w:line="276" w:lineRule="auto"/>
        <w:rPr>
          <w:rFonts w:cstheme="minorHAnsi"/>
          <w:sz w:val="32"/>
          <w:szCs w:val="32"/>
        </w:rPr>
      </w:pPr>
      <w:r w:rsidRPr="004768C9">
        <w:rPr>
          <w:rFonts w:cstheme="minorHAnsi"/>
          <w:sz w:val="32"/>
          <w:szCs w:val="32"/>
        </w:rPr>
        <w:t xml:space="preserve">Damian </w:t>
      </w:r>
      <w:proofErr w:type="spellStart"/>
      <w:r w:rsidRPr="004768C9">
        <w:rPr>
          <w:rFonts w:cstheme="minorHAnsi"/>
          <w:sz w:val="32"/>
          <w:szCs w:val="32"/>
        </w:rPr>
        <w:t>Kokkin</w:t>
      </w:r>
      <w:proofErr w:type="spellEnd"/>
    </w:p>
    <w:p w14:paraId="5CCBB84B" w14:textId="77777777" w:rsidR="004768C9" w:rsidRPr="004768C9" w:rsidRDefault="004768C9" w:rsidP="004768C9">
      <w:pPr>
        <w:pStyle w:val="NoSpacing"/>
        <w:spacing w:line="276" w:lineRule="auto"/>
        <w:rPr>
          <w:rFonts w:cstheme="minorHAnsi"/>
          <w:sz w:val="24"/>
          <w:szCs w:val="24"/>
        </w:rPr>
      </w:pPr>
      <w:r w:rsidRPr="004768C9">
        <w:rPr>
          <w:rFonts w:cstheme="minorHAnsi"/>
          <w:sz w:val="24"/>
          <w:szCs w:val="24"/>
        </w:rPr>
        <w:t>Department of Chemistry, Marquette University, Milwaukee, WI</w:t>
      </w:r>
    </w:p>
    <w:p w14:paraId="17304C3E" w14:textId="77777777" w:rsidR="000E5EEE" w:rsidRPr="004768C9" w:rsidRDefault="000E5EEE" w:rsidP="004768C9">
      <w:pPr>
        <w:pStyle w:val="NoSpacing"/>
        <w:spacing w:line="276" w:lineRule="auto"/>
        <w:rPr>
          <w:rFonts w:cstheme="minorHAnsi"/>
          <w:sz w:val="32"/>
          <w:szCs w:val="32"/>
        </w:rPr>
      </w:pPr>
      <w:r w:rsidRPr="004768C9">
        <w:rPr>
          <w:rFonts w:cstheme="minorHAnsi"/>
          <w:sz w:val="32"/>
          <w:szCs w:val="32"/>
        </w:rPr>
        <w:t>John Loman</w:t>
      </w:r>
    </w:p>
    <w:p w14:paraId="2F9D2E2B" w14:textId="77777777" w:rsidR="004768C9" w:rsidRPr="004768C9" w:rsidRDefault="004768C9" w:rsidP="004768C9">
      <w:pPr>
        <w:pStyle w:val="NoSpacing"/>
        <w:spacing w:line="276" w:lineRule="auto"/>
        <w:rPr>
          <w:rFonts w:cstheme="minorHAnsi"/>
          <w:sz w:val="24"/>
          <w:szCs w:val="24"/>
        </w:rPr>
      </w:pPr>
      <w:r w:rsidRPr="004768C9">
        <w:rPr>
          <w:rFonts w:cstheme="minorHAnsi"/>
          <w:sz w:val="24"/>
          <w:szCs w:val="24"/>
        </w:rPr>
        <w:t>Department of Chemistry, Marquette University, Milwaukee, WI</w:t>
      </w:r>
    </w:p>
    <w:p w14:paraId="12DCF2A2" w14:textId="77777777" w:rsidR="000E5EEE" w:rsidRPr="004768C9" w:rsidRDefault="000E5EEE" w:rsidP="004768C9">
      <w:pPr>
        <w:pStyle w:val="NoSpacing"/>
        <w:spacing w:line="276" w:lineRule="auto"/>
        <w:rPr>
          <w:rFonts w:cstheme="minorHAnsi"/>
          <w:sz w:val="32"/>
          <w:szCs w:val="32"/>
        </w:rPr>
      </w:pPr>
      <w:proofErr w:type="spellStart"/>
      <w:r w:rsidRPr="004768C9">
        <w:rPr>
          <w:rFonts w:cstheme="minorHAnsi"/>
          <w:sz w:val="32"/>
          <w:szCs w:val="32"/>
        </w:rPr>
        <w:t>Jin‐Zhe</w:t>
      </w:r>
      <w:proofErr w:type="spellEnd"/>
      <w:r w:rsidRPr="004768C9">
        <w:rPr>
          <w:rFonts w:cstheme="minorHAnsi"/>
          <w:sz w:val="32"/>
          <w:szCs w:val="32"/>
        </w:rPr>
        <w:t xml:space="preserve"> Cai</w:t>
      </w:r>
    </w:p>
    <w:p w14:paraId="56B0428E" w14:textId="77777777" w:rsidR="004768C9" w:rsidRPr="004768C9" w:rsidRDefault="004768C9" w:rsidP="004768C9">
      <w:pPr>
        <w:pStyle w:val="NoSpacing"/>
        <w:spacing w:line="276" w:lineRule="auto"/>
        <w:rPr>
          <w:rFonts w:cstheme="minorHAnsi"/>
          <w:sz w:val="24"/>
          <w:szCs w:val="24"/>
        </w:rPr>
      </w:pPr>
      <w:r w:rsidRPr="004768C9">
        <w:rPr>
          <w:rFonts w:cstheme="minorHAnsi"/>
          <w:sz w:val="24"/>
          <w:szCs w:val="24"/>
        </w:rPr>
        <w:t>Department of Chemistry, Marquette University, Milwaukee, WI</w:t>
      </w:r>
    </w:p>
    <w:p w14:paraId="30AFA7C7" w14:textId="77777777" w:rsidR="000E5EEE" w:rsidRPr="004768C9" w:rsidRDefault="000E5EEE" w:rsidP="004768C9">
      <w:pPr>
        <w:pStyle w:val="NoSpacing"/>
        <w:spacing w:line="276" w:lineRule="auto"/>
        <w:rPr>
          <w:rFonts w:cstheme="minorHAnsi"/>
          <w:sz w:val="32"/>
          <w:szCs w:val="32"/>
        </w:rPr>
      </w:pPr>
      <w:r w:rsidRPr="004768C9">
        <w:rPr>
          <w:rFonts w:cstheme="minorHAnsi"/>
          <w:sz w:val="32"/>
          <w:szCs w:val="32"/>
        </w:rPr>
        <w:lastRenderedPageBreak/>
        <w:t>Scott A. Reid</w:t>
      </w:r>
    </w:p>
    <w:p w14:paraId="32C1AB90" w14:textId="77777777" w:rsidR="004768C9" w:rsidRPr="004768C9" w:rsidRDefault="004768C9" w:rsidP="004768C9">
      <w:pPr>
        <w:pStyle w:val="NoSpacing"/>
        <w:spacing w:line="276" w:lineRule="auto"/>
        <w:rPr>
          <w:rFonts w:cstheme="minorHAnsi"/>
          <w:sz w:val="24"/>
          <w:szCs w:val="24"/>
        </w:rPr>
      </w:pPr>
      <w:r w:rsidRPr="004768C9">
        <w:rPr>
          <w:rFonts w:cstheme="minorHAnsi"/>
          <w:sz w:val="24"/>
          <w:szCs w:val="24"/>
        </w:rPr>
        <w:t>Department of Chemistry, Marquette University, Milwaukee, WI</w:t>
      </w:r>
    </w:p>
    <w:p w14:paraId="61E85FE7" w14:textId="06766800" w:rsidR="009D2AA8" w:rsidRPr="004768C9" w:rsidRDefault="000E5EEE" w:rsidP="004768C9">
      <w:pPr>
        <w:pStyle w:val="NoSpacing"/>
        <w:spacing w:line="276" w:lineRule="auto"/>
        <w:rPr>
          <w:rFonts w:cstheme="minorHAnsi"/>
          <w:sz w:val="32"/>
          <w:szCs w:val="32"/>
        </w:rPr>
      </w:pPr>
      <w:r w:rsidRPr="004768C9">
        <w:rPr>
          <w:rFonts w:cstheme="minorHAnsi"/>
          <w:sz w:val="32"/>
          <w:szCs w:val="32"/>
        </w:rPr>
        <w:t>Rajendra Rathore</w:t>
      </w:r>
    </w:p>
    <w:p w14:paraId="671F0837" w14:textId="77777777" w:rsidR="004768C9" w:rsidRPr="004768C9" w:rsidRDefault="004768C9" w:rsidP="004768C9">
      <w:pPr>
        <w:pStyle w:val="NoSpacing"/>
        <w:spacing w:line="276" w:lineRule="auto"/>
        <w:rPr>
          <w:rFonts w:cstheme="minorHAnsi"/>
          <w:sz w:val="24"/>
          <w:szCs w:val="24"/>
        </w:rPr>
      </w:pPr>
      <w:r w:rsidRPr="004768C9">
        <w:rPr>
          <w:rFonts w:cstheme="minorHAnsi"/>
          <w:sz w:val="24"/>
          <w:szCs w:val="24"/>
        </w:rPr>
        <w:t>Department of Chemistry, Marquette University, Milwaukee, WI</w:t>
      </w:r>
    </w:p>
    <w:bookmarkEnd w:id="1"/>
    <w:p w14:paraId="2515BBD1" w14:textId="77777777" w:rsidR="00481E77" w:rsidRPr="004768C9" w:rsidRDefault="00481E77" w:rsidP="004768C9">
      <w:pPr>
        <w:pStyle w:val="Heading1"/>
        <w:spacing w:line="276" w:lineRule="auto"/>
        <w:rPr>
          <w:rFonts w:asciiTheme="minorHAnsi" w:hAnsiTheme="minorHAnsi" w:cstheme="minorHAnsi"/>
        </w:rPr>
      </w:pPr>
      <w:r w:rsidRPr="004768C9">
        <w:rPr>
          <w:rFonts w:asciiTheme="minorHAnsi" w:hAnsiTheme="minorHAnsi" w:cstheme="minorHAnsi"/>
        </w:rPr>
        <w:t>Abstract</w:t>
      </w:r>
    </w:p>
    <w:p w14:paraId="4DD302DD" w14:textId="77777777" w:rsidR="00481E77" w:rsidRPr="004768C9" w:rsidRDefault="00481E77" w:rsidP="004768C9">
      <w:pPr>
        <w:pStyle w:val="NormalWeb"/>
        <w:shd w:val="clear" w:color="auto" w:fill="FFFFFF"/>
        <w:spacing w:before="75" w:beforeAutospacing="0" w:after="240" w:afterAutospacing="0" w:line="276" w:lineRule="auto"/>
        <w:rPr>
          <w:rFonts w:asciiTheme="minorHAnsi" w:hAnsiTheme="minorHAnsi" w:cstheme="minorHAnsi"/>
          <w:color w:val="1C1D1E"/>
          <w:sz w:val="21"/>
          <w:szCs w:val="21"/>
        </w:rPr>
      </w:pPr>
      <w:r w:rsidRPr="004768C9">
        <w:rPr>
          <w:rFonts w:asciiTheme="minorHAnsi" w:hAnsiTheme="minorHAnsi" w:cstheme="minorHAnsi"/>
          <w:color w:val="1C1D1E"/>
          <w:sz w:val="21"/>
          <w:szCs w:val="21"/>
        </w:rPr>
        <w:t xml:space="preserve">Exciton and charge delocalization across π‐stacked assemblies is of importance in biological systems and functional polymeric materials. To examine the requirements for exciton and hole stabilization, </w:t>
      </w:r>
      <w:proofErr w:type="spellStart"/>
      <w:r w:rsidRPr="004768C9">
        <w:rPr>
          <w:rFonts w:asciiTheme="minorHAnsi" w:hAnsiTheme="minorHAnsi" w:cstheme="minorHAnsi"/>
          <w:color w:val="1C1D1E"/>
          <w:sz w:val="21"/>
          <w:szCs w:val="21"/>
        </w:rPr>
        <w:t>cofacial</w:t>
      </w:r>
      <w:proofErr w:type="spellEnd"/>
      <w:r w:rsidRPr="004768C9">
        <w:rPr>
          <w:rFonts w:asciiTheme="minorHAnsi" w:hAnsiTheme="minorHAnsi" w:cstheme="minorHAnsi"/>
          <w:color w:val="1C1D1E"/>
          <w:sz w:val="21"/>
          <w:szCs w:val="21"/>
        </w:rPr>
        <w:t xml:space="preserve"> </w:t>
      </w:r>
      <w:proofErr w:type="spellStart"/>
      <w:r w:rsidRPr="004768C9">
        <w:rPr>
          <w:rFonts w:asciiTheme="minorHAnsi" w:hAnsiTheme="minorHAnsi" w:cstheme="minorHAnsi"/>
          <w:color w:val="1C1D1E"/>
          <w:sz w:val="21"/>
          <w:szCs w:val="21"/>
        </w:rPr>
        <w:t>bifluorene</w:t>
      </w:r>
      <w:proofErr w:type="spellEnd"/>
      <w:r w:rsidRPr="004768C9">
        <w:rPr>
          <w:rFonts w:asciiTheme="minorHAnsi" w:hAnsiTheme="minorHAnsi" w:cstheme="minorHAnsi"/>
          <w:color w:val="1C1D1E"/>
          <w:sz w:val="21"/>
          <w:szCs w:val="21"/>
        </w:rPr>
        <w:t xml:space="preserve"> (</w:t>
      </w:r>
      <w:r w:rsidRPr="004768C9">
        <w:rPr>
          <w:rFonts w:asciiTheme="minorHAnsi" w:hAnsiTheme="minorHAnsi" w:cstheme="minorHAnsi"/>
          <w:b/>
          <w:bCs/>
          <w:color w:val="1C1D1E"/>
          <w:sz w:val="21"/>
          <w:szCs w:val="21"/>
        </w:rPr>
        <w:t>F</w:t>
      </w:r>
      <w:r w:rsidRPr="004768C9">
        <w:rPr>
          <w:rFonts w:asciiTheme="minorHAnsi" w:hAnsiTheme="minorHAnsi" w:cstheme="minorHAnsi"/>
          <w:color w:val="1C1D1E"/>
          <w:sz w:val="21"/>
          <w:szCs w:val="21"/>
        </w:rPr>
        <w:t xml:space="preserve">2) </w:t>
      </w:r>
      <w:proofErr w:type="spellStart"/>
      <w:r w:rsidRPr="004768C9">
        <w:rPr>
          <w:rFonts w:asciiTheme="minorHAnsi" w:hAnsiTheme="minorHAnsi" w:cstheme="minorHAnsi"/>
          <w:color w:val="1C1D1E"/>
          <w:sz w:val="21"/>
          <w:szCs w:val="21"/>
        </w:rPr>
        <w:t>torsionomers</w:t>
      </w:r>
      <w:proofErr w:type="spellEnd"/>
      <w:r w:rsidRPr="004768C9">
        <w:rPr>
          <w:rFonts w:asciiTheme="minorHAnsi" w:hAnsiTheme="minorHAnsi" w:cstheme="minorHAnsi"/>
          <w:color w:val="1C1D1E"/>
          <w:sz w:val="21"/>
          <w:szCs w:val="21"/>
        </w:rPr>
        <w:t xml:space="preserve"> were designed, synthesized, and characterized: unhindered (model) </w:t>
      </w:r>
      <w:r w:rsidRPr="004768C9">
        <w:rPr>
          <w:rFonts w:asciiTheme="minorHAnsi" w:hAnsiTheme="minorHAnsi" w:cstheme="minorHAnsi"/>
          <w:color w:val="1C1D1E"/>
          <w:sz w:val="18"/>
          <w:szCs w:val="18"/>
          <w:vertAlign w:val="superscript"/>
        </w:rPr>
        <w:t>Me</w:t>
      </w:r>
      <w:r w:rsidRPr="004768C9">
        <w:rPr>
          <w:rFonts w:asciiTheme="minorHAnsi" w:hAnsiTheme="minorHAnsi" w:cstheme="minorHAnsi"/>
          <w:b/>
          <w:bCs/>
          <w:color w:val="1C1D1E"/>
          <w:sz w:val="21"/>
          <w:szCs w:val="21"/>
        </w:rPr>
        <w:t>F</w:t>
      </w:r>
      <w:r w:rsidRPr="004768C9">
        <w:rPr>
          <w:rFonts w:asciiTheme="minorHAnsi" w:hAnsiTheme="minorHAnsi" w:cstheme="minorHAnsi"/>
          <w:color w:val="1C1D1E"/>
          <w:sz w:val="21"/>
          <w:szCs w:val="21"/>
        </w:rPr>
        <w:t>2, sterically hindered </w:t>
      </w:r>
      <w:r w:rsidRPr="004768C9">
        <w:rPr>
          <w:rFonts w:asciiTheme="minorHAnsi" w:hAnsiTheme="minorHAnsi" w:cstheme="minorHAnsi"/>
          <w:color w:val="1C1D1E"/>
          <w:sz w:val="18"/>
          <w:szCs w:val="18"/>
          <w:vertAlign w:val="superscript"/>
        </w:rPr>
        <w:t>tBu</w:t>
      </w:r>
      <w:r w:rsidRPr="004768C9">
        <w:rPr>
          <w:rFonts w:asciiTheme="minorHAnsi" w:hAnsiTheme="minorHAnsi" w:cstheme="minorHAnsi"/>
          <w:b/>
          <w:bCs/>
          <w:color w:val="1C1D1E"/>
          <w:sz w:val="21"/>
          <w:szCs w:val="21"/>
        </w:rPr>
        <w:t>F</w:t>
      </w:r>
      <w:r w:rsidRPr="004768C9">
        <w:rPr>
          <w:rFonts w:asciiTheme="minorHAnsi" w:hAnsiTheme="minorHAnsi" w:cstheme="minorHAnsi"/>
          <w:color w:val="1C1D1E"/>
          <w:sz w:val="21"/>
          <w:szCs w:val="21"/>
        </w:rPr>
        <w:t>2, and cyclophane‐like </w:t>
      </w:r>
      <w:r w:rsidRPr="004768C9">
        <w:rPr>
          <w:rFonts w:asciiTheme="minorHAnsi" w:hAnsiTheme="minorHAnsi" w:cstheme="minorHAnsi"/>
          <w:color w:val="1C1D1E"/>
          <w:sz w:val="18"/>
          <w:szCs w:val="18"/>
          <w:vertAlign w:val="superscript"/>
        </w:rPr>
        <w:t>C</w:t>
      </w:r>
      <w:r w:rsidRPr="004768C9">
        <w:rPr>
          <w:rFonts w:asciiTheme="minorHAnsi" w:hAnsiTheme="minorHAnsi" w:cstheme="minorHAnsi"/>
          <w:b/>
          <w:bCs/>
          <w:color w:val="1C1D1E"/>
          <w:sz w:val="21"/>
          <w:szCs w:val="21"/>
        </w:rPr>
        <w:t>F</w:t>
      </w:r>
      <w:r w:rsidRPr="004768C9">
        <w:rPr>
          <w:rFonts w:asciiTheme="minorHAnsi" w:hAnsiTheme="minorHAnsi" w:cstheme="minorHAnsi"/>
          <w:color w:val="1C1D1E"/>
          <w:sz w:val="21"/>
          <w:szCs w:val="21"/>
        </w:rPr>
        <w:t xml:space="preserve">2, where fluorenes are locked in a perfect sandwich orientation via two methylene linkers. This set of </w:t>
      </w:r>
      <w:proofErr w:type="spellStart"/>
      <w:r w:rsidRPr="004768C9">
        <w:rPr>
          <w:rFonts w:asciiTheme="minorHAnsi" w:hAnsiTheme="minorHAnsi" w:cstheme="minorHAnsi"/>
          <w:color w:val="1C1D1E"/>
          <w:sz w:val="21"/>
          <w:szCs w:val="21"/>
        </w:rPr>
        <w:t>bichromophores</w:t>
      </w:r>
      <w:proofErr w:type="spellEnd"/>
      <w:r w:rsidRPr="004768C9">
        <w:rPr>
          <w:rFonts w:asciiTheme="minorHAnsi" w:hAnsiTheme="minorHAnsi" w:cstheme="minorHAnsi"/>
          <w:color w:val="1C1D1E"/>
          <w:sz w:val="21"/>
          <w:szCs w:val="21"/>
        </w:rPr>
        <w:t xml:space="preserve"> with varied torsional rigidity and orbital overlap shows that exciton stabilization requires a perfect sandwich‐like arrangement, as seen by strong </w:t>
      </w:r>
      <w:proofErr w:type="spellStart"/>
      <w:r w:rsidRPr="004768C9">
        <w:rPr>
          <w:rFonts w:asciiTheme="minorHAnsi" w:hAnsiTheme="minorHAnsi" w:cstheme="minorHAnsi"/>
          <w:color w:val="1C1D1E"/>
          <w:sz w:val="21"/>
          <w:szCs w:val="21"/>
        </w:rPr>
        <w:t>excimeric</w:t>
      </w:r>
      <w:proofErr w:type="spellEnd"/>
      <w:r w:rsidRPr="004768C9">
        <w:rPr>
          <w:rFonts w:asciiTheme="minorHAnsi" w:hAnsiTheme="minorHAnsi" w:cstheme="minorHAnsi"/>
          <w:color w:val="1C1D1E"/>
          <w:sz w:val="21"/>
          <w:szCs w:val="21"/>
        </w:rPr>
        <w:t>‐like emission only in </w:t>
      </w:r>
      <w:r w:rsidRPr="004768C9">
        <w:rPr>
          <w:rFonts w:asciiTheme="minorHAnsi" w:hAnsiTheme="minorHAnsi" w:cstheme="minorHAnsi"/>
          <w:color w:val="1C1D1E"/>
          <w:sz w:val="18"/>
          <w:szCs w:val="18"/>
          <w:vertAlign w:val="superscript"/>
        </w:rPr>
        <w:t>C</w:t>
      </w:r>
      <w:r w:rsidRPr="004768C9">
        <w:rPr>
          <w:rFonts w:asciiTheme="minorHAnsi" w:hAnsiTheme="minorHAnsi" w:cstheme="minorHAnsi"/>
          <w:b/>
          <w:bCs/>
          <w:color w:val="1C1D1E"/>
          <w:sz w:val="21"/>
          <w:szCs w:val="21"/>
        </w:rPr>
        <w:t>F</w:t>
      </w:r>
      <w:r w:rsidRPr="004768C9">
        <w:rPr>
          <w:rFonts w:asciiTheme="minorHAnsi" w:hAnsiTheme="minorHAnsi" w:cstheme="minorHAnsi"/>
          <w:color w:val="1C1D1E"/>
          <w:sz w:val="21"/>
          <w:szCs w:val="21"/>
        </w:rPr>
        <w:t>2 and </w:t>
      </w:r>
      <w:r w:rsidRPr="004768C9">
        <w:rPr>
          <w:rFonts w:asciiTheme="minorHAnsi" w:hAnsiTheme="minorHAnsi" w:cstheme="minorHAnsi"/>
          <w:color w:val="1C1D1E"/>
          <w:sz w:val="18"/>
          <w:szCs w:val="18"/>
          <w:vertAlign w:val="superscript"/>
        </w:rPr>
        <w:t>Me</w:t>
      </w:r>
      <w:r w:rsidRPr="004768C9">
        <w:rPr>
          <w:rFonts w:asciiTheme="minorHAnsi" w:hAnsiTheme="minorHAnsi" w:cstheme="minorHAnsi"/>
          <w:b/>
          <w:bCs/>
          <w:color w:val="1C1D1E"/>
          <w:sz w:val="21"/>
          <w:szCs w:val="21"/>
        </w:rPr>
        <w:t>F</w:t>
      </w:r>
      <w:r w:rsidRPr="004768C9">
        <w:rPr>
          <w:rFonts w:asciiTheme="minorHAnsi" w:hAnsiTheme="minorHAnsi" w:cstheme="minorHAnsi"/>
          <w:color w:val="1C1D1E"/>
          <w:sz w:val="21"/>
          <w:szCs w:val="21"/>
        </w:rPr>
        <w:t>2. In contrast, hole delocalization is less geometrically restrictive and occurs even in sterically hindered </w:t>
      </w:r>
      <w:r w:rsidRPr="004768C9">
        <w:rPr>
          <w:rFonts w:asciiTheme="minorHAnsi" w:hAnsiTheme="minorHAnsi" w:cstheme="minorHAnsi"/>
          <w:color w:val="1C1D1E"/>
          <w:sz w:val="18"/>
          <w:szCs w:val="18"/>
          <w:vertAlign w:val="superscript"/>
        </w:rPr>
        <w:t>tBu</w:t>
      </w:r>
      <w:r w:rsidRPr="004768C9">
        <w:rPr>
          <w:rFonts w:asciiTheme="minorHAnsi" w:hAnsiTheme="minorHAnsi" w:cstheme="minorHAnsi"/>
          <w:b/>
          <w:bCs/>
          <w:color w:val="1C1D1E"/>
          <w:sz w:val="21"/>
          <w:szCs w:val="21"/>
        </w:rPr>
        <w:t>F</w:t>
      </w:r>
      <w:r w:rsidRPr="004768C9">
        <w:rPr>
          <w:rFonts w:asciiTheme="minorHAnsi" w:hAnsiTheme="minorHAnsi" w:cstheme="minorHAnsi"/>
          <w:color w:val="1C1D1E"/>
          <w:sz w:val="21"/>
          <w:szCs w:val="21"/>
        </w:rPr>
        <w:t>2, as judged by 160 mV hole stabilization and a near‐IR band in the spectrum of its cation radical. These findings underscore the diverse requirements for charge and energy delocalization across π‐stacked assemblies.</w:t>
      </w:r>
    </w:p>
    <w:p w14:paraId="3321AC22" w14:textId="77777777" w:rsidR="00481E77" w:rsidRPr="004768C9" w:rsidRDefault="00481E77" w:rsidP="004768C9">
      <w:pPr>
        <w:pStyle w:val="NormalWeb"/>
        <w:spacing w:before="75" w:beforeAutospacing="0" w:after="240" w:afterAutospacing="0" w:line="276" w:lineRule="auto"/>
        <w:rPr>
          <w:rFonts w:asciiTheme="minorHAnsi" w:hAnsiTheme="minorHAnsi" w:cstheme="minorHAnsi"/>
        </w:rPr>
      </w:pPr>
      <w:r w:rsidRPr="004768C9">
        <w:rPr>
          <w:rFonts w:asciiTheme="minorHAnsi" w:hAnsiTheme="minorHAnsi" w:cstheme="minorHAnsi"/>
        </w:rPr>
        <w:t>Charge and energy dynamics across π‐stacked assemblies is of critical importance in biological systems as well in the performance of functional materials.</w:t>
      </w:r>
      <w:hyperlink r:id="rId10" w:anchor="anie201804337-bib-0001" w:history="1">
        <w:r w:rsidRPr="004768C9">
          <w:rPr>
            <w:rStyle w:val="Hyperlink"/>
            <w:rFonts w:asciiTheme="minorHAnsi" w:eastAsiaTheme="majorEastAsia" w:hAnsiTheme="minorHAnsi" w:cstheme="minorHAnsi"/>
            <w:color w:val="000000"/>
            <w:sz w:val="18"/>
            <w:szCs w:val="18"/>
            <w:vertAlign w:val="superscript"/>
          </w:rPr>
          <w:t>1</w:t>
        </w:r>
      </w:hyperlink>
      <w:r w:rsidRPr="004768C9">
        <w:rPr>
          <w:rFonts w:asciiTheme="minorHAnsi" w:hAnsiTheme="minorHAnsi" w:cstheme="minorHAnsi"/>
          <w:sz w:val="18"/>
          <w:szCs w:val="18"/>
          <w:vertAlign w:val="superscript"/>
        </w:rPr>
        <w:t>-</w:t>
      </w:r>
      <w:hyperlink r:id="rId11" w:anchor="anie201804337-bib-0003" w:history="1">
        <w:r w:rsidRPr="004768C9">
          <w:rPr>
            <w:rStyle w:val="Hyperlink"/>
            <w:rFonts w:asciiTheme="minorHAnsi" w:eastAsiaTheme="majorEastAsia" w:hAnsiTheme="minorHAnsi" w:cstheme="minorHAnsi"/>
            <w:color w:val="000000"/>
            <w:sz w:val="18"/>
            <w:szCs w:val="18"/>
            <w:vertAlign w:val="superscript"/>
          </w:rPr>
          <w:t>3</w:t>
        </w:r>
      </w:hyperlink>
      <w:r w:rsidRPr="004768C9">
        <w:rPr>
          <w:rFonts w:asciiTheme="minorHAnsi" w:hAnsiTheme="minorHAnsi" w:cstheme="minorHAnsi"/>
        </w:rPr>
        <w:t> Various π‐stacked dimers capable of excimer formation and charge‐resonance stabilization based upon benzene,</w:t>
      </w:r>
      <w:hyperlink r:id="rId12" w:anchor="anie201804337-bib-0004" w:history="1">
        <w:r w:rsidRPr="004768C9">
          <w:rPr>
            <w:rStyle w:val="Hyperlink"/>
            <w:rFonts w:asciiTheme="minorHAnsi" w:eastAsiaTheme="majorEastAsia" w:hAnsiTheme="minorHAnsi" w:cstheme="minorHAnsi"/>
            <w:color w:val="000000"/>
            <w:sz w:val="18"/>
            <w:szCs w:val="18"/>
            <w:vertAlign w:val="superscript"/>
          </w:rPr>
          <w:t>4</w:t>
        </w:r>
      </w:hyperlink>
      <w:r w:rsidRPr="004768C9">
        <w:rPr>
          <w:rFonts w:asciiTheme="minorHAnsi" w:hAnsiTheme="minorHAnsi" w:cstheme="minorHAnsi"/>
          <w:sz w:val="18"/>
          <w:szCs w:val="18"/>
          <w:vertAlign w:val="superscript"/>
        </w:rPr>
        <w:t>-</w:t>
      </w:r>
      <w:hyperlink r:id="rId13" w:anchor="anie201804337-bib-0008" w:history="1">
        <w:r w:rsidRPr="004768C9">
          <w:rPr>
            <w:rStyle w:val="Hyperlink"/>
            <w:rFonts w:asciiTheme="minorHAnsi" w:eastAsiaTheme="majorEastAsia" w:hAnsiTheme="minorHAnsi" w:cstheme="minorHAnsi"/>
            <w:color w:val="000000"/>
            <w:sz w:val="18"/>
            <w:szCs w:val="18"/>
            <w:vertAlign w:val="superscript"/>
          </w:rPr>
          <w:t>8</w:t>
        </w:r>
      </w:hyperlink>
      <w:r w:rsidRPr="004768C9">
        <w:rPr>
          <w:rFonts w:asciiTheme="minorHAnsi" w:hAnsiTheme="minorHAnsi" w:cstheme="minorHAnsi"/>
        </w:rPr>
        <w:t> fluorene,</w:t>
      </w:r>
      <w:hyperlink r:id="rId14" w:anchor="anie201804337-bib-0009" w:history="1">
        <w:r w:rsidRPr="004768C9">
          <w:rPr>
            <w:rStyle w:val="Hyperlink"/>
            <w:rFonts w:asciiTheme="minorHAnsi" w:eastAsiaTheme="majorEastAsia" w:hAnsiTheme="minorHAnsi" w:cstheme="minorHAnsi"/>
            <w:color w:val="000000"/>
            <w:sz w:val="18"/>
            <w:szCs w:val="18"/>
            <w:vertAlign w:val="superscript"/>
          </w:rPr>
          <w:t>9</w:t>
        </w:r>
      </w:hyperlink>
      <w:r w:rsidRPr="004768C9">
        <w:rPr>
          <w:rFonts w:asciiTheme="minorHAnsi" w:hAnsiTheme="minorHAnsi" w:cstheme="minorHAnsi"/>
          <w:sz w:val="18"/>
          <w:szCs w:val="18"/>
          <w:vertAlign w:val="superscript"/>
        </w:rPr>
        <w:t>-</w:t>
      </w:r>
      <w:hyperlink r:id="rId15" w:anchor="anie201804337-bib-0012" w:history="1">
        <w:r w:rsidRPr="004768C9">
          <w:rPr>
            <w:rStyle w:val="Hyperlink"/>
            <w:rFonts w:asciiTheme="minorHAnsi" w:eastAsiaTheme="majorEastAsia" w:hAnsiTheme="minorHAnsi" w:cstheme="minorHAnsi"/>
            <w:color w:val="000000"/>
            <w:sz w:val="18"/>
            <w:szCs w:val="18"/>
            <w:vertAlign w:val="superscript"/>
          </w:rPr>
          <w:t>12</w:t>
        </w:r>
      </w:hyperlink>
      <w:r w:rsidRPr="004768C9">
        <w:rPr>
          <w:rFonts w:asciiTheme="minorHAnsi" w:hAnsiTheme="minorHAnsi" w:cstheme="minorHAnsi"/>
        </w:rPr>
        <w:t> pyrene,</w:t>
      </w:r>
      <w:hyperlink r:id="rId16" w:anchor="anie201804337-bib-0013" w:history="1">
        <w:r w:rsidRPr="004768C9">
          <w:rPr>
            <w:rStyle w:val="Hyperlink"/>
            <w:rFonts w:asciiTheme="minorHAnsi" w:eastAsiaTheme="majorEastAsia" w:hAnsiTheme="minorHAnsi" w:cstheme="minorHAnsi"/>
            <w:color w:val="000000"/>
            <w:sz w:val="18"/>
            <w:szCs w:val="18"/>
            <w:vertAlign w:val="superscript"/>
          </w:rPr>
          <w:t>13</w:t>
        </w:r>
      </w:hyperlink>
      <w:r w:rsidRPr="004768C9">
        <w:rPr>
          <w:rFonts w:asciiTheme="minorHAnsi" w:hAnsiTheme="minorHAnsi" w:cstheme="minorHAnsi"/>
          <w:sz w:val="18"/>
          <w:szCs w:val="18"/>
          <w:vertAlign w:val="superscript"/>
        </w:rPr>
        <w:t>, </w:t>
      </w:r>
      <w:hyperlink r:id="rId17" w:anchor="anie201804337-bib-0014" w:history="1">
        <w:r w:rsidRPr="004768C9">
          <w:rPr>
            <w:rStyle w:val="Hyperlink"/>
            <w:rFonts w:asciiTheme="minorHAnsi" w:eastAsiaTheme="majorEastAsia" w:hAnsiTheme="minorHAnsi" w:cstheme="minorHAnsi"/>
            <w:color w:val="000000"/>
            <w:sz w:val="18"/>
            <w:szCs w:val="18"/>
            <w:vertAlign w:val="superscript"/>
          </w:rPr>
          <w:t>14</w:t>
        </w:r>
      </w:hyperlink>
      <w:r w:rsidRPr="004768C9">
        <w:rPr>
          <w:rFonts w:asciiTheme="minorHAnsi" w:hAnsiTheme="minorHAnsi" w:cstheme="minorHAnsi"/>
        </w:rPr>
        <w:t> and other aromatic donors</w:t>
      </w:r>
      <w:hyperlink r:id="rId18" w:anchor="anie201804337-bib-0015" w:history="1">
        <w:r w:rsidRPr="004768C9">
          <w:rPr>
            <w:rStyle w:val="Hyperlink"/>
            <w:rFonts w:asciiTheme="minorHAnsi" w:eastAsiaTheme="majorEastAsia" w:hAnsiTheme="minorHAnsi" w:cstheme="minorHAnsi"/>
            <w:color w:val="000000"/>
            <w:sz w:val="18"/>
            <w:szCs w:val="18"/>
            <w:vertAlign w:val="superscript"/>
          </w:rPr>
          <w:t>15</w:t>
        </w:r>
      </w:hyperlink>
      <w:r w:rsidRPr="004768C9">
        <w:rPr>
          <w:rFonts w:asciiTheme="minorHAnsi" w:hAnsiTheme="minorHAnsi" w:cstheme="minorHAnsi"/>
          <w:sz w:val="18"/>
          <w:szCs w:val="18"/>
          <w:vertAlign w:val="superscript"/>
        </w:rPr>
        <w:t>-</w:t>
      </w:r>
      <w:hyperlink r:id="rId19" w:anchor="anie201804337-bib-0018" w:history="1">
        <w:r w:rsidRPr="004768C9">
          <w:rPr>
            <w:rStyle w:val="Hyperlink"/>
            <w:rFonts w:asciiTheme="minorHAnsi" w:eastAsiaTheme="majorEastAsia" w:hAnsiTheme="minorHAnsi" w:cstheme="minorHAnsi"/>
            <w:color w:val="000000"/>
            <w:sz w:val="18"/>
            <w:szCs w:val="18"/>
            <w:vertAlign w:val="superscript"/>
          </w:rPr>
          <w:t>18</w:t>
        </w:r>
      </w:hyperlink>
      <w:r w:rsidRPr="004768C9">
        <w:rPr>
          <w:rFonts w:asciiTheme="minorHAnsi" w:hAnsiTheme="minorHAnsi" w:cstheme="minorHAnsi"/>
        </w:rPr>
        <w:t> have served as model systems to gain fundamental insight into key factors controlling charge/energy stabilization. These studies have established that the extent of the cationic charge (that is, hole) and exciton stabilization/delocalization is dependent on the orbital overlap between the chromophores, and is optimal when the π‐stacked assembly adopts a perfect sandwich‐like arrangement, where orbital overlap and electronic coupling are at their maxima.</w:t>
      </w:r>
      <w:hyperlink r:id="rId20" w:anchor="anie201804337-bib-0010" w:history="1">
        <w:r w:rsidRPr="004768C9">
          <w:rPr>
            <w:rStyle w:val="Hyperlink"/>
            <w:rFonts w:asciiTheme="minorHAnsi" w:eastAsiaTheme="majorEastAsia" w:hAnsiTheme="minorHAnsi" w:cstheme="minorHAnsi"/>
            <w:color w:val="000000"/>
            <w:sz w:val="18"/>
            <w:szCs w:val="18"/>
            <w:vertAlign w:val="superscript"/>
          </w:rPr>
          <w:t>10</w:t>
        </w:r>
      </w:hyperlink>
      <w:r w:rsidRPr="004768C9">
        <w:rPr>
          <w:rFonts w:asciiTheme="minorHAnsi" w:hAnsiTheme="minorHAnsi" w:cstheme="minorHAnsi"/>
          <w:sz w:val="18"/>
          <w:szCs w:val="18"/>
          <w:vertAlign w:val="superscript"/>
        </w:rPr>
        <w:t>, </w:t>
      </w:r>
      <w:hyperlink r:id="rId21" w:anchor="anie201804337-bib-0011" w:history="1">
        <w:r w:rsidRPr="004768C9">
          <w:rPr>
            <w:rStyle w:val="Hyperlink"/>
            <w:rFonts w:asciiTheme="minorHAnsi" w:eastAsiaTheme="majorEastAsia" w:hAnsiTheme="minorHAnsi" w:cstheme="minorHAnsi"/>
            <w:color w:val="000000"/>
            <w:sz w:val="18"/>
            <w:szCs w:val="18"/>
            <w:vertAlign w:val="superscript"/>
          </w:rPr>
          <w:t>11</w:t>
        </w:r>
      </w:hyperlink>
    </w:p>
    <w:p w14:paraId="2DD551A5" w14:textId="77777777" w:rsidR="00481E77" w:rsidRPr="004768C9" w:rsidRDefault="00481E77" w:rsidP="004768C9">
      <w:pPr>
        <w:pStyle w:val="NormalWeb"/>
        <w:spacing w:before="75" w:beforeAutospacing="0" w:after="240" w:afterAutospacing="0" w:line="276" w:lineRule="auto"/>
        <w:rPr>
          <w:rFonts w:asciiTheme="minorHAnsi" w:hAnsiTheme="minorHAnsi" w:cstheme="minorHAnsi"/>
        </w:rPr>
      </w:pPr>
      <w:r w:rsidRPr="004768C9">
        <w:rPr>
          <w:rFonts w:asciiTheme="minorHAnsi" w:hAnsiTheme="minorHAnsi" w:cstheme="minorHAnsi"/>
        </w:rPr>
        <w:t>Building upon this work, recent studies comparing a model covalently linked fluorene dimer </w:t>
      </w:r>
      <w:r w:rsidRPr="004768C9">
        <w:rPr>
          <w:rFonts w:asciiTheme="minorHAnsi" w:hAnsiTheme="minorHAnsi" w:cstheme="minorHAnsi"/>
          <w:b/>
          <w:bCs/>
        </w:rPr>
        <w:t>F</w:t>
      </w:r>
      <w:r w:rsidRPr="004768C9">
        <w:rPr>
          <w:rFonts w:asciiTheme="minorHAnsi" w:hAnsiTheme="minorHAnsi" w:cstheme="minorHAnsi"/>
        </w:rPr>
        <w:t>2 with the van der Waals dimer of fluorene, (</w:t>
      </w:r>
      <w:r w:rsidRPr="004768C9">
        <w:rPr>
          <w:rFonts w:asciiTheme="minorHAnsi" w:hAnsiTheme="minorHAnsi" w:cstheme="minorHAnsi"/>
          <w:b/>
          <w:bCs/>
        </w:rPr>
        <w:t>F</w:t>
      </w:r>
      <w:r w:rsidRPr="004768C9">
        <w:rPr>
          <w:rFonts w:asciiTheme="minorHAnsi" w:hAnsiTheme="minorHAnsi" w:cstheme="minorHAnsi"/>
        </w:rPr>
        <w:t>)</w:t>
      </w:r>
      <w:r w:rsidRPr="004768C9">
        <w:rPr>
          <w:rFonts w:asciiTheme="minorHAnsi" w:hAnsiTheme="minorHAnsi" w:cstheme="minorHAnsi"/>
          <w:sz w:val="18"/>
          <w:szCs w:val="18"/>
          <w:vertAlign w:val="subscript"/>
        </w:rPr>
        <w:t>2</w:t>
      </w:r>
      <w:r w:rsidRPr="004768C9">
        <w:rPr>
          <w:rFonts w:asciiTheme="minorHAnsi" w:hAnsiTheme="minorHAnsi" w:cstheme="minorHAnsi"/>
        </w:rPr>
        <w:t>, have shown that the geometrical requirements for hole and exciton stabilization are distinct.</w:t>
      </w:r>
      <w:hyperlink r:id="rId22" w:anchor="anie201804337-bib-0010" w:history="1">
        <w:r w:rsidRPr="004768C9">
          <w:rPr>
            <w:rStyle w:val="Hyperlink"/>
            <w:rFonts w:asciiTheme="minorHAnsi" w:eastAsiaTheme="majorEastAsia" w:hAnsiTheme="minorHAnsi" w:cstheme="minorHAnsi"/>
            <w:color w:val="000000"/>
            <w:sz w:val="18"/>
            <w:szCs w:val="18"/>
            <w:vertAlign w:val="superscript"/>
          </w:rPr>
          <w:t>10</w:t>
        </w:r>
      </w:hyperlink>
      <w:r w:rsidRPr="004768C9">
        <w:rPr>
          <w:rFonts w:asciiTheme="minorHAnsi" w:hAnsiTheme="minorHAnsi" w:cstheme="minorHAnsi"/>
          <w:sz w:val="18"/>
          <w:szCs w:val="18"/>
          <w:vertAlign w:val="superscript"/>
        </w:rPr>
        <w:t>, </w:t>
      </w:r>
      <w:hyperlink r:id="rId23" w:anchor="anie201804337-bib-0011" w:history="1">
        <w:r w:rsidRPr="004768C9">
          <w:rPr>
            <w:rStyle w:val="Hyperlink"/>
            <w:rFonts w:asciiTheme="minorHAnsi" w:eastAsiaTheme="majorEastAsia" w:hAnsiTheme="minorHAnsi" w:cstheme="minorHAnsi"/>
            <w:color w:val="000000"/>
            <w:sz w:val="18"/>
            <w:szCs w:val="18"/>
            <w:vertAlign w:val="superscript"/>
          </w:rPr>
          <w:t>11</w:t>
        </w:r>
      </w:hyperlink>
      <w:r w:rsidRPr="004768C9">
        <w:rPr>
          <w:rFonts w:asciiTheme="minorHAnsi" w:hAnsiTheme="minorHAnsi" w:cstheme="minorHAnsi"/>
        </w:rPr>
        <w:t xml:space="preserve"> In particular, while their ionization potentials (IPs) are identical, </w:t>
      </w:r>
      <w:proofErr w:type="spellStart"/>
      <w:r w:rsidRPr="004768C9">
        <w:rPr>
          <w:rFonts w:asciiTheme="minorHAnsi" w:hAnsiTheme="minorHAnsi" w:cstheme="minorHAnsi"/>
        </w:rPr>
        <w:t>excimeric</w:t>
      </w:r>
      <w:proofErr w:type="spellEnd"/>
      <w:r w:rsidRPr="004768C9">
        <w:rPr>
          <w:rFonts w:asciiTheme="minorHAnsi" w:hAnsiTheme="minorHAnsi" w:cstheme="minorHAnsi"/>
        </w:rPr>
        <w:t xml:space="preserve"> emission at the sandwich‐like geometries is shifted to longer wavelength in </w:t>
      </w:r>
      <w:r w:rsidRPr="004768C9">
        <w:rPr>
          <w:rFonts w:asciiTheme="minorHAnsi" w:hAnsiTheme="minorHAnsi" w:cstheme="minorHAnsi"/>
          <w:b/>
          <w:bCs/>
        </w:rPr>
        <w:t>F</w:t>
      </w:r>
      <w:r w:rsidRPr="004768C9">
        <w:rPr>
          <w:rFonts w:asciiTheme="minorHAnsi" w:hAnsiTheme="minorHAnsi" w:cstheme="minorHAnsi"/>
        </w:rPr>
        <w:t>2 as compared to (</w:t>
      </w:r>
      <w:r w:rsidRPr="004768C9">
        <w:rPr>
          <w:rFonts w:asciiTheme="minorHAnsi" w:hAnsiTheme="minorHAnsi" w:cstheme="minorHAnsi"/>
          <w:b/>
          <w:bCs/>
        </w:rPr>
        <w:t>F</w:t>
      </w:r>
      <w:r w:rsidRPr="004768C9">
        <w:rPr>
          <w:rFonts w:asciiTheme="minorHAnsi" w:hAnsiTheme="minorHAnsi" w:cstheme="minorHAnsi"/>
        </w:rPr>
        <w:t>)</w:t>
      </w:r>
      <w:r w:rsidRPr="004768C9">
        <w:rPr>
          <w:rFonts w:asciiTheme="minorHAnsi" w:hAnsiTheme="minorHAnsi" w:cstheme="minorHAnsi"/>
          <w:sz w:val="18"/>
          <w:szCs w:val="18"/>
          <w:vertAlign w:val="subscript"/>
        </w:rPr>
        <w:t>2</w:t>
      </w:r>
      <w:r w:rsidRPr="004768C9">
        <w:rPr>
          <w:rFonts w:asciiTheme="minorHAnsi" w:hAnsiTheme="minorHAnsi" w:cstheme="minorHAnsi"/>
        </w:rPr>
        <w:t>. Thus, a slight displacement from the ideal overlap leads to a less stabilized excimer in (</w:t>
      </w:r>
      <w:r w:rsidRPr="004768C9">
        <w:rPr>
          <w:rFonts w:asciiTheme="minorHAnsi" w:hAnsiTheme="minorHAnsi" w:cstheme="minorHAnsi"/>
          <w:b/>
          <w:bCs/>
        </w:rPr>
        <w:t>F</w:t>
      </w:r>
      <w:r w:rsidRPr="004768C9">
        <w:rPr>
          <w:rFonts w:asciiTheme="minorHAnsi" w:hAnsiTheme="minorHAnsi" w:cstheme="minorHAnsi"/>
        </w:rPr>
        <w:t>)</w:t>
      </w:r>
      <w:r w:rsidRPr="004768C9">
        <w:rPr>
          <w:rFonts w:asciiTheme="minorHAnsi" w:hAnsiTheme="minorHAnsi" w:cstheme="minorHAnsi"/>
          <w:sz w:val="18"/>
          <w:szCs w:val="18"/>
          <w:vertAlign w:val="subscript"/>
        </w:rPr>
        <w:t>2</w:t>
      </w:r>
      <w:r w:rsidRPr="004768C9">
        <w:rPr>
          <w:rFonts w:asciiTheme="minorHAnsi" w:hAnsiTheme="minorHAnsi" w:cstheme="minorHAnsi"/>
        </w:rPr>
        <w:t>, while cation radical stabilization remains unchanged. In the same context, in covalently linked polyfluorenes (</w:t>
      </w:r>
      <w:proofErr w:type="spellStart"/>
      <w:r w:rsidRPr="004768C9">
        <w:rPr>
          <w:rFonts w:asciiTheme="minorHAnsi" w:hAnsiTheme="minorHAnsi" w:cstheme="minorHAnsi"/>
          <w:b/>
          <w:bCs/>
        </w:rPr>
        <w:t>F</w:t>
      </w:r>
      <w:r w:rsidRPr="004768C9">
        <w:rPr>
          <w:rFonts w:asciiTheme="minorHAnsi" w:hAnsiTheme="minorHAnsi" w:cstheme="minorHAnsi"/>
          <w:i/>
          <w:iCs/>
        </w:rPr>
        <w:t>n</w:t>
      </w:r>
      <w:proofErr w:type="spellEnd"/>
      <w:r w:rsidRPr="004768C9">
        <w:rPr>
          <w:rFonts w:asciiTheme="minorHAnsi" w:hAnsiTheme="minorHAnsi" w:cstheme="minorHAnsi"/>
        </w:rPr>
        <w:t>, </w:t>
      </w:r>
      <w:r w:rsidRPr="004768C9">
        <w:rPr>
          <w:rFonts w:asciiTheme="minorHAnsi" w:hAnsiTheme="minorHAnsi" w:cstheme="minorHAnsi"/>
          <w:i/>
          <w:iCs/>
        </w:rPr>
        <w:t>n</w:t>
      </w:r>
      <w:r w:rsidRPr="004768C9">
        <w:rPr>
          <w:rFonts w:asciiTheme="minorHAnsi" w:hAnsiTheme="minorHAnsi" w:cstheme="minorHAnsi"/>
        </w:rPr>
        <w:t>=2–7) the cationic charge is delocalized over multiple fluorenes,</w:t>
      </w:r>
      <w:hyperlink r:id="rId24" w:anchor="anie201804337-bib-0019" w:history="1">
        <w:r w:rsidRPr="004768C9">
          <w:rPr>
            <w:rStyle w:val="Hyperlink"/>
            <w:rFonts w:asciiTheme="minorHAnsi" w:eastAsiaTheme="majorEastAsia" w:hAnsiTheme="minorHAnsi" w:cstheme="minorHAnsi"/>
            <w:color w:val="000000"/>
            <w:sz w:val="18"/>
            <w:szCs w:val="18"/>
            <w:vertAlign w:val="superscript"/>
          </w:rPr>
          <w:t>19</w:t>
        </w:r>
      </w:hyperlink>
      <w:r w:rsidRPr="004768C9">
        <w:rPr>
          <w:rFonts w:asciiTheme="minorHAnsi" w:hAnsiTheme="minorHAnsi" w:cstheme="minorHAnsi"/>
          <w:sz w:val="18"/>
          <w:szCs w:val="18"/>
          <w:vertAlign w:val="superscript"/>
        </w:rPr>
        <w:t>, </w:t>
      </w:r>
      <w:hyperlink r:id="rId25" w:anchor="anie201804337-bib-0020" w:history="1">
        <w:r w:rsidRPr="004768C9">
          <w:rPr>
            <w:rStyle w:val="Hyperlink"/>
            <w:rFonts w:asciiTheme="minorHAnsi" w:eastAsiaTheme="majorEastAsia" w:hAnsiTheme="minorHAnsi" w:cstheme="minorHAnsi"/>
            <w:color w:val="000000"/>
            <w:sz w:val="18"/>
            <w:szCs w:val="18"/>
            <w:vertAlign w:val="superscript"/>
          </w:rPr>
          <w:t>20</w:t>
        </w:r>
      </w:hyperlink>
      <w:r w:rsidRPr="004768C9">
        <w:rPr>
          <w:rFonts w:asciiTheme="minorHAnsi" w:hAnsiTheme="minorHAnsi" w:cstheme="minorHAnsi"/>
        </w:rPr>
        <w:t> while exciton delocalization is limited to two fluorenes.</w:t>
      </w:r>
      <w:hyperlink r:id="rId26" w:anchor="anie201804337-bib-0021" w:history="1">
        <w:r w:rsidRPr="004768C9">
          <w:rPr>
            <w:rStyle w:val="Hyperlink"/>
            <w:rFonts w:asciiTheme="minorHAnsi" w:eastAsiaTheme="majorEastAsia" w:hAnsiTheme="minorHAnsi" w:cstheme="minorHAnsi"/>
            <w:color w:val="000000"/>
            <w:sz w:val="18"/>
            <w:szCs w:val="18"/>
            <w:vertAlign w:val="superscript"/>
          </w:rPr>
          <w:t>21</w:t>
        </w:r>
      </w:hyperlink>
    </w:p>
    <w:p w14:paraId="6BA9F0BE" w14:textId="77777777" w:rsidR="00481E77" w:rsidRPr="004768C9" w:rsidRDefault="00481E77" w:rsidP="004768C9">
      <w:pPr>
        <w:pStyle w:val="NormalWeb"/>
        <w:spacing w:before="75" w:beforeAutospacing="0" w:after="240" w:afterAutospacing="0" w:line="276" w:lineRule="auto"/>
        <w:rPr>
          <w:rFonts w:asciiTheme="minorHAnsi" w:hAnsiTheme="minorHAnsi" w:cstheme="minorHAnsi"/>
        </w:rPr>
      </w:pPr>
      <w:r w:rsidRPr="004768C9">
        <w:rPr>
          <w:rFonts w:asciiTheme="minorHAnsi" w:hAnsiTheme="minorHAnsi" w:cstheme="minorHAnsi"/>
        </w:rPr>
        <w:t>Importantly, the dynamics of hole and exciton transfer in </w:t>
      </w:r>
      <w:proofErr w:type="spellStart"/>
      <w:r w:rsidRPr="004768C9">
        <w:rPr>
          <w:rFonts w:asciiTheme="minorHAnsi" w:hAnsiTheme="minorHAnsi" w:cstheme="minorHAnsi"/>
          <w:b/>
          <w:bCs/>
        </w:rPr>
        <w:t>F</w:t>
      </w:r>
      <w:r w:rsidRPr="004768C9">
        <w:rPr>
          <w:rFonts w:asciiTheme="minorHAnsi" w:hAnsiTheme="minorHAnsi" w:cstheme="minorHAnsi"/>
          <w:i/>
          <w:iCs/>
        </w:rPr>
        <w:t>n</w:t>
      </w:r>
      <w:proofErr w:type="spellEnd"/>
      <w:r w:rsidRPr="004768C9">
        <w:rPr>
          <w:rFonts w:asciiTheme="minorHAnsi" w:hAnsiTheme="minorHAnsi" w:cstheme="minorHAnsi"/>
        </w:rPr>
        <w:t> is modulated by a low‐frequency torsional mode between adjacent units, as evidenced in the broad and largely unresolved band in the gas‐phase excitation spectrum of </w:t>
      </w:r>
      <w:r w:rsidRPr="004768C9">
        <w:rPr>
          <w:rFonts w:asciiTheme="minorHAnsi" w:hAnsiTheme="minorHAnsi" w:cstheme="minorHAnsi"/>
          <w:b/>
          <w:bCs/>
        </w:rPr>
        <w:t>F</w:t>
      </w:r>
      <w:r w:rsidRPr="004768C9">
        <w:rPr>
          <w:rFonts w:asciiTheme="minorHAnsi" w:hAnsiTheme="minorHAnsi" w:cstheme="minorHAnsi"/>
        </w:rPr>
        <w:t>2.</w:t>
      </w:r>
      <w:hyperlink r:id="rId27" w:anchor="anie201804337-bib-0010" w:history="1">
        <w:r w:rsidRPr="004768C9">
          <w:rPr>
            <w:rStyle w:val="Hyperlink"/>
            <w:rFonts w:asciiTheme="minorHAnsi" w:eastAsiaTheme="majorEastAsia" w:hAnsiTheme="minorHAnsi" w:cstheme="minorHAnsi"/>
            <w:color w:val="000000"/>
            <w:sz w:val="18"/>
            <w:szCs w:val="18"/>
            <w:vertAlign w:val="superscript"/>
          </w:rPr>
          <w:t>10</w:t>
        </w:r>
      </w:hyperlink>
      <w:r w:rsidRPr="004768C9">
        <w:rPr>
          <w:rFonts w:asciiTheme="minorHAnsi" w:hAnsiTheme="minorHAnsi" w:cstheme="minorHAnsi"/>
        </w:rPr>
        <w:t> Indeed, calculations show that the activation barrier for interconversion between two mirror images displaced conformers of </w:t>
      </w:r>
      <w:r w:rsidRPr="004768C9">
        <w:rPr>
          <w:rFonts w:asciiTheme="minorHAnsi" w:hAnsiTheme="minorHAnsi" w:cstheme="minorHAnsi"/>
          <w:b/>
          <w:bCs/>
        </w:rPr>
        <w:t>F</w:t>
      </w:r>
      <w:r w:rsidRPr="004768C9">
        <w:rPr>
          <w:rFonts w:asciiTheme="minorHAnsi" w:hAnsiTheme="minorHAnsi" w:cstheme="minorHAnsi"/>
        </w:rPr>
        <w:t>2 is only 3 kcal mol</w:t>
      </w:r>
      <w:r w:rsidRPr="004768C9">
        <w:rPr>
          <w:rFonts w:asciiTheme="minorHAnsi" w:hAnsiTheme="minorHAnsi" w:cstheme="minorHAnsi"/>
          <w:sz w:val="18"/>
          <w:szCs w:val="18"/>
          <w:vertAlign w:val="superscript"/>
        </w:rPr>
        <w:t>−1</w:t>
      </w:r>
      <w:r w:rsidRPr="004768C9">
        <w:rPr>
          <w:rFonts w:asciiTheme="minorHAnsi" w:hAnsiTheme="minorHAnsi" w:cstheme="minorHAnsi"/>
        </w:rPr>
        <w:t>, yet the electronic coupling along the interconversion coordinate varies between 0.0–0.3 eV (Figure </w:t>
      </w:r>
      <w:hyperlink r:id="rId28" w:anchor="anie201804337-fig-0001" w:history="1">
        <w:r w:rsidRPr="004768C9">
          <w:rPr>
            <w:rStyle w:val="Hyperlink"/>
            <w:rFonts w:asciiTheme="minorHAnsi" w:eastAsiaTheme="majorEastAsia" w:hAnsiTheme="minorHAnsi" w:cstheme="minorHAnsi"/>
            <w:b/>
            <w:bCs/>
            <w:color w:val="005274"/>
          </w:rPr>
          <w:t>1</w:t>
        </w:r>
      </w:hyperlink>
      <w:r w:rsidRPr="004768C9">
        <w:rPr>
          <w:rFonts w:asciiTheme="minorHAnsi" w:hAnsiTheme="minorHAnsi" w:cstheme="minorHAnsi"/>
        </w:rPr>
        <w:t> A).</w:t>
      </w:r>
    </w:p>
    <w:p w14:paraId="7185A600" w14:textId="0CBEE0F2" w:rsidR="00481E77" w:rsidRPr="004768C9" w:rsidRDefault="000009FE" w:rsidP="000009FE">
      <w:pPr>
        <w:spacing w:after="0" w:line="276" w:lineRule="auto"/>
        <w:rPr>
          <w:rFonts w:cstheme="minorHAnsi"/>
        </w:rPr>
      </w:pPr>
      <w:r>
        <w:rPr>
          <w:noProof/>
        </w:rPr>
        <w:drawing>
          <wp:inline distT="0" distB="0" distL="0" distR="0" wp14:anchorId="11C863AE" wp14:editId="16CD4DF0">
            <wp:extent cx="2743200" cy="2295144"/>
            <wp:effectExtent l="0" t="0" r="0" b="0"/>
            <wp:docPr id="7" name="Picture 7" descr="Figure 1 A) The electronic coupling and relative energy of F2 calculated using B1LYP40‐D3/6‐31G(d)+PCM(CH2Cl2) along the intrinsic reaction coordinate connecting two displaced conformations. The structure with the maximal coupling and energy is a transition state with the imaginary frequency (i 12.1 cm−1) corresponding to the torsional motion. B) Representation of the torsional mode in F2. Incorporation of a methylene linker (CF2) and substituents (MeF2 and tBuF2) produces various torsionomers of 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743200" cy="2295144"/>
                    </a:xfrm>
                    <a:prstGeom prst="rect">
                      <a:avLst/>
                    </a:prstGeom>
                    <a:noFill/>
                    <a:ln>
                      <a:noFill/>
                    </a:ln>
                  </pic:spPr>
                </pic:pic>
              </a:graphicData>
            </a:graphic>
          </wp:inline>
        </w:drawing>
      </w:r>
    </w:p>
    <w:p w14:paraId="1EFE40E3" w14:textId="3B2BADF5" w:rsidR="00481E77" w:rsidRPr="004768C9" w:rsidRDefault="00481E77" w:rsidP="004768C9">
      <w:pPr>
        <w:spacing w:line="276" w:lineRule="auto"/>
        <w:rPr>
          <w:rFonts w:cstheme="minorHAnsi"/>
        </w:rPr>
      </w:pPr>
      <w:r w:rsidRPr="004768C9">
        <w:rPr>
          <w:rStyle w:val="Strong"/>
          <w:rFonts w:cstheme="minorHAnsi"/>
          <w:color w:val="212121"/>
        </w:rPr>
        <w:t>Figure 1</w:t>
      </w:r>
      <w:r w:rsidR="004768C9">
        <w:rPr>
          <w:rStyle w:val="Strong"/>
          <w:rFonts w:cstheme="minorHAnsi"/>
          <w:color w:val="212121"/>
        </w:rPr>
        <w:t xml:space="preserve"> </w:t>
      </w:r>
      <w:r w:rsidRPr="004768C9">
        <w:rPr>
          <w:rFonts w:cstheme="minorHAnsi"/>
        </w:rPr>
        <w:t>A) The electronic coupling and relative energy of </w:t>
      </w:r>
      <w:r w:rsidRPr="004768C9">
        <w:rPr>
          <w:rFonts w:cstheme="minorHAnsi"/>
          <w:b/>
          <w:bCs/>
        </w:rPr>
        <w:t>F</w:t>
      </w:r>
      <w:r w:rsidRPr="004768C9">
        <w:rPr>
          <w:rFonts w:cstheme="minorHAnsi"/>
        </w:rPr>
        <w:t>2 calculated using B1LYP40‐D3/6‐31G(d)+PCM(CH</w:t>
      </w:r>
      <w:r w:rsidRPr="004768C9">
        <w:rPr>
          <w:rFonts w:cstheme="minorHAnsi"/>
          <w:sz w:val="18"/>
          <w:szCs w:val="18"/>
          <w:vertAlign w:val="subscript"/>
        </w:rPr>
        <w:t>2</w:t>
      </w:r>
      <w:r w:rsidRPr="004768C9">
        <w:rPr>
          <w:rFonts w:cstheme="minorHAnsi"/>
        </w:rPr>
        <w:t>Cl</w:t>
      </w:r>
      <w:r w:rsidRPr="004768C9">
        <w:rPr>
          <w:rFonts w:cstheme="minorHAnsi"/>
          <w:sz w:val="18"/>
          <w:szCs w:val="18"/>
          <w:vertAlign w:val="subscript"/>
        </w:rPr>
        <w:t>2</w:t>
      </w:r>
      <w:r w:rsidRPr="004768C9">
        <w:rPr>
          <w:rFonts w:cstheme="minorHAnsi"/>
        </w:rPr>
        <w:t>) along the intrinsic reaction coordinate connecting two displaced conformations. The structure with the maximal coupling and energy is a transition state with the imaginary frequency (</w:t>
      </w:r>
      <w:proofErr w:type="spellStart"/>
      <w:r w:rsidRPr="004768C9">
        <w:rPr>
          <w:rFonts w:cstheme="minorHAnsi"/>
          <w:i/>
          <w:iCs/>
        </w:rPr>
        <w:t>i</w:t>
      </w:r>
      <w:proofErr w:type="spellEnd"/>
      <w:r w:rsidRPr="004768C9">
        <w:rPr>
          <w:rFonts w:cstheme="minorHAnsi"/>
        </w:rPr>
        <w:t> 12.1 </w:t>
      </w:r>
      <w:proofErr w:type="gramStart"/>
      <w:r w:rsidRPr="004768C9">
        <w:rPr>
          <w:rFonts w:cstheme="minorHAnsi"/>
        </w:rPr>
        <w:t>cm</w:t>
      </w:r>
      <w:r w:rsidRPr="004768C9">
        <w:rPr>
          <w:rFonts w:cstheme="minorHAnsi"/>
          <w:sz w:val="18"/>
          <w:szCs w:val="18"/>
          <w:vertAlign w:val="superscript"/>
        </w:rPr>
        <w:t>−1</w:t>
      </w:r>
      <w:proofErr w:type="gramEnd"/>
      <w:r w:rsidRPr="004768C9">
        <w:rPr>
          <w:rFonts w:cstheme="minorHAnsi"/>
        </w:rPr>
        <w:t>) corresponding to the torsional motion. B) Representation of the torsional mode in </w:t>
      </w:r>
      <w:r w:rsidRPr="004768C9">
        <w:rPr>
          <w:rFonts w:cstheme="minorHAnsi"/>
          <w:b/>
          <w:bCs/>
        </w:rPr>
        <w:t>F</w:t>
      </w:r>
      <w:r w:rsidRPr="004768C9">
        <w:rPr>
          <w:rFonts w:cstheme="minorHAnsi"/>
        </w:rPr>
        <w:t>2. Incorporation of a methylene linker (</w:t>
      </w:r>
      <w:r w:rsidRPr="004768C9">
        <w:rPr>
          <w:rFonts w:cstheme="minorHAnsi"/>
          <w:sz w:val="18"/>
          <w:szCs w:val="18"/>
          <w:vertAlign w:val="superscript"/>
        </w:rPr>
        <w:t>C</w:t>
      </w:r>
      <w:r w:rsidRPr="004768C9">
        <w:rPr>
          <w:rFonts w:cstheme="minorHAnsi"/>
          <w:b/>
          <w:bCs/>
        </w:rPr>
        <w:t>F</w:t>
      </w:r>
      <w:r w:rsidRPr="004768C9">
        <w:rPr>
          <w:rFonts w:cstheme="minorHAnsi"/>
        </w:rPr>
        <w:t>2) and substituents (</w:t>
      </w:r>
      <w:r w:rsidRPr="004768C9">
        <w:rPr>
          <w:rFonts w:cstheme="minorHAnsi"/>
          <w:sz w:val="18"/>
          <w:szCs w:val="18"/>
          <w:vertAlign w:val="superscript"/>
        </w:rPr>
        <w:t>Me</w:t>
      </w:r>
      <w:r w:rsidRPr="004768C9">
        <w:rPr>
          <w:rFonts w:cstheme="minorHAnsi"/>
          <w:b/>
          <w:bCs/>
        </w:rPr>
        <w:t>F</w:t>
      </w:r>
      <w:r w:rsidRPr="004768C9">
        <w:rPr>
          <w:rFonts w:cstheme="minorHAnsi"/>
        </w:rPr>
        <w:t>2 and </w:t>
      </w:r>
      <w:r w:rsidRPr="004768C9">
        <w:rPr>
          <w:rFonts w:cstheme="minorHAnsi"/>
          <w:i/>
          <w:iCs/>
          <w:sz w:val="18"/>
          <w:szCs w:val="18"/>
          <w:vertAlign w:val="superscript"/>
        </w:rPr>
        <w:t>t</w:t>
      </w:r>
      <w:r w:rsidRPr="004768C9">
        <w:rPr>
          <w:rFonts w:cstheme="minorHAnsi"/>
          <w:sz w:val="18"/>
          <w:szCs w:val="18"/>
          <w:vertAlign w:val="superscript"/>
        </w:rPr>
        <w:t>Bu</w:t>
      </w:r>
      <w:r w:rsidRPr="004768C9">
        <w:rPr>
          <w:rFonts w:cstheme="minorHAnsi"/>
          <w:b/>
          <w:bCs/>
        </w:rPr>
        <w:t>F</w:t>
      </w:r>
      <w:r w:rsidRPr="004768C9">
        <w:rPr>
          <w:rFonts w:cstheme="minorHAnsi"/>
        </w:rPr>
        <w:t xml:space="preserve">2) produces various </w:t>
      </w:r>
      <w:proofErr w:type="spellStart"/>
      <w:r w:rsidRPr="004768C9">
        <w:rPr>
          <w:rFonts w:cstheme="minorHAnsi"/>
        </w:rPr>
        <w:t>torsionomers</w:t>
      </w:r>
      <w:proofErr w:type="spellEnd"/>
      <w:r w:rsidRPr="004768C9">
        <w:rPr>
          <w:rFonts w:cstheme="minorHAnsi"/>
        </w:rPr>
        <w:t xml:space="preserve"> of </w:t>
      </w:r>
      <w:r w:rsidRPr="004768C9">
        <w:rPr>
          <w:rFonts w:cstheme="minorHAnsi"/>
          <w:b/>
          <w:bCs/>
        </w:rPr>
        <w:t>F</w:t>
      </w:r>
      <w:r w:rsidRPr="004768C9">
        <w:rPr>
          <w:rFonts w:cstheme="minorHAnsi"/>
        </w:rPr>
        <w:t>2.</w:t>
      </w:r>
    </w:p>
    <w:p w14:paraId="1B0C0A13" w14:textId="77777777" w:rsidR="00481E77" w:rsidRPr="004768C9" w:rsidRDefault="00481E77" w:rsidP="004768C9">
      <w:pPr>
        <w:pStyle w:val="NormalWeb"/>
        <w:spacing w:before="75" w:beforeAutospacing="0" w:after="240" w:afterAutospacing="0" w:line="276" w:lineRule="auto"/>
        <w:rPr>
          <w:rFonts w:asciiTheme="minorHAnsi" w:hAnsiTheme="minorHAnsi" w:cstheme="minorHAnsi"/>
        </w:rPr>
      </w:pPr>
      <w:r w:rsidRPr="004768C9">
        <w:rPr>
          <w:rFonts w:asciiTheme="minorHAnsi" w:hAnsiTheme="minorHAnsi" w:cstheme="minorHAnsi"/>
        </w:rPr>
        <w:t xml:space="preserve">To probe the effect of </w:t>
      </w:r>
      <w:proofErr w:type="spellStart"/>
      <w:r w:rsidRPr="004768C9">
        <w:rPr>
          <w:rFonts w:asciiTheme="minorHAnsi" w:hAnsiTheme="minorHAnsi" w:cstheme="minorHAnsi"/>
        </w:rPr>
        <w:t>cofaciality</w:t>
      </w:r>
      <w:proofErr w:type="spellEnd"/>
      <w:r w:rsidRPr="004768C9">
        <w:rPr>
          <w:rFonts w:asciiTheme="minorHAnsi" w:hAnsiTheme="minorHAnsi" w:cstheme="minorHAnsi"/>
        </w:rPr>
        <w:t xml:space="preserve"> on the hole and exciton stabilization in π‐stacked systems, we synthesized three rigid </w:t>
      </w:r>
      <w:proofErr w:type="spellStart"/>
      <w:r w:rsidRPr="004768C9">
        <w:rPr>
          <w:rFonts w:asciiTheme="minorHAnsi" w:hAnsiTheme="minorHAnsi" w:cstheme="minorHAnsi"/>
        </w:rPr>
        <w:t>torsionomers</w:t>
      </w:r>
      <w:proofErr w:type="spellEnd"/>
      <w:r w:rsidRPr="004768C9">
        <w:rPr>
          <w:rFonts w:asciiTheme="minorHAnsi" w:hAnsiTheme="minorHAnsi" w:cstheme="minorHAnsi"/>
        </w:rPr>
        <w:t xml:space="preserve"> of </w:t>
      </w:r>
      <w:r w:rsidRPr="004768C9">
        <w:rPr>
          <w:rFonts w:asciiTheme="minorHAnsi" w:hAnsiTheme="minorHAnsi" w:cstheme="minorHAnsi"/>
          <w:b/>
          <w:bCs/>
        </w:rPr>
        <w:t>F</w:t>
      </w:r>
      <w:r w:rsidRPr="004768C9">
        <w:rPr>
          <w:rFonts w:asciiTheme="minorHAnsi" w:hAnsiTheme="minorHAnsi" w:cstheme="minorHAnsi"/>
        </w:rPr>
        <w:t xml:space="preserve">2, that is, </w:t>
      </w:r>
      <w:proofErr w:type="spellStart"/>
      <w:r w:rsidRPr="004768C9">
        <w:rPr>
          <w:rFonts w:asciiTheme="minorHAnsi" w:hAnsiTheme="minorHAnsi" w:cstheme="minorHAnsi"/>
        </w:rPr>
        <w:t>cofacial</w:t>
      </w:r>
      <w:proofErr w:type="spellEnd"/>
      <w:r w:rsidRPr="004768C9">
        <w:rPr>
          <w:rFonts w:asciiTheme="minorHAnsi" w:hAnsiTheme="minorHAnsi" w:cstheme="minorHAnsi"/>
        </w:rPr>
        <w:t xml:space="preserve"> </w:t>
      </w:r>
      <w:proofErr w:type="spellStart"/>
      <w:r w:rsidRPr="004768C9">
        <w:rPr>
          <w:rFonts w:asciiTheme="minorHAnsi" w:hAnsiTheme="minorHAnsi" w:cstheme="minorHAnsi"/>
        </w:rPr>
        <w:t>bifluorenes</w:t>
      </w:r>
      <w:proofErr w:type="spellEnd"/>
      <w:r w:rsidRPr="004768C9">
        <w:rPr>
          <w:rFonts w:asciiTheme="minorHAnsi" w:hAnsiTheme="minorHAnsi" w:cstheme="minorHAnsi"/>
        </w:rPr>
        <w:t xml:space="preserve"> that differ by the extent of their </w:t>
      </w:r>
      <w:proofErr w:type="spellStart"/>
      <w:r w:rsidRPr="004768C9">
        <w:rPr>
          <w:rFonts w:asciiTheme="minorHAnsi" w:hAnsiTheme="minorHAnsi" w:cstheme="minorHAnsi"/>
        </w:rPr>
        <w:t>cofaciality</w:t>
      </w:r>
      <w:proofErr w:type="spellEnd"/>
      <w:r w:rsidRPr="004768C9">
        <w:rPr>
          <w:rFonts w:asciiTheme="minorHAnsi" w:hAnsiTheme="minorHAnsi" w:cstheme="minorHAnsi"/>
        </w:rPr>
        <w:t xml:space="preserve"> along the torsional coordinate via methylene linkers or substituents (Figure </w:t>
      </w:r>
      <w:hyperlink r:id="rId30" w:anchor="anie201804337-fig-0001" w:history="1">
        <w:r w:rsidRPr="004768C9">
          <w:rPr>
            <w:rStyle w:val="Hyperlink"/>
            <w:rFonts w:asciiTheme="minorHAnsi" w:eastAsiaTheme="majorEastAsia" w:hAnsiTheme="minorHAnsi" w:cstheme="minorHAnsi"/>
            <w:b/>
            <w:bCs/>
            <w:color w:val="005274"/>
          </w:rPr>
          <w:t>1</w:t>
        </w:r>
      </w:hyperlink>
      <w:r w:rsidRPr="004768C9">
        <w:rPr>
          <w:rFonts w:asciiTheme="minorHAnsi" w:hAnsiTheme="minorHAnsi" w:cstheme="minorHAnsi"/>
        </w:rPr>
        <w:t xml:space="preserve"> B). In a cyclophane‐like </w:t>
      </w:r>
      <w:proofErr w:type="spellStart"/>
      <w:r w:rsidRPr="004768C9">
        <w:rPr>
          <w:rFonts w:asciiTheme="minorHAnsi" w:hAnsiTheme="minorHAnsi" w:cstheme="minorHAnsi"/>
        </w:rPr>
        <w:t>bifluorene</w:t>
      </w:r>
      <w:proofErr w:type="spellEnd"/>
      <w:r w:rsidRPr="004768C9">
        <w:rPr>
          <w:rFonts w:asciiTheme="minorHAnsi" w:hAnsiTheme="minorHAnsi" w:cstheme="minorHAnsi"/>
        </w:rPr>
        <w:t> </w:t>
      </w:r>
      <w:r w:rsidRPr="004768C9">
        <w:rPr>
          <w:rFonts w:asciiTheme="minorHAnsi" w:hAnsiTheme="minorHAnsi" w:cstheme="minorHAnsi"/>
          <w:sz w:val="18"/>
          <w:szCs w:val="18"/>
          <w:vertAlign w:val="superscript"/>
        </w:rPr>
        <w:t>C</w:t>
      </w:r>
      <w:r w:rsidRPr="004768C9">
        <w:rPr>
          <w:rFonts w:asciiTheme="minorHAnsi" w:hAnsiTheme="minorHAnsi" w:cstheme="minorHAnsi"/>
          <w:b/>
          <w:bCs/>
        </w:rPr>
        <w:t>F</w:t>
      </w:r>
      <w:r w:rsidRPr="004768C9">
        <w:rPr>
          <w:rFonts w:asciiTheme="minorHAnsi" w:hAnsiTheme="minorHAnsi" w:cstheme="minorHAnsi"/>
        </w:rPr>
        <w:t>2, a pair of four‐methylene linkers ensures that the relative arrangement of fluorenes is nearly identical to that found in the excimer and dimer cation radical of unsubstituted </w:t>
      </w:r>
      <w:r w:rsidRPr="004768C9">
        <w:rPr>
          <w:rFonts w:asciiTheme="minorHAnsi" w:hAnsiTheme="minorHAnsi" w:cstheme="minorHAnsi"/>
          <w:b/>
          <w:bCs/>
        </w:rPr>
        <w:t>F</w:t>
      </w:r>
      <w:r w:rsidRPr="004768C9">
        <w:rPr>
          <w:rFonts w:asciiTheme="minorHAnsi" w:hAnsiTheme="minorHAnsi" w:cstheme="minorHAnsi"/>
        </w:rPr>
        <w:t>2. In contrast, bulky </w:t>
      </w:r>
      <w:proofErr w:type="spellStart"/>
      <w:r w:rsidRPr="004768C9">
        <w:rPr>
          <w:rFonts w:asciiTheme="minorHAnsi" w:hAnsiTheme="minorHAnsi" w:cstheme="minorHAnsi"/>
          <w:i/>
          <w:iCs/>
        </w:rPr>
        <w:t>t</w:t>
      </w:r>
      <w:r w:rsidRPr="004768C9">
        <w:rPr>
          <w:rFonts w:asciiTheme="minorHAnsi" w:hAnsiTheme="minorHAnsi" w:cstheme="minorHAnsi"/>
        </w:rPr>
        <w:t>Bu</w:t>
      </w:r>
      <w:proofErr w:type="spellEnd"/>
      <w:r w:rsidRPr="004768C9">
        <w:rPr>
          <w:rFonts w:asciiTheme="minorHAnsi" w:hAnsiTheme="minorHAnsi" w:cstheme="minorHAnsi"/>
        </w:rPr>
        <w:t xml:space="preserve"> groups in </w:t>
      </w:r>
      <w:r w:rsidRPr="004768C9">
        <w:rPr>
          <w:rFonts w:asciiTheme="minorHAnsi" w:hAnsiTheme="minorHAnsi" w:cstheme="minorHAnsi"/>
          <w:i/>
          <w:iCs/>
          <w:sz w:val="18"/>
          <w:szCs w:val="18"/>
          <w:vertAlign w:val="superscript"/>
        </w:rPr>
        <w:t>t</w:t>
      </w:r>
      <w:r w:rsidRPr="004768C9">
        <w:rPr>
          <w:rFonts w:asciiTheme="minorHAnsi" w:hAnsiTheme="minorHAnsi" w:cstheme="minorHAnsi"/>
          <w:sz w:val="18"/>
          <w:szCs w:val="18"/>
          <w:vertAlign w:val="superscript"/>
        </w:rPr>
        <w:t>Bu</w:t>
      </w:r>
      <w:r w:rsidRPr="004768C9">
        <w:rPr>
          <w:rFonts w:asciiTheme="minorHAnsi" w:hAnsiTheme="minorHAnsi" w:cstheme="minorHAnsi"/>
          <w:b/>
          <w:bCs/>
        </w:rPr>
        <w:t>F</w:t>
      </w:r>
      <w:r w:rsidRPr="004768C9">
        <w:rPr>
          <w:rFonts w:asciiTheme="minorHAnsi" w:hAnsiTheme="minorHAnsi" w:cstheme="minorHAnsi"/>
        </w:rPr>
        <w:t xml:space="preserve">2 guarantee that the sandwich‐like arrangement is highly energetically unfavorable owing to increased steric hindrance. We then compare the redox and optoelectronic properties of the two </w:t>
      </w:r>
      <w:proofErr w:type="spellStart"/>
      <w:r w:rsidRPr="004768C9">
        <w:rPr>
          <w:rFonts w:asciiTheme="minorHAnsi" w:hAnsiTheme="minorHAnsi" w:cstheme="minorHAnsi"/>
        </w:rPr>
        <w:t>torsionomers</w:t>
      </w:r>
      <w:proofErr w:type="spellEnd"/>
      <w:r w:rsidRPr="004768C9">
        <w:rPr>
          <w:rFonts w:asciiTheme="minorHAnsi" w:hAnsiTheme="minorHAnsi" w:cstheme="minorHAnsi"/>
        </w:rPr>
        <w:t xml:space="preserve"> with those of model monomeric </w:t>
      </w:r>
      <w:r w:rsidRPr="004768C9">
        <w:rPr>
          <w:rFonts w:asciiTheme="minorHAnsi" w:hAnsiTheme="minorHAnsi" w:cstheme="minorHAnsi"/>
          <w:sz w:val="18"/>
          <w:szCs w:val="18"/>
          <w:vertAlign w:val="superscript"/>
        </w:rPr>
        <w:t>Me</w:t>
      </w:r>
      <w:r w:rsidRPr="004768C9">
        <w:rPr>
          <w:rFonts w:asciiTheme="minorHAnsi" w:hAnsiTheme="minorHAnsi" w:cstheme="minorHAnsi"/>
          <w:b/>
          <w:bCs/>
        </w:rPr>
        <w:t>F</w:t>
      </w:r>
      <w:r w:rsidRPr="004768C9">
        <w:rPr>
          <w:rFonts w:asciiTheme="minorHAnsi" w:hAnsiTheme="minorHAnsi" w:cstheme="minorHAnsi"/>
        </w:rPr>
        <w:t>1/</w:t>
      </w:r>
      <w:r w:rsidRPr="004768C9">
        <w:rPr>
          <w:rFonts w:asciiTheme="minorHAnsi" w:hAnsiTheme="minorHAnsi" w:cstheme="minorHAnsi"/>
          <w:i/>
          <w:iCs/>
          <w:sz w:val="18"/>
          <w:szCs w:val="18"/>
          <w:vertAlign w:val="superscript"/>
        </w:rPr>
        <w:t>t</w:t>
      </w:r>
      <w:r w:rsidRPr="004768C9">
        <w:rPr>
          <w:rFonts w:asciiTheme="minorHAnsi" w:hAnsiTheme="minorHAnsi" w:cstheme="minorHAnsi"/>
          <w:sz w:val="18"/>
          <w:szCs w:val="18"/>
          <w:vertAlign w:val="superscript"/>
        </w:rPr>
        <w:t>Bu</w:t>
      </w:r>
      <w:r w:rsidRPr="004768C9">
        <w:rPr>
          <w:rFonts w:asciiTheme="minorHAnsi" w:hAnsiTheme="minorHAnsi" w:cstheme="minorHAnsi"/>
          <w:b/>
          <w:bCs/>
        </w:rPr>
        <w:t>F</w:t>
      </w:r>
      <w:r w:rsidRPr="004768C9">
        <w:rPr>
          <w:rFonts w:asciiTheme="minorHAnsi" w:hAnsiTheme="minorHAnsi" w:cstheme="minorHAnsi"/>
        </w:rPr>
        <w:t>1 and model bichromophoric </w:t>
      </w:r>
      <w:r w:rsidRPr="004768C9">
        <w:rPr>
          <w:rFonts w:asciiTheme="minorHAnsi" w:hAnsiTheme="minorHAnsi" w:cstheme="minorHAnsi"/>
          <w:sz w:val="18"/>
          <w:szCs w:val="18"/>
          <w:vertAlign w:val="superscript"/>
        </w:rPr>
        <w:t>Me</w:t>
      </w:r>
      <w:r w:rsidRPr="004768C9">
        <w:rPr>
          <w:rFonts w:asciiTheme="minorHAnsi" w:hAnsiTheme="minorHAnsi" w:cstheme="minorHAnsi"/>
          <w:b/>
          <w:bCs/>
        </w:rPr>
        <w:t>F</w:t>
      </w:r>
      <w:r w:rsidRPr="004768C9">
        <w:rPr>
          <w:rFonts w:asciiTheme="minorHAnsi" w:hAnsiTheme="minorHAnsi" w:cstheme="minorHAnsi"/>
        </w:rPr>
        <w:t>2, the geometrical properties of which are nearly identical to those of unsubstituted </w:t>
      </w:r>
      <w:r w:rsidRPr="004768C9">
        <w:rPr>
          <w:rFonts w:asciiTheme="minorHAnsi" w:hAnsiTheme="minorHAnsi" w:cstheme="minorHAnsi"/>
          <w:b/>
          <w:bCs/>
        </w:rPr>
        <w:t>F</w:t>
      </w:r>
      <w:r w:rsidRPr="004768C9">
        <w:rPr>
          <w:rFonts w:asciiTheme="minorHAnsi" w:hAnsiTheme="minorHAnsi" w:cstheme="minorHAnsi"/>
        </w:rPr>
        <w:t>2.</w:t>
      </w:r>
    </w:p>
    <w:p w14:paraId="37EB4AED" w14:textId="77777777" w:rsidR="00481E77" w:rsidRPr="004768C9" w:rsidRDefault="00481E77" w:rsidP="004768C9">
      <w:pPr>
        <w:pStyle w:val="NormalWeb"/>
        <w:spacing w:before="75" w:beforeAutospacing="0" w:after="240" w:afterAutospacing="0" w:line="276" w:lineRule="auto"/>
        <w:rPr>
          <w:rFonts w:asciiTheme="minorHAnsi" w:hAnsiTheme="minorHAnsi" w:cstheme="minorHAnsi"/>
        </w:rPr>
      </w:pPr>
      <w:r w:rsidRPr="004768C9">
        <w:rPr>
          <w:rFonts w:asciiTheme="minorHAnsi" w:hAnsiTheme="minorHAnsi" w:cstheme="minorHAnsi"/>
        </w:rPr>
        <w:t xml:space="preserve">The </w:t>
      </w:r>
      <w:proofErr w:type="spellStart"/>
      <w:r w:rsidRPr="004768C9">
        <w:rPr>
          <w:rFonts w:asciiTheme="minorHAnsi" w:hAnsiTheme="minorHAnsi" w:cstheme="minorHAnsi"/>
        </w:rPr>
        <w:t>bifluorene</w:t>
      </w:r>
      <w:proofErr w:type="spellEnd"/>
      <w:r w:rsidRPr="004768C9">
        <w:rPr>
          <w:rFonts w:asciiTheme="minorHAnsi" w:hAnsiTheme="minorHAnsi" w:cstheme="minorHAnsi"/>
        </w:rPr>
        <w:t> </w:t>
      </w:r>
      <w:r w:rsidRPr="004768C9">
        <w:rPr>
          <w:rFonts w:asciiTheme="minorHAnsi" w:hAnsiTheme="minorHAnsi" w:cstheme="minorHAnsi"/>
          <w:sz w:val="18"/>
          <w:szCs w:val="18"/>
          <w:vertAlign w:val="superscript"/>
        </w:rPr>
        <w:t>R</w:t>
      </w:r>
      <w:r w:rsidRPr="004768C9">
        <w:rPr>
          <w:rFonts w:asciiTheme="minorHAnsi" w:hAnsiTheme="minorHAnsi" w:cstheme="minorHAnsi"/>
          <w:b/>
          <w:bCs/>
        </w:rPr>
        <w:t>F</w:t>
      </w:r>
      <w:r w:rsidRPr="004768C9">
        <w:rPr>
          <w:rFonts w:asciiTheme="minorHAnsi" w:hAnsiTheme="minorHAnsi" w:cstheme="minorHAnsi"/>
        </w:rPr>
        <w:t>2</w:t>
      </w:r>
      <w:r w:rsidRPr="004768C9">
        <w:rPr>
          <w:rFonts w:asciiTheme="minorHAnsi" w:hAnsiTheme="minorHAnsi" w:cstheme="minorHAnsi"/>
          <w:b/>
          <w:bCs/>
        </w:rPr>
        <w:t>H</w:t>
      </w:r>
      <w:r w:rsidRPr="004768C9">
        <w:rPr>
          <w:rFonts w:asciiTheme="minorHAnsi" w:hAnsiTheme="minorHAnsi" w:cstheme="minorHAnsi"/>
        </w:rPr>
        <w:t>2 precursor was generated by the condensation reaction between readily available</w:t>
      </w:r>
      <w:hyperlink r:id="rId31" w:anchor="anie201804337-bib-0022" w:history="1">
        <w:r w:rsidRPr="004768C9">
          <w:rPr>
            <w:rStyle w:val="Hyperlink"/>
            <w:rFonts w:asciiTheme="minorHAnsi" w:eastAsiaTheme="majorEastAsia" w:hAnsiTheme="minorHAnsi" w:cstheme="minorHAnsi"/>
            <w:color w:val="000000"/>
            <w:sz w:val="18"/>
            <w:szCs w:val="18"/>
            <w:vertAlign w:val="superscript"/>
          </w:rPr>
          <w:t>22</w:t>
        </w:r>
      </w:hyperlink>
      <w:r w:rsidRPr="004768C9">
        <w:rPr>
          <w:rFonts w:asciiTheme="minorHAnsi" w:hAnsiTheme="minorHAnsi" w:cstheme="minorHAnsi"/>
          <w:sz w:val="18"/>
          <w:szCs w:val="18"/>
          <w:vertAlign w:val="superscript"/>
        </w:rPr>
        <w:t>, </w:t>
      </w:r>
      <w:hyperlink r:id="rId32" w:anchor="anie201804337-bib-0023" w:history="1">
        <w:r w:rsidRPr="004768C9">
          <w:rPr>
            <w:rStyle w:val="Hyperlink"/>
            <w:rFonts w:asciiTheme="minorHAnsi" w:eastAsiaTheme="majorEastAsia" w:hAnsiTheme="minorHAnsi" w:cstheme="minorHAnsi"/>
            <w:color w:val="000000"/>
            <w:sz w:val="18"/>
            <w:szCs w:val="18"/>
            <w:vertAlign w:val="superscript"/>
          </w:rPr>
          <w:t>23</w:t>
        </w:r>
      </w:hyperlink>
      <w:r w:rsidRPr="004768C9">
        <w:rPr>
          <w:rFonts w:asciiTheme="minorHAnsi" w:hAnsiTheme="minorHAnsi" w:cstheme="minorHAnsi"/>
        </w:rPr>
        <w:t> </w:t>
      </w:r>
      <w:r w:rsidRPr="004768C9">
        <w:rPr>
          <w:rFonts w:asciiTheme="minorHAnsi" w:hAnsiTheme="minorHAnsi" w:cstheme="minorHAnsi"/>
          <w:sz w:val="18"/>
          <w:szCs w:val="18"/>
          <w:vertAlign w:val="superscript"/>
        </w:rPr>
        <w:t>R</w:t>
      </w:r>
      <w:r w:rsidRPr="004768C9">
        <w:rPr>
          <w:rFonts w:asciiTheme="minorHAnsi" w:hAnsiTheme="minorHAnsi" w:cstheme="minorHAnsi"/>
          <w:b/>
          <w:bCs/>
        </w:rPr>
        <w:t>F</w:t>
      </w:r>
      <w:r w:rsidRPr="004768C9">
        <w:rPr>
          <w:rFonts w:asciiTheme="minorHAnsi" w:hAnsiTheme="minorHAnsi" w:cstheme="minorHAnsi"/>
        </w:rPr>
        <w:t> and 0.5 equivalent of paraformaldehyde with potassium </w:t>
      </w:r>
      <w:r w:rsidRPr="004768C9">
        <w:rPr>
          <w:rFonts w:asciiTheme="minorHAnsi" w:hAnsiTheme="minorHAnsi" w:cstheme="minorHAnsi"/>
          <w:i/>
          <w:iCs/>
        </w:rPr>
        <w:t>tert</w:t>
      </w:r>
      <w:r w:rsidRPr="004768C9">
        <w:rPr>
          <w:rFonts w:asciiTheme="minorHAnsi" w:hAnsiTheme="minorHAnsi" w:cstheme="minorHAnsi"/>
        </w:rPr>
        <w:t>‐butyl oxide catalyst (Scheme </w:t>
      </w:r>
      <w:hyperlink r:id="rId33" w:anchor="anie201804337-fig-5001" w:history="1">
        <w:r w:rsidRPr="004768C9">
          <w:rPr>
            <w:rStyle w:val="Hyperlink"/>
            <w:rFonts w:asciiTheme="minorHAnsi" w:eastAsiaTheme="majorEastAsia" w:hAnsiTheme="minorHAnsi" w:cstheme="minorHAnsi"/>
            <w:b/>
            <w:bCs/>
            <w:color w:val="005274"/>
          </w:rPr>
          <w:t>1</w:t>
        </w:r>
      </w:hyperlink>
      <w:r w:rsidRPr="004768C9">
        <w:rPr>
          <w:rFonts w:asciiTheme="minorHAnsi" w:hAnsiTheme="minorHAnsi" w:cstheme="minorHAnsi"/>
        </w:rPr>
        <w:t> A). Desired bi‐ and mono‐fluorenes (that is, </w:t>
      </w:r>
      <w:r w:rsidRPr="004768C9">
        <w:rPr>
          <w:rFonts w:asciiTheme="minorHAnsi" w:hAnsiTheme="minorHAnsi" w:cstheme="minorHAnsi"/>
          <w:sz w:val="18"/>
          <w:szCs w:val="18"/>
          <w:vertAlign w:val="superscript"/>
        </w:rPr>
        <w:t>R</w:t>
      </w:r>
      <w:r w:rsidRPr="004768C9">
        <w:rPr>
          <w:rFonts w:asciiTheme="minorHAnsi" w:hAnsiTheme="minorHAnsi" w:cstheme="minorHAnsi"/>
          <w:b/>
          <w:bCs/>
        </w:rPr>
        <w:t>F</w:t>
      </w:r>
      <w:r w:rsidRPr="004768C9">
        <w:rPr>
          <w:rFonts w:asciiTheme="minorHAnsi" w:hAnsiTheme="minorHAnsi" w:cstheme="minorHAnsi"/>
        </w:rPr>
        <w:t>2 and </w:t>
      </w:r>
      <w:r w:rsidRPr="004768C9">
        <w:rPr>
          <w:rFonts w:asciiTheme="minorHAnsi" w:hAnsiTheme="minorHAnsi" w:cstheme="minorHAnsi"/>
          <w:sz w:val="18"/>
          <w:szCs w:val="18"/>
          <w:vertAlign w:val="superscript"/>
        </w:rPr>
        <w:t>R</w:t>
      </w:r>
      <w:r w:rsidRPr="004768C9">
        <w:rPr>
          <w:rFonts w:asciiTheme="minorHAnsi" w:hAnsiTheme="minorHAnsi" w:cstheme="minorHAnsi"/>
          <w:b/>
          <w:bCs/>
        </w:rPr>
        <w:t>F</w:t>
      </w:r>
      <w:r w:rsidRPr="004768C9">
        <w:rPr>
          <w:rFonts w:asciiTheme="minorHAnsi" w:hAnsiTheme="minorHAnsi" w:cstheme="minorHAnsi"/>
        </w:rPr>
        <w:t>1) are readily produced through the methylation of </w:t>
      </w:r>
      <w:r w:rsidRPr="004768C9">
        <w:rPr>
          <w:rFonts w:asciiTheme="minorHAnsi" w:hAnsiTheme="minorHAnsi" w:cstheme="minorHAnsi"/>
          <w:sz w:val="18"/>
          <w:szCs w:val="18"/>
          <w:vertAlign w:val="superscript"/>
        </w:rPr>
        <w:t>R</w:t>
      </w:r>
      <w:r w:rsidRPr="004768C9">
        <w:rPr>
          <w:rFonts w:asciiTheme="minorHAnsi" w:hAnsiTheme="minorHAnsi" w:cstheme="minorHAnsi"/>
          <w:b/>
          <w:bCs/>
        </w:rPr>
        <w:t>F</w:t>
      </w:r>
      <w:r w:rsidRPr="004768C9">
        <w:rPr>
          <w:rFonts w:asciiTheme="minorHAnsi" w:hAnsiTheme="minorHAnsi" w:cstheme="minorHAnsi"/>
        </w:rPr>
        <w:t>2</w:t>
      </w:r>
      <w:r w:rsidRPr="004768C9">
        <w:rPr>
          <w:rFonts w:asciiTheme="minorHAnsi" w:hAnsiTheme="minorHAnsi" w:cstheme="minorHAnsi"/>
          <w:b/>
          <w:bCs/>
        </w:rPr>
        <w:t>H</w:t>
      </w:r>
      <w:r w:rsidRPr="004768C9">
        <w:rPr>
          <w:rFonts w:asciiTheme="minorHAnsi" w:hAnsiTheme="minorHAnsi" w:cstheme="minorHAnsi"/>
        </w:rPr>
        <w:t>2/</w:t>
      </w:r>
      <w:r w:rsidRPr="004768C9">
        <w:rPr>
          <w:rFonts w:asciiTheme="minorHAnsi" w:hAnsiTheme="minorHAnsi" w:cstheme="minorHAnsi"/>
          <w:sz w:val="18"/>
          <w:szCs w:val="18"/>
          <w:vertAlign w:val="superscript"/>
        </w:rPr>
        <w:t>R</w:t>
      </w:r>
      <w:r w:rsidRPr="004768C9">
        <w:rPr>
          <w:rFonts w:asciiTheme="minorHAnsi" w:hAnsiTheme="minorHAnsi" w:cstheme="minorHAnsi"/>
          <w:b/>
          <w:bCs/>
        </w:rPr>
        <w:t>F</w:t>
      </w:r>
      <w:r w:rsidRPr="004768C9">
        <w:rPr>
          <w:rFonts w:asciiTheme="minorHAnsi" w:hAnsiTheme="minorHAnsi" w:cstheme="minorHAnsi"/>
        </w:rPr>
        <w:t xml:space="preserve"> with </w:t>
      </w:r>
      <w:proofErr w:type="spellStart"/>
      <w:r w:rsidRPr="004768C9">
        <w:rPr>
          <w:rFonts w:asciiTheme="minorHAnsi" w:hAnsiTheme="minorHAnsi" w:cstheme="minorHAnsi"/>
        </w:rPr>
        <w:t>MeI</w:t>
      </w:r>
      <w:proofErr w:type="spellEnd"/>
      <w:r w:rsidRPr="004768C9">
        <w:rPr>
          <w:rFonts w:asciiTheme="minorHAnsi" w:hAnsiTheme="minorHAnsi" w:cstheme="minorHAnsi"/>
        </w:rPr>
        <w:t xml:space="preserve"> and potassium </w:t>
      </w:r>
      <w:r w:rsidRPr="004768C9">
        <w:rPr>
          <w:rFonts w:asciiTheme="minorHAnsi" w:hAnsiTheme="minorHAnsi" w:cstheme="minorHAnsi"/>
          <w:i/>
          <w:iCs/>
        </w:rPr>
        <w:t>tert</w:t>
      </w:r>
      <w:r w:rsidRPr="004768C9">
        <w:rPr>
          <w:rFonts w:asciiTheme="minorHAnsi" w:hAnsiTheme="minorHAnsi" w:cstheme="minorHAnsi"/>
        </w:rPr>
        <w:t>‐butyl oxide as base (Scheme 1 A/B). Synthesis of </w:t>
      </w:r>
      <w:r w:rsidRPr="004768C9">
        <w:rPr>
          <w:rFonts w:asciiTheme="minorHAnsi" w:hAnsiTheme="minorHAnsi" w:cstheme="minorHAnsi"/>
          <w:sz w:val="18"/>
          <w:szCs w:val="18"/>
          <w:vertAlign w:val="superscript"/>
        </w:rPr>
        <w:t>C</w:t>
      </w:r>
      <w:r w:rsidRPr="004768C9">
        <w:rPr>
          <w:rFonts w:asciiTheme="minorHAnsi" w:hAnsiTheme="minorHAnsi" w:cstheme="minorHAnsi"/>
          <w:b/>
          <w:bCs/>
        </w:rPr>
        <w:t>F</w:t>
      </w:r>
      <w:r w:rsidRPr="004768C9">
        <w:rPr>
          <w:rFonts w:asciiTheme="minorHAnsi" w:hAnsiTheme="minorHAnsi" w:cstheme="minorHAnsi"/>
        </w:rPr>
        <w:t>2 was carried out by following the procedure shown in Scheme </w:t>
      </w:r>
      <w:hyperlink r:id="rId34" w:anchor="anie201804337-fig-5001" w:history="1">
        <w:r w:rsidRPr="004768C9">
          <w:rPr>
            <w:rStyle w:val="Hyperlink"/>
            <w:rFonts w:asciiTheme="minorHAnsi" w:eastAsiaTheme="majorEastAsia" w:hAnsiTheme="minorHAnsi" w:cstheme="minorHAnsi"/>
            <w:b/>
            <w:bCs/>
            <w:color w:val="005274"/>
          </w:rPr>
          <w:t>1</w:t>
        </w:r>
      </w:hyperlink>
      <w:r w:rsidRPr="004768C9">
        <w:rPr>
          <w:rFonts w:asciiTheme="minorHAnsi" w:hAnsiTheme="minorHAnsi" w:cstheme="minorHAnsi"/>
        </w:rPr>
        <w:t> C. First, the intermediate </w:t>
      </w:r>
      <w:r w:rsidRPr="004768C9">
        <w:rPr>
          <w:rFonts w:asciiTheme="minorHAnsi" w:hAnsiTheme="minorHAnsi" w:cstheme="minorHAnsi"/>
          <w:sz w:val="18"/>
          <w:szCs w:val="18"/>
          <w:vertAlign w:val="superscript"/>
        </w:rPr>
        <w:t>Br4</w:t>
      </w:r>
      <w:r w:rsidRPr="004768C9">
        <w:rPr>
          <w:rFonts w:asciiTheme="minorHAnsi" w:hAnsiTheme="minorHAnsi" w:cstheme="minorHAnsi"/>
          <w:b/>
          <w:bCs/>
        </w:rPr>
        <w:t>F</w:t>
      </w:r>
      <w:r w:rsidRPr="004768C9">
        <w:rPr>
          <w:rFonts w:asciiTheme="minorHAnsi" w:hAnsiTheme="minorHAnsi" w:cstheme="minorHAnsi"/>
        </w:rPr>
        <w:t>2 was generated by condensation of 2,7‐dibromofluorene into </w:t>
      </w:r>
      <w:r w:rsidRPr="004768C9">
        <w:rPr>
          <w:rFonts w:asciiTheme="minorHAnsi" w:hAnsiTheme="minorHAnsi" w:cstheme="minorHAnsi"/>
          <w:sz w:val="18"/>
          <w:szCs w:val="18"/>
          <w:vertAlign w:val="superscript"/>
        </w:rPr>
        <w:t>Br4</w:t>
      </w:r>
      <w:r w:rsidRPr="004768C9">
        <w:rPr>
          <w:rFonts w:asciiTheme="minorHAnsi" w:hAnsiTheme="minorHAnsi" w:cstheme="minorHAnsi"/>
          <w:b/>
          <w:bCs/>
        </w:rPr>
        <w:t>F</w:t>
      </w:r>
      <w:r w:rsidRPr="004768C9">
        <w:rPr>
          <w:rFonts w:asciiTheme="minorHAnsi" w:hAnsiTheme="minorHAnsi" w:cstheme="minorHAnsi"/>
        </w:rPr>
        <w:t>2</w:t>
      </w:r>
      <w:r w:rsidRPr="004768C9">
        <w:rPr>
          <w:rFonts w:asciiTheme="minorHAnsi" w:hAnsiTheme="minorHAnsi" w:cstheme="minorHAnsi"/>
          <w:b/>
          <w:bCs/>
        </w:rPr>
        <w:t>H</w:t>
      </w:r>
      <w:r w:rsidRPr="004768C9">
        <w:rPr>
          <w:rFonts w:asciiTheme="minorHAnsi" w:hAnsiTheme="minorHAnsi" w:cstheme="minorHAnsi"/>
        </w:rPr>
        <w:t>2 followed by its methylation. The bromide was then converted to a boron ester using Pd(</w:t>
      </w:r>
      <w:proofErr w:type="spellStart"/>
      <w:r w:rsidRPr="004768C9">
        <w:rPr>
          <w:rFonts w:asciiTheme="minorHAnsi" w:hAnsiTheme="minorHAnsi" w:cstheme="minorHAnsi"/>
        </w:rPr>
        <w:t>dppf</w:t>
      </w:r>
      <w:proofErr w:type="spellEnd"/>
      <w:r w:rsidRPr="004768C9">
        <w:rPr>
          <w:rFonts w:asciiTheme="minorHAnsi" w:hAnsiTheme="minorHAnsi" w:cstheme="minorHAnsi"/>
        </w:rPr>
        <w:t>)Cl</w:t>
      </w:r>
      <w:r w:rsidRPr="004768C9">
        <w:rPr>
          <w:rFonts w:asciiTheme="minorHAnsi" w:hAnsiTheme="minorHAnsi" w:cstheme="minorHAnsi"/>
          <w:sz w:val="18"/>
          <w:szCs w:val="18"/>
          <w:vertAlign w:val="subscript"/>
        </w:rPr>
        <w:t>2</w:t>
      </w:r>
      <w:r w:rsidRPr="004768C9">
        <w:rPr>
          <w:rFonts w:asciiTheme="minorHAnsi" w:hAnsiTheme="minorHAnsi" w:cstheme="minorHAnsi"/>
        </w:rPr>
        <w:t> catalyst, which was reacted with allyl bromide to produce </w:t>
      </w:r>
      <w:r w:rsidRPr="004768C9">
        <w:rPr>
          <w:rFonts w:asciiTheme="minorHAnsi" w:hAnsiTheme="minorHAnsi" w:cstheme="minorHAnsi"/>
          <w:sz w:val="18"/>
          <w:szCs w:val="18"/>
          <w:vertAlign w:val="superscript"/>
        </w:rPr>
        <w:t>Al4</w:t>
      </w:r>
      <w:r w:rsidRPr="004768C9">
        <w:rPr>
          <w:rFonts w:asciiTheme="minorHAnsi" w:hAnsiTheme="minorHAnsi" w:cstheme="minorHAnsi"/>
          <w:b/>
          <w:bCs/>
        </w:rPr>
        <w:t>F</w:t>
      </w:r>
      <w:r w:rsidRPr="004768C9">
        <w:rPr>
          <w:rFonts w:asciiTheme="minorHAnsi" w:hAnsiTheme="minorHAnsi" w:cstheme="minorHAnsi"/>
        </w:rPr>
        <w:t>2. Intramolecular olefin metathesis reaction allowed us to prepare the </w:t>
      </w:r>
      <w:r w:rsidRPr="004768C9">
        <w:rPr>
          <w:rFonts w:asciiTheme="minorHAnsi" w:hAnsiTheme="minorHAnsi" w:cstheme="minorHAnsi"/>
          <w:sz w:val="18"/>
          <w:szCs w:val="18"/>
          <w:vertAlign w:val="superscript"/>
        </w:rPr>
        <w:t>C</w:t>
      </w:r>
      <w:r w:rsidRPr="004768C9">
        <w:rPr>
          <w:rFonts w:asciiTheme="minorHAnsi" w:hAnsiTheme="minorHAnsi" w:cstheme="minorHAnsi"/>
          <w:b/>
          <w:bCs/>
        </w:rPr>
        <w:t>F</w:t>
      </w:r>
      <w:r w:rsidRPr="004768C9">
        <w:rPr>
          <w:rFonts w:asciiTheme="minorHAnsi" w:hAnsiTheme="minorHAnsi" w:cstheme="minorHAnsi"/>
        </w:rPr>
        <w:t>2 precursor in good yield, which was then subjected to Pd/C catalyzed hydrogenation, producing </w:t>
      </w:r>
      <w:r w:rsidRPr="004768C9">
        <w:rPr>
          <w:rFonts w:asciiTheme="minorHAnsi" w:hAnsiTheme="minorHAnsi" w:cstheme="minorHAnsi"/>
          <w:sz w:val="18"/>
          <w:szCs w:val="18"/>
          <w:vertAlign w:val="superscript"/>
        </w:rPr>
        <w:t>C</w:t>
      </w:r>
      <w:r w:rsidRPr="004768C9">
        <w:rPr>
          <w:rFonts w:asciiTheme="minorHAnsi" w:hAnsiTheme="minorHAnsi" w:cstheme="minorHAnsi"/>
          <w:b/>
          <w:bCs/>
        </w:rPr>
        <w:t>F</w:t>
      </w:r>
      <w:r w:rsidRPr="004768C9">
        <w:rPr>
          <w:rFonts w:asciiTheme="minorHAnsi" w:hAnsiTheme="minorHAnsi" w:cstheme="minorHAnsi"/>
        </w:rPr>
        <w:t>2 as a final product. The </w:t>
      </w:r>
      <w:r w:rsidRPr="004768C9">
        <w:rPr>
          <w:rFonts w:asciiTheme="minorHAnsi" w:hAnsiTheme="minorHAnsi" w:cstheme="minorHAnsi"/>
          <w:sz w:val="18"/>
          <w:szCs w:val="18"/>
          <w:vertAlign w:val="superscript"/>
        </w:rPr>
        <w:t>R</w:t>
      </w:r>
      <w:r w:rsidRPr="004768C9">
        <w:rPr>
          <w:rFonts w:asciiTheme="minorHAnsi" w:hAnsiTheme="minorHAnsi" w:cstheme="minorHAnsi"/>
          <w:b/>
          <w:bCs/>
        </w:rPr>
        <w:t>F</w:t>
      </w:r>
      <w:r w:rsidRPr="004768C9">
        <w:rPr>
          <w:rFonts w:asciiTheme="minorHAnsi" w:hAnsiTheme="minorHAnsi" w:cstheme="minorHAnsi"/>
        </w:rPr>
        <w:t>2 and </w:t>
      </w:r>
      <w:r w:rsidRPr="004768C9">
        <w:rPr>
          <w:rFonts w:asciiTheme="minorHAnsi" w:hAnsiTheme="minorHAnsi" w:cstheme="minorHAnsi"/>
          <w:sz w:val="18"/>
          <w:szCs w:val="18"/>
          <w:vertAlign w:val="superscript"/>
        </w:rPr>
        <w:t>C</w:t>
      </w:r>
      <w:r w:rsidRPr="004768C9">
        <w:rPr>
          <w:rFonts w:asciiTheme="minorHAnsi" w:hAnsiTheme="minorHAnsi" w:cstheme="minorHAnsi"/>
          <w:b/>
          <w:bCs/>
        </w:rPr>
        <w:t>F</w:t>
      </w:r>
      <w:r w:rsidRPr="004768C9">
        <w:rPr>
          <w:rFonts w:asciiTheme="minorHAnsi" w:hAnsiTheme="minorHAnsi" w:cstheme="minorHAnsi"/>
        </w:rPr>
        <w:t xml:space="preserve">2 </w:t>
      </w:r>
      <w:proofErr w:type="spellStart"/>
      <w:r w:rsidRPr="004768C9">
        <w:rPr>
          <w:rFonts w:asciiTheme="minorHAnsi" w:hAnsiTheme="minorHAnsi" w:cstheme="minorHAnsi"/>
        </w:rPr>
        <w:t>torsionomers</w:t>
      </w:r>
      <w:proofErr w:type="spellEnd"/>
      <w:r w:rsidRPr="004768C9">
        <w:rPr>
          <w:rFonts w:asciiTheme="minorHAnsi" w:hAnsiTheme="minorHAnsi" w:cstheme="minorHAnsi"/>
        </w:rPr>
        <w:t xml:space="preserve"> and their model compounds </w:t>
      </w:r>
      <w:r w:rsidRPr="004768C9">
        <w:rPr>
          <w:rFonts w:asciiTheme="minorHAnsi" w:hAnsiTheme="minorHAnsi" w:cstheme="minorHAnsi"/>
          <w:sz w:val="18"/>
          <w:szCs w:val="18"/>
          <w:vertAlign w:val="superscript"/>
        </w:rPr>
        <w:t>R</w:t>
      </w:r>
      <w:r w:rsidRPr="004768C9">
        <w:rPr>
          <w:rFonts w:asciiTheme="minorHAnsi" w:hAnsiTheme="minorHAnsi" w:cstheme="minorHAnsi"/>
          <w:b/>
          <w:bCs/>
        </w:rPr>
        <w:t>F</w:t>
      </w:r>
      <w:r w:rsidRPr="004768C9">
        <w:rPr>
          <w:rFonts w:asciiTheme="minorHAnsi" w:hAnsiTheme="minorHAnsi" w:cstheme="minorHAnsi"/>
        </w:rPr>
        <w:t>1 were fully characterized by </w:t>
      </w:r>
      <w:r w:rsidRPr="004768C9">
        <w:rPr>
          <w:rFonts w:asciiTheme="minorHAnsi" w:hAnsiTheme="minorHAnsi" w:cstheme="minorHAnsi"/>
          <w:sz w:val="18"/>
          <w:szCs w:val="18"/>
          <w:vertAlign w:val="superscript"/>
        </w:rPr>
        <w:t>1</w:t>
      </w:r>
      <w:r w:rsidRPr="004768C9">
        <w:rPr>
          <w:rFonts w:asciiTheme="minorHAnsi" w:hAnsiTheme="minorHAnsi" w:cstheme="minorHAnsi"/>
        </w:rPr>
        <w:t>H/</w:t>
      </w:r>
      <w:r w:rsidRPr="004768C9">
        <w:rPr>
          <w:rFonts w:asciiTheme="minorHAnsi" w:hAnsiTheme="minorHAnsi" w:cstheme="minorHAnsi"/>
          <w:sz w:val="18"/>
          <w:szCs w:val="18"/>
          <w:vertAlign w:val="superscript"/>
        </w:rPr>
        <w:t>13</w:t>
      </w:r>
      <w:r w:rsidRPr="004768C9">
        <w:rPr>
          <w:rFonts w:asciiTheme="minorHAnsi" w:hAnsiTheme="minorHAnsi" w:cstheme="minorHAnsi"/>
        </w:rPr>
        <w:t>C NMR spectroscopy (Figure </w:t>
      </w:r>
      <w:hyperlink r:id="rId35" w:anchor="anie201804337-fig-0002" w:history="1">
        <w:r w:rsidRPr="004768C9">
          <w:rPr>
            <w:rStyle w:val="Hyperlink"/>
            <w:rFonts w:asciiTheme="minorHAnsi" w:eastAsiaTheme="majorEastAsia" w:hAnsiTheme="minorHAnsi" w:cstheme="minorHAnsi"/>
            <w:b/>
            <w:bCs/>
            <w:color w:val="005274"/>
          </w:rPr>
          <w:t>2</w:t>
        </w:r>
      </w:hyperlink>
      <w:r w:rsidRPr="004768C9">
        <w:rPr>
          <w:rFonts w:asciiTheme="minorHAnsi" w:hAnsiTheme="minorHAnsi" w:cstheme="minorHAnsi"/>
        </w:rPr>
        <w:t> A) and X‐ray crystallography (Figure </w:t>
      </w:r>
      <w:hyperlink r:id="rId36" w:anchor="anie201804337-fig-0002" w:history="1">
        <w:r w:rsidRPr="004768C9">
          <w:rPr>
            <w:rStyle w:val="Hyperlink"/>
            <w:rFonts w:asciiTheme="minorHAnsi" w:eastAsiaTheme="majorEastAsia" w:hAnsiTheme="minorHAnsi" w:cstheme="minorHAnsi"/>
            <w:b/>
            <w:bCs/>
            <w:color w:val="005274"/>
          </w:rPr>
          <w:t>2</w:t>
        </w:r>
      </w:hyperlink>
      <w:r w:rsidRPr="004768C9">
        <w:rPr>
          <w:rFonts w:asciiTheme="minorHAnsi" w:hAnsiTheme="minorHAnsi" w:cstheme="minorHAnsi"/>
        </w:rPr>
        <w:t> B); see Supporting Information for full details.</w:t>
      </w:r>
    </w:p>
    <w:p w14:paraId="58A63FA3" w14:textId="1A39DCB4" w:rsidR="00481E77" w:rsidRPr="004768C9" w:rsidRDefault="00574C55" w:rsidP="00574C55">
      <w:pPr>
        <w:spacing w:after="0" w:line="276" w:lineRule="auto"/>
        <w:rPr>
          <w:rFonts w:cstheme="minorHAnsi"/>
        </w:rPr>
      </w:pPr>
      <w:r>
        <w:rPr>
          <w:noProof/>
        </w:rPr>
        <w:drawing>
          <wp:inline distT="0" distB="0" distL="0" distR="0" wp14:anchorId="38D4B15E" wp14:editId="3A461E63">
            <wp:extent cx="2743200" cy="2834640"/>
            <wp:effectExtent l="0" t="0" r="0" b="3810"/>
            <wp:docPr id="8" name="Picture 8" descr="Figure 2 A) Partial 1H NMR spectra of MeF2, tBuF2, and CF2 in CDCl3 at 22 °C. B) ORTEP diagrams (50 % diagram) of MeF2, tBuF2, and CF2 highlighting varied cofaciality of the torsiono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743200" cy="2834640"/>
                    </a:xfrm>
                    <a:prstGeom prst="rect">
                      <a:avLst/>
                    </a:prstGeom>
                    <a:noFill/>
                    <a:ln>
                      <a:noFill/>
                    </a:ln>
                  </pic:spPr>
                </pic:pic>
              </a:graphicData>
            </a:graphic>
          </wp:inline>
        </w:drawing>
      </w:r>
    </w:p>
    <w:p w14:paraId="58FEBA8D" w14:textId="772CE098" w:rsidR="00481E77" w:rsidRDefault="00481E77" w:rsidP="00574C55">
      <w:pPr>
        <w:pStyle w:val="NoSpacing"/>
      </w:pPr>
      <w:r w:rsidRPr="004768C9">
        <w:rPr>
          <w:rStyle w:val="Strong"/>
          <w:rFonts w:cstheme="minorHAnsi"/>
          <w:color w:val="212121"/>
        </w:rPr>
        <w:t>Figure 2</w:t>
      </w:r>
      <w:r w:rsidR="00574C55">
        <w:rPr>
          <w:rStyle w:val="Strong"/>
          <w:rFonts w:cstheme="minorHAnsi"/>
          <w:color w:val="212121"/>
        </w:rPr>
        <w:t xml:space="preserve"> </w:t>
      </w:r>
      <w:r w:rsidRPr="004768C9">
        <w:t>A) Partial </w:t>
      </w:r>
      <w:r w:rsidRPr="004768C9">
        <w:rPr>
          <w:sz w:val="18"/>
          <w:szCs w:val="18"/>
          <w:vertAlign w:val="superscript"/>
        </w:rPr>
        <w:t>1</w:t>
      </w:r>
      <w:r w:rsidRPr="004768C9">
        <w:t>H NMR spectra of </w:t>
      </w:r>
      <w:r w:rsidRPr="004768C9">
        <w:rPr>
          <w:sz w:val="18"/>
          <w:szCs w:val="18"/>
          <w:vertAlign w:val="superscript"/>
        </w:rPr>
        <w:t>Me</w:t>
      </w:r>
      <w:r w:rsidRPr="004768C9">
        <w:rPr>
          <w:b/>
          <w:bCs/>
        </w:rPr>
        <w:t>F</w:t>
      </w:r>
      <w:r w:rsidRPr="004768C9">
        <w:t>2, </w:t>
      </w:r>
      <w:r w:rsidRPr="004768C9">
        <w:rPr>
          <w:i/>
          <w:iCs/>
          <w:sz w:val="18"/>
          <w:szCs w:val="18"/>
          <w:vertAlign w:val="superscript"/>
        </w:rPr>
        <w:t>t</w:t>
      </w:r>
      <w:r w:rsidRPr="004768C9">
        <w:rPr>
          <w:sz w:val="18"/>
          <w:szCs w:val="18"/>
          <w:vertAlign w:val="superscript"/>
        </w:rPr>
        <w:t>Bu</w:t>
      </w:r>
      <w:r w:rsidRPr="004768C9">
        <w:rPr>
          <w:b/>
          <w:bCs/>
        </w:rPr>
        <w:t>F</w:t>
      </w:r>
      <w:r w:rsidRPr="004768C9">
        <w:t>2, and </w:t>
      </w:r>
      <w:r w:rsidRPr="004768C9">
        <w:rPr>
          <w:sz w:val="18"/>
          <w:szCs w:val="18"/>
          <w:vertAlign w:val="superscript"/>
        </w:rPr>
        <w:t>C</w:t>
      </w:r>
      <w:r w:rsidRPr="004768C9">
        <w:rPr>
          <w:b/>
          <w:bCs/>
        </w:rPr>
        <w:t>F</w:t>
      </w:r>
      <w:r w:rsidRPr="004768C9">
        <w:t>2 in CDCl</w:t>
      </w:r>
      <w:r w:rsidRPr="004768C9">
        <w:rPr>
          <w:sz w:val="18"/>
          <w:szCs w:val="18"/>
          <w:vertAlign w:val="subscript"/>
        </w:rPr>
        <w:t>3</w:t>
      </w:r>
      <w:r w:rsidRPr="004768C9">
        <w:t> at 22 °C. B) ORTEP diagrams (50 % diagram) of </w:t>
      </w:r>
      <w:r w:rsidRPr="004768C9">
        <w:rPr>
          <w:sz w:val="18"/>
          <w:szCs w:val="18"/>
          <w:vertAlign w:val="superscript"/>
        </w:rPr>
        <w:t>Me</w:t>
      </w:r>
      <w:r w:rsidRPr="004768C9">
        <w:rPr>
          <w:b/>
          <w:bCs/>
        </w:rPr>
        <w:t>F</w:t>
      </w:r>
      <w:r w:rsidRPr="004768C9">
        <w:t>2, </w:t>
      </w:r>
      <w:r w:rsidRPr="004768C9">
        <w:rPr>
          <w:i/>
          <w:iCs/>
          <w:sz w:val="18"/>
          <w:szCs w:val="18"/>
          <w:vertAlign w:val="superscript"/>
        </w:rPr>
        <w:t>t</w:t>
      </w:r>
      <w:r w:rsidRPr="004768C9">
        <w:rPr>
          <w:sz w:val="18"/>
          <w:szCs w:val="18"/>
          <w:vertAlign w:val="superscript"/>
        </w:rPr>
        <w:t>Bu</w:t>
      </w:r>
      <w:r w:rsidRPr="004768C9">
        <w:rPr>
          <w:b/>
          <w:bCs/>
        </w:rPr>
        <w:t>F</w:t>
      </w:r>
      <w:r w:rsidRPr="004768C9">
        <w:t>2, and </w:t>
      </w:r>
      <w:r w:rsidRPr="004768C9">
        <w:rPr>
          <w:sz w:val="18"/>
          <w:szCs w:val="18"/>
          <w:vertAlign w:val="superscript"/>
        </w:rPr>
        <w:t>C</w:t>
      </w:r>
      <w:r w:rsidRPr="004768C9">
        <w:rPr>
          <w:b/>
          <w:bCs/>
        </w:rPr>
        <w:t>F</w:t>
      </w:r>
      <w:r w:rsidRPr="004768C9">
        <w:t xml:space="preserve">2 highlighting varied </w:t>
      </w:r>
      <w:proofErr w:type="spellStart"/>
      <w:r w:rsidRPr="004768C9">
        <w:t>cofaciality</w:t>
      </w:r>
      <w:proofErr w:type="spellEnd"/>
      <w:r w:rsidRPr="004768C9">
        <w:t xml:space="preserve"> of the </w:t>
      </w:r>
      <w:proofErr w:type="spellStart"/>
      <w:r w:rsidRPr="004768C9">
        <w:t>torsionomers</w:t>
      </w:r>
      <w:proofErr w:type="spellEnd"/>
      <w:r w:rsidRPr="004768C9">
        <w:t>.</w:t>
      </w:r>
    </w:p>
    <w:p w14:paraId="0FB11777" w14:textId="77777777" w:rsidR="00295DF3" w:rsidRPr="004768C9" w:rsidRDefault="00295DF3" w:rsidP="00574C55">
      <w:pPr>
        <w:pStyle w:val="NoSpacing"/>
      </w:pPr>
    </w:p>
    <w:p w14:paraId="3F479408" w14:textId="6374CFF7" w:rsidR="00481E77" w:rsidRPr="004768C9" w:rsidRDefault="00AC5AD8" w:rsidP="00AC5AD8">
      <w:pPr>
        <w:spacing w:after="0" w:line="276" w:lineRule="auto"/>
        <w:rPr>
          <w:rFonts w:cstheme="minorHAnsi"/>
        </w:rPr>
      </w:pPr>
      <w:r>
        <w:rPr>
          <w:noProof/>
        </w:rPr>
        <w:drawing>
          <wp:inline distT="0" distB="0" distL="0" distR="0" wp14:anchorId="135B1152" wp14:editId="0592266D">
            <wp:extent cx="2743200" cy="1417320"/>
            <wp:effectExtent l="0" t="0" r="0" b="0"/>
            <wp:docPr id="9" name="Picture 9" descr="Scheme 1 a) 10 % mol KOtBu, paraformaldehyde 0.5 equiv, DMF, 20 °C 2 h; b) KOtBu 3 equiv, MeI 3 equiv, THF, 0 °C 12 h; c) (BPin)2 4.1 equiv, KOAc 4.2 equiv, Pd(dppf)Cl2 5 % mol, 1,4‐dioxane, reflux 12 h; d) Allyl bromide 8 equiv, Na2CO3 10 equiv, Pd(PPh3)4, 1,2‐dimethoxyethane, reflux 12 h; e) Grubbs's II 2 % mol, benzene, RT 24 h; f) H2, Pd/C, benzene, 2 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743200" cy="1417320"/>
                    </a:xfrm>
                    <a:prstGeom prst="rect">
                      <a:avLst/>
                    </a:prstGeom>
                    <a:noFill/>
                    <a:ln>
                      <a:noFill/>
                    </a:ln>
                  </pic:spPr>
                </pic:pic>
              </a:graphicData>
            </a:graphic>
          </wp:inline>
        </w:drawing>
      </w:r>
    </w:p>
    <w:p w14:paraId="2FB09FC5" w14:textId="17DDE79B" w:rsidR="00481E77" w:rsidRDefault="00481E77" w:rsidP="00AC5AD8">
      <w:pPr>
        <w:pStyle w:val="NoSpacing"/>
      </w:pPr>
      <w:r w:rsidRPr="004768C9">
        <w:rPr>
          <w:rStyle w:val="Strong"/>
          <w:rFonts w:cstheme="minorHAnsi"/>
          <w:color w:val="212121"/>
        </w:rPr>
        <w:t>Scheme 1</w:t>
      </w:r>
      <w:r w:rsidR="00AC5AD8">
        <w:rPr>
          <w:rStyle w:val="Strong"/>
          <w:rFonts w:cstheme="minorHAnsi"/>
          <w:color w:val="212121"/>
        </w:rPr>
        <w:t xml:space="preserve"> </w:t>
      </w:r>
      <w:r w:rsidRPr="004768C9">
        <w:t xml:space="preserve">a) 10 % mol </w:t>
      </w:r>
      <w:proofErr w:type="spellStart"/>
      <w:r w:rsidRPr="004768C9">
        <w:t>KO</w:t>
      </w:r>
      <w:r w:rsidRPr="004768C9">
        <w:rPr>
          <w:sz w:val="18"/>
          <w:szCs w:val="18"/>
          <w:vertAlign w:val="superscript"/>
        </w:rPr>
        <w:t>t</w:t>
      </w:r>
      <w:r w:rsidRPr="004768C9">
        <w:t>Bu</w:t>
      </w:r>
      <w:proofErr w:type="spellEnd"/>
      <w:r w:rsidRPr="004768C9">
        <w:t>, paraformaldehyde 0.5 </w:t>
      </w:r>
      <w:proofErr w:type="spellStart"/>
      <w:r w:rsidRPr="004768C9">
        <w:t>equiv</w:t>
      </w:r>
      <w:proofErr w:type="spellEnd"/>
      <w:r w:rsidRPr="004768C9">
        <w:t>, DMF, 20 °C 2 h; b) </w:t>
      </w:r>
      <w:proofErr w:type="spellStart"/>
      <w:r w:rsidRPr="004768C9">
        <w:t>KO</w:t>
      </w:r>
      <w:r w:rsidRPr="004768C9">
        <w:rPr>
          <w:sz w:val="18"/>
          <w:szCs w:val="18"/>
          <w:vertAlign w:val="superscript"/>
        </w:rPr>
        <w:t>t</w:t>
      </w:r>
      <w:r w:rsidRPr="004768C9">
        <w:t>Bu</w:t>
      </w:r>
      <w:proofErr w:type="spellEnd"/>
      <w:r w:rsidRPr="004768C9">
        <w:t xml:space="preserve"> 3 </w:t>
      </w:r>
      <w:proofErr w:type="spellStart"/>
      <w:r w:rsidRPr="004768C9">
        <w:t>equiv</w:t>
      </w:r>
      <w:proofErr w:type="spellEnd"/>
      <w:r w:rsidRPr="004768C9">
        <w:t xml:space="preserve">, </w:t>
      </w:r>
      <w:proofErr w:type="spellStart"/>
      <w:r w:rsidRPr="004768C9">
        <w:t>MeI</w:t>
      </w:r>
      <w:proofErr w:type="spellEnd"/>
      <w:r w:rsidRPr="004768C9">
        <w:t xml:space="preserve"> 3 </w:t>
      </w:r>
      <w:proofErr w:type="spellStart"/>
      <w:r w:rsidRPr="004768C9">
        <w:t>equiv</w:t>
      </w:r>
      <w:proofErr w:type="spellEnd"/>
      <w:r w:rsidRPr="004768C9">
        <w:t>, THF, 0 °C 12 h; c) (</w:t>
      </w:r>
      <w:proofErr w:type="spellStart"/>
      <w:r w:rsidRPr="004768C9">
        <w:t>BPin</w:t>
      </w:r>
      <w:proofErr w:type="spellEnd"/>
      <w:r w:rsidRPr="004768C9">
        <w:t>)</w:t>
      </w:r>
      <w:r w:rsidRPr="004768C9">
        <w:rPr>
          <w:sz w:val="18"/>
          <w:szCs w:val="18"/>
          <w:vertAlign w:val="subscript"/>
        </w:rPr>
        <w:t>2</w:t>
      </w:r>
      <w:r w:rsidRPr="004768C9">
        <w:t> 4.1 </w:t>
      </w:r>
      <w:proofErr w:type="spellStart"/>
      <w:r w:rsidRPr="004768C9">
        <w:t>equiv</w:t>
      </w:r>
      <w:proofErr w:type="spellEnd"/>
      <w:r w:rsidRPr="004768C9">
        <w:t xml:space="preserve">, </w:t>
      </w:r>
      <w:proofErr w:type="spellStart"/>
      <w:r w:rsidRPr="004768C9">
        <w:t>KOAc</w:t>
      </w:r>
      <w:proofErr w:type="spellEnd"/>
      <w:r w:rsidRPr="004768C9">
        <w:t xml:space="preserve"> 4.2 </w:t>
      </w:r>
      <w:proofErr w:type="spellStart"/>
      <w:r w:rsidRPr="004768C9">
        <w:t>equiv</w:t>
      </w:r>
      <w:proofErr w:type="spellEnd"/>
      <w:r w:rsidRPr="004768C9">
        <w:t>, Pd(</w:t>
      </w:r>
      <w:proofErr w:type="spellStart"/>
      <w:r w:rsidRPr="004768C9">
        <w:t>dppf</w:t>
      </w:r>
      <w:proofErr w:type="spellEnd"/>
      <w:r w:rsidRPr="004768C9">
        <w:t>)Cl</w:t>
      </w:r>
      <w:r w:rsidRPr="004768C9">
        <w:rPr>
          <w:sz w:val="18"/>
          <w:szCs w:val="18"/>
          <w:vertAlign w:val="subscript"/>
        </w:rPr>
        <w:t>2</w:t>
      </w:r>
      <w:r w:rsidRPr="004768C9">
        <w:t> 5 % mol, 1,4‐dioxane, reflux 12 h; d) Allyl bromide 8 </w:t>
      </w:r>
      <w:proofErr w:type="spellStart"/>
      <w:r w:rsidRPr="004768C9">
        <w:t>equiv</w:t>
      </w:r>
      <w:proofErr w:type="spellEnd"/>
      <w:r w:rsidRPr="004768C9">
        <w:t>, Na</w:t>
      </w:r>
      <w:r w:rsidRPr="004768C9">
        <w:rPr>
          <w:sz w:val="18"/>
          <w:szCs w:val="18"/>
          <w:vertAlign w:val="subscript"/>
        </w:rPr>
        <w:t>2</w:t>
      </w:r>
      <w:r w:rsidRPr="004768C9">
        <w:t>CO</w:t>
      </w:r>
      <w:r w:rsidRPr="004768C9">
        <w:rPr>
          <w:sz w:val="18"/>
          <w:szCs w:val="18"/>
          <w:vertAlign w:val="subscript"/>
        </w:rPr>
        <w:t>3</w:t>
      </w:r>
      <w:r w:rsidRPr="004768C9">
        <w:t> 10 </w:t>
      </w:r>
      <w:proofErr w:type="spellStart"/>
      <w:r w:rsidRPr="004768C9">
        <w:t>equiv</w:t>
      </w:r>
      <w:proofErr w:type="spellEnd"/>
      <w:r w:rsidRPr="004768C9">
        <w:t>, Pd(PPh</w:t>
      </w:r>
      <w:r w:rsidRPr="004768C9">
        <w:rPr>
          <w:sz w:val="18"/>
          <w:szCs w:val="18"/>
          <w:vertAlign w:val="subscript"/>
        </w:rPr>
        <w:t>3</w:t>
      </w:r>
      <w:r w:rsidRPr="004768C9">
        <w:t>)</w:t>
      </w:r>
      <w:r w:rsidRPr="004768C9">
        <w:rPr>
          <w:sz w:val="18"/>
          <w:szCs w:val="18"/>
          <w:vertAlign w:val="subscript"/>
        </w:rPr>
        <w:t>4</w:t>
      </w:r>
      <w:r w:rsidRPr="004768C9">
        <w:t>, 1,2‐dimethoxyethane, reflux 12 h; e) </w:t>
      </w:r>
      <w:proofErr w:type="spellStart"/>
      <w:r w:rsidRPr="004768C9">
        <w:t>Grubbs's</w:t>
      </w:r>
      <w:proofErr w:type="spellEnd"/>
      <w:r w:rsidRPr="004768C9">
        <w:t xml:space="preserve"> II 2 % mol, benzene, RT 24 h; f) H</w:t>
      </w:r>
      <w:r w:rsidRPr="004768C9">
        <w:rPr>
          <w:sz w:val="18"/>
          <w:szCs w:val="18"/>
          <w:vertAlign w:val="subscript"/>
        </w:rPr>
        <w:t>2</w:t>
      </w:r>
      <w:r w:rsidRPr="004768C9">
        <w:t>, Pd/C, benzene, 2 h.</w:t>
      </w:r>
    </w:p>
    <w:p w14:paraId="370AE1B4" w14:textId="77777777" w:rsidR="00295DF3" w:rsidRPr="004768C9" w:rsidRDefault="00295DF3" w:rsidP="00AC5AD8">
      <w:pPr>
        <w:pStyle w:val="NoSpacing"/>
      </w:pPr>
    </w:p>
    <w:p w14:paraId="25EE2627" w14:textId="77777777" w:rsidR="00481E77" w:rsidRPr="004768C9" w:rsidRDefault="00481E77" w:rsidP="004768C9">
      <w:pPr>
        <w:pStyle w:val="NormalWeb"/>
        <w:spacing w:before="75" w:beforeAutospacing="0" w:after="240" w:afterAutospacing="0" w:line="276" w:lineRule="auto"/>
        <w:rPr>
          <w:rFonts w:asciiTheme="minorHAnsi" w:hAnsiTheme="minorHAnsi" w:cstheme="minorHAnsi"/>
        </w:rPr>
      </w:pPr>
      <w:r w:rsidRPr="004768C9">
        <w:rPr>
          <w:rFonts w:asciiTheme="minorHAnsi" w:hAnsiTheme="minorHAnsi" w:cstheme="minorHAnsi"/>
        </w:rPr>
        <w:t>The characteristic absorption bands in the electronic spectra of </w:t>
      </w:r>
      <w:r w:rsidRPr="004768C9">
        <w:rPr>
          <w:rFonts w:asciiTheme="minorHAnsi" w:hAnsiTheme="minorHAnsi" w:cstheme="minorHAnsi"/>
          <w:sz w:val="18"/>
          <w:szCs w:val="18"/>
          <w:vertAlign w:val="superscript"/>
        </w:rPr>
        <w:t>C</w:t>
      </w:r>
      <w:r w:rsidRPr="004768C9">
        <w:rPr>
          <w:rFonts w:asciiTheme="minorHAnsi" w:hAnsiTheme="minorHAnsi" w:cstheme="minorHAnsi"/>
          <w:b/>
          <w:bCs/>
        </w:rPr>
        <w:t>F</w:t>
      </w:r>
      <w:r w:rsidRPr="004768C9">
        <w:rPr>
          <w:rFonts w:asciiTheme="minorHAnsi" w:hAnsiTheme="minorHAnsi" w:cstheme="minorHAnsi"/>
        </w:rPr>
        <w:t>2, </w:t>
      </w:r>
      <w:r w:rsidRPr="004768C9">
        <w:rPr>
          <w:rFonts w:asciiTheme="minorHAnsi" w:hAnsiTheme="minorHAnsi" w:cstheme="minorHAnsi"/>
          <w:sz w:val="18"/>
          <w:szCs w:val="18"/>
          <w:vertAlign w:val="superscript"/>
        </w:rPr>
        <w:t>Me</w:t>
      </w:r>
      <w:r w:rsidRPr="004768C9">
        <w:rPr>
          <w:rFonts w:asciiTheme="minorHAnsi" w:hAnsiTheme="minorHAnsi" w:cstheme="minorHAnsi"/>
          <w:b/>
          <w:bCs/>
        </w:rPr>
        <w:t>F</w:t>
      </w:r>
      <w:r w:rsidRPr="004768C9">
        <w:rPr>
          <w:rFonts w:asciiTheme="minorHAnsi" w:hAnsiTheme="minorHAnsi" w:cstheme="minorHAnsi"/>
        </w:rPr>
        <w:t>2, and </w:t>
      </w:r>
      <w:r w:rsidRPr="004768C9">
        <w:rPr>
          <w:rFonts w:asciiTheme="minorHAnsi" w:hAnsiTheme="minorHAnsi" w:cstheme="minorHAnsi"/>
          <w:i/>
          <w:iCs/>
          <w:sz w:val="18"/>
          <w:szCs w:val="18"/>
          <w:vertAlign w:val="superscript"/>
        </w:rPr>
        <w:t>t</w:t>
      </w:r>
      <w:r w:rsidRPr="004768C9">
        <w:rPr>
          <w:rFonts w:asciiTheme="minorHAnsi" w:hAnsiTheme="minorHAnsi" w:cstheme="minorHAnsi"/>
          <w:sz w:val="18"/>
          <w:szCs w:val="18"/>
          <w:vertAlign w:val="superscript"/>
        </w:rPr>
        <w:t>Bu</w:t>
      </w:r>
      <w:r w:rsidRPr="004768C9">
        <w:rPr>
          <w:rFonts w:asciiTheme="minorHAnsi" w:hAnsiTheme="minorHAnsi" w:cstheme="minorHAnsi"/>
          <w:b/>
          <w:bCs/>
        </w:rPr>
        <w:t>F</w:t>
      </w:r>
      <w:r w:rsidRPr="004768C9">
        <w:rPr>
          <w:rFonts w:asciiTheme="minorHAnsi" w:hAnsiTheme="minorHAnsi" w:cstheme="minorHAnsi"/>
        </w:rPr>
        <w:t xml:space="preserve">2 are comprised of similar </w:t>
      </w:r>
      <w:proofErr w:type="spellStart"/>
      <w:r w:rsidRPr="004768C9">
        <w:rPr>
          <w:rFonts w:asciiTheme="minorHAnsi" w:hAnsiTheme="minorHAnsi" w:cstheme="minorHAnsi"/>
        </w:rPr>
        <w:t>vibronic</w:t>
      </w:r>
      <w:proofErr w:type="spellEnd"/>
      <w:r w:rsidRPr="004768C9">
        <w:rPr>
          <w:rFonts w:asciiTheme="minorHAnsi" w:hAnsiTheme="minorHAnsi" w:cstheme="minorHAnsi"/>
        </w:rPr>
        <w:t xml:space="preserve"> features and the wavelength of the absorption maximum is nearly invariant, that is, </w:t>
      </w:r>
      <w:proofErr w:type="spellStart"/>
      <w:r w:rsidRPr="004768C9">
        <w:rPr>
          <w:rFonts w:asciiTheme="minorHAnsi" w:hAnsiTheme="minorHAnsi" w:cstheme="minorHAnsi"/>
          <w:i/>
          <w:iCs/>
        </w:rPr>
        <w:t>λ</w:t>
      </w:r>
      <w:r w:rsidRPr="004768C9">
        <w:rPr>
          <w:rFonts w:asciiTheme="minorHAnsi" w:hAnsiTheme="minorHAnsi" w:cstheme="minorHAnsi"/>
          <w:sz w:val="18"/>
          <w:szCs w:val="18"/>
          <w:vertAlign w:val="subscript"/>
        </w:rPr>
        <w:t>max</w:t>
      </w:r>
      <w:proofErr w:type="spellEnd"/>
      <w:r w:rsidRPr="004768C9">
        <w:rPr>
          <w:rFonts w:asciiTheme="minorHAnsi" w:hAnsiTheme="minorHAnsi" w:cstheme="minorHAnsi"/>
        </w:rPr>
        <w:t>=272±2 nm (Figure </w:t>
      </w:r>
      <w:hyperlink r:id="rId39" w:anchor="anie201804337-fig-0003" w:history="1">
        <w:r w:rsidRPr="004768C9">
          <w:rPr>
            <w:rStyle w:val="Hyperlink"/>
            <w:rFonts w:asciiTheme="minorHAnsi" w:eastAsiaTheme="majorEastAsia" w:hAnsiTheme="minorHAnsi" w:cstheme="minorHAnsi"/>
            <w:b/>
            <w:bCs/>
            <w:color w:val="005274"/>
          </w:rPr>
          <w:t>3</w:t>
        </w:r>
      </w:hyperlink>
      <w:r w:rsidRPr="004768C9">
        <w:rPr>
          <w:rFonts w:asciiTheme="minorHAnsi" w:hAnsiTheme="minorHAnsi" w:cstheme="minorHAnsi"/>
        </w:rPr>
        <w:t>). In contrast, emission spectra of </w:t>
      </w:r>
      <w:r w:rsidRPr="004768C9">
        <w:rPr>
          <w:rFonts w:asciiTheme="minorHAnsi" w:hAnsiTheme="minorHAnsi" w:cstheme="minorHAnsi"/>
          <w:b/>
          <w:bCs/>
        </w:rPr>
        <w:t>F</w:t>
      </w:r>
      <w:r w:rsidRPr="004768C9">
        <w:rPr>
          <w:rFonts w:asciiTheme="minorHAnsi" w:hAnsiTheme="minorHAnsi" w:cstheme="minorHAnsi"/>
        </w:rPr>
        <w:t xml:space="preserve">2 derivatives display a strong dependence on the </w:t>
      </w:r>
      <w:proofErr w:type="spellStart"/>
      <w:r w:rsidRPr="004768C9">
        <w:rPr>
          <w:rFonts w:asciiTheme="minorHAnsi" w:hAnsiTheme="minorHAnsi" w:cstheme="minorHAnsi"/>
        </w:rPr>
        <w:t>cofaciality</w:t>
      </w:r>
      <w:proofErr w:type="spellEnd"/>
      <w:r w:rsidRPr="004768C9">
        <w:rPr>
          <w:rFonts w:asciiTheme="minorHAnsi" w:hAnsiTheme="minorHAnsi" w:cstheme="minorHAnsi"/>
        </w:rPr>
        <w:t xml:space="preserve"> between fluorene moieties (Figure </w:t>
      </w:r>
      <w:hyperlink r:id="rId40" w:anchor="anie201804337-fig-0002" w:history="1">
        <w:r w:rsidRPr="004768C9">
          <w:rPr>
            <w:rStyle w:val="Hyperlink"/>
            <w:rFonts w:asciiTheme="minorHAnsi" w:eastAsiaTheme="majorEastAsia" w:hAnsiTheme="minorHAnsi" w:cstheme="minorHAnsi"/>
            <w:b/>
            <w:bCs/>
            <w:color w:val="005274"/>
          </w:rPr>
          <w:t>2</w:t>
        </w:r>
      </w:hyperlink>
      <w:r w:rsidRPr="004768C9">
        <w:rPr>
          <w:rFonts w:asciiTheme="minorHAnsi" w:hAnsiTheme="minorHAnsi" w:cstheme="minorHAnsi"/>
        </w:rPr>
        <w:t>). First, the emission spectrum of </w:t>
      </w:r>
      <w:r w:rsidRPr="004768C9">
        <w:rPr>
          <w:rFonts w:asciiTheme="minorHAnsi" w:hAnsiTheme="minorHAnsi" w:cstheme="minorHAnsi"/>
          <w:sz w:val="18"/>
          <w:szCs w:val="18"/>
          <w:vertAlign w:val="superscript"/>
        </w:rPr>
        <w:t>C</w:t>
      </w:r>
      <w:r w:rsidRPr="004768C9">
        <w:rPr>
          <w:rFonts w:asciiTheme="minorHAnsi" w:hAnsiTheme="minorHAnsi" w:cstheme="minorHAnsi"/>
          <w:b/>
          <w:bCs/>
        </w:rPr>
        <w:t>F</w:t>
      </w:r>
      <w:r w:rsidRPr="004768C9">
        <w:rPr>
          <w:rFonts w:asciiTheme="minorHAnsi" w:hAnsiTheme="minorHAnsi" w:cstheme="minorHAnsi"/>
        </w:rPr>
        <w:t xml:space="preserve">2 shows a broad </w:t>
      </w:r>
      <w:proofErr w:type="spellStart"/>
      <w:r w:rsidRPr="004768C9">
        <w:rPr>
          <w:rFonts w:asciiTheme="minorHAnsi" w:hAnsiTheme="minorHAnsi" w:cstheme="minorHAnsi"/>
        </w:rPr>
        <w:t>excimeric</w:t>
      </w:r>
      <w:proofErr w:type="spellEnd"/>
      <w:r w:rsidRPr="004768C9">
        <w:rPr>
          <w:rFonts w:asciiTheme="minorHAnsi" w:hAnsiTheme="minorHAnsi" w:cstheme="minorHAnsi"/>
        </w:rPr>
        <w:t>‐like band at 402 nm with the lifetime (</w:t>
      </w:r>
      <w:r w:rsidRPr="004768C9">
        <w:rPr>
          <w:rFonts w:asciiTheme="minorHAnsi" w:hAnsiTheme="minorHAnsi" w:cstheme="minorHAnsi"/>
          <w:i/>
          <w:iCs/>
        </w:rPr>
        <w:t>τ</w:t>
      </w:r>
      <w:r w:rsidRPr="004768C9">
        <w:rPr>
          <w:rFonts w:asciiTheme="minorHAnsi" w:hAnsiTheme="minorHAnsi" w:cstheme="minorHAnsi"/>
        </w:rPr>
        <w:t>) of 3.8 ns. While the emission spectrum of </w:t>
      </w:r>
      <w:r w:rsidRPr="004768C9">
        <w:rPr>
          <w:rFonts w:asciiTheme="minorHAnsi" w:hAnsiTheme="minorHAnsi" w:cstheme="minorHAnsi"/>
          <w:sz w:val="18"/>
          <w:szCs w:val="18"/>
          <w:vertAlign w:val="superscript"/>
        </w:rPr>
        <w:t>Me</w:t>
      </w:r>
      <w:r w:rsidRPr="004768C9">
        <w:rPr>
          <w:rFonts w:asciiTheme="minorHAnsi" w:hAnsiTheme="minorHAnsi" w:cstheme="minorHAnsi"/>
          <w:b/>
          <w:bCs/>
        </w:rPr>
        <w:t>F</w:t>
      </w:r>
      <w:r w:rsidRPr="004768C9">
        <w:rPr>
          <w:rFonts w:asciiTheme="minorHAnsi" w:hAnsiTheme="minorHAnsi" w:cstheme="minorHAnsi"/>
        </w:rPr>
        <w:t xml:space="preserve">2 displays a similar </w:t>
      </w:r>
      <w:proofErr w:type="spellStart"/>
      <w:r w:rsidRPr="004768C9">
        <w:rPr>
          <w:rFonts w:asciiTheme="minorHAnsi" w:hAnsiTheme="minorHAnsi" w:cstheme="minorHAnsi"/>
        </w:rPr>
        <w:t>excimeric</w:t>
      </w:r>
      <w:proofErr w:type="spellEnd"/>
      <w:r w:rsidRPr="004768C9">
        <w:rPr>
          <w:rFonts w:asciiTheme="minorHAnsi" w:hAnsiTheme="minorHAnsi" w:cstheme="minorHAnsi"/>
        </w:rPr>
        <w:t xml:space="preserve"> band at 400 nm (</w:t>
      </w:r>
      <w:r w:rsidRPr="004768C9">
        <w:rPr>
          <w:rFonts w:asciiTheme="minorHAnsi" w:hAnsiTheme="minorHAnsi" w:cstheme="minorHAnsi"/>
          <w:i/>
          <w:iCs/>
        </w:rPr>
        <w:t>τ</w:t>
      </w:r>
      <w:r w:rsidRPr="004768C9">
        <w:rPr>
          <w:rFonts w:asciiTheme="minorHAnsi" w:hAnsiTheme="minorHAnsi" w:cstheme="minorHAnsi"/>
        </w:rPr>
        <w:t>=6.5 ns), it also contains a weak band at 325 nm (</w:t>
      </w:r>
      <w:r w:rsidRPr="004768C9">
        <w:rPr>
          <w:rFonts w:asciiTheme="minorHAnsi" w:hAnsiTheme="minorHAnsi" w:cstheme="minorHAnsi"/>
          <w:i/>
          <w:iCs/>
        </w:rPr>
        <w:t>τ</w:t>
      </w:r>
      <w:r w:rsidRPr="004768C9">
        <w:rPr>
          <w:rFonts w:asciiTheme="minorHAnsi" w:hAnsiTheme="minorHAnsi" w:cstheme="minorHAnsi"/>
        </w:rPr>
        <w:t>=2.4 ns), which corresponds to the region where emission of </w:t>
      </w:r>
      <w:r w:rsidRPr="004768C9">
        <w:rPr>
          <w:rFonts w:asciiTheme="minorHAnsi" w:hAnsiTheme="minorHAnsi" w:cstheme="minorHAnsi"/>
          <w:sz w:val="18"/>
          <w:szCs w:val="18"/>
          <w:vertAlign w:val="superscript"/>
        </w:rPr>
        <w:t>Me</w:t>
      </w:r>
      <w:r w:rsidRPr="004768C9">
        <w:rPr>
          <w:rFonts w:asciiTheme="minorHAnsi" w:hAnsiTheme="minorHAnsi" w:cstheme="minorHAnsi"/>
          <w:b/>
          <w:bCs/>
        </w:rPr>
        <w:t>F</w:t>
      </w:r>
      <w:r w:rsidRPr="004768C9">
        <w:rPr>
          <w:rFonts w:asciiTheme="minorHAnsi" w:hAnsiTheme="minorHAnsi" w:cstheme="minorHAnsi"/>
        </w:rPr>
        <w:t>1 monomer occurs (Supporting Information, Figure S3). This indicates that two minima must be present on the potential energy surface (PES) of the S</w:t>
      </w:r>
      <w:r w:rsidRPr="004768C9">
        <w:rPr>
          <w:rFonts w:asciiTheme="minorHAnsi" w:hAnsiTheme="minorHAnsi" w:cstheme="minorHAnsi"/>
          <w:sz w:val="18"/>
          <w:szCs w:val="18"/>
          <w:vertAlign w:val="subscript"/>
        </w:rPr>
        <w:t>1</w:t>
      </w:r>
      <w:r w:rsidRPr="004768C9">
        <w:rPr>
          <w:rFonts w:asciiTheme="minorHAnsi" w:hAnsiTheme="minorHAnsi" w:cstheme="minorHAnsi"/>
        </w:rPr>
        <w:t> excited state of </w:t>
      </w:r>
      <w:r w:rsidRPr="004768C9">
        <w:rPr>
          <w:rFonts w:asciiTheme="minorHAnsi" w:hAnsiTheme="minorHAnsi" w:cstheme="minorHAnsi"/>
          <w:sz w:val="18"/>
          <w:szCs w:val="18"/>
          <w:vertAlign w:val="superscript"/>
        </w:rPr>
        <w:t>Me</w:t>
      </w:r>
      <w:r w:rsidRPr="004768C9">
        <w:rPr>
          <w:rFonts w:asciiTheme="minorHAnsi" w:hAnsiTheme="minorHAnsi" w:cstheme="minorHAnsi"/>
          <w:b/>
          <w:bCs/>
        </w:rPr>
        <w:t>F</w:t>
      </w:r>
      <w:r w:rsidRPr="004768C9">
        <w:rPr>
          <w:rFonts w:asciiTheme="minorHAnsi" w:hAnsiTheme="minorHAnsi" w:cstheme="minorHAnsi"/>
        </w:rPr>
        <w:t>2. Indeed, TD‐DFT calculations at the benchmarked</w:t>
      </w:r>
      <w:hyperlink r:id="rId41" w:anchor="anie201804337-bib-0012" w:history="1">
        <w:r w:rsidRPr="004768C9">
          <w:rPr>
            <w:rStyle w:val="Hyperlink"/>
            <w:rFonts w:asciiTheme="minorHAnsi" w:eastAsiaTheme="majorEastAsia" w:hAnsiTheme="minorHAnsi" w:cstheme="minorHAnsi"/>
            <w:color w:val="000000"/>
            <w:sz w:val="18"/>
            <w:szCs w:val="18"/>
            <w:vertAlign w:val="superscript"/>
          </w:rPr>
          <w:t>12</w:t>
        </w:r>
      </w:hyperlink>
      <w:r w:rsidRPr="004768C9">
        <w:rPr>
          <w:rFonts w:asciiTheme="minorHAnsi" w:hAnsiTheme="minorHAnsi" w:cstheme="minorHAnsi"/>
          <w:sz w:val="18"/>
          <w:szCs w:val="18"/>
          <w:vertAlign w:val="superscript"/>
        </w:rPr>
        <w:t>, </w:t>
      </w:r>
      <w:hyperlink r:id="rId42" w:anchor="anie201804337-bib-0024" w:history="1">
        <w:r w:rsidRPr="004768C9">
          <w:rPr>
            <w:rStyle w:val="Hyperlink"/>
            <w:rFonts w:asciiTheme="minorHAnsi" w:eastAsiaTheme="majorEastAsia" w:hAnsiTheme="minorHAnsi" w:cstheme="minorHAnsi"/>
            <w:color w:val="000000"/>
            <w:sz w:val="18"/>
            <w:szCs w:val="18"/>
            <w:vertAlign w:val="superscript"/>
          </w:rPr>
          <w:t>24</w:t>
        </w:r>
      </w:hyperlink>
      <w:r w:rsidRPr="004768C9">
        <w:rPr>
          <w:rFonts w:asciiTheme="minorHAnsi" w:hAnsiTheme="minorHAnsi" w:cstheme="minorHAnsi"/>
          <w:sz w:val="18"/>
          <w:szCs w:val="18"/>
          <w:vertAlign w:val="superscript"/>
        </w:rPr>
        <w:t>, </w:t>
      </w:r>
      <w:hyperlink r:id="rId43" w:anchor="anie201804337-bib-0025" w:history="1">
        <w:r w:rsidRPr="004768C9">
          <w:rPr>
            <w:rStyle w:val="Hyperlink"/>
            <w:rFonts w:asciiTheme="minorHAnsi" w:eastAsiaTheme="majorEastAsia" w:hAnsiTheme="minorHAnsi" w:cstheme="minorHAnsi"/>
            <w:color w:val="000000"/>
            <w:sz w:val="18"/>
            <w:szCs w:val="18"/>
            <w:vertAlign w:val="superscript"/>
          </w:rPr>
          <w:t>25</w:t>
        </w:r>
      </w:hyperlink>
      <w:r w:rsidRPr="004768C9">
        <w:rPr>
          <w:rFonts w:asciiTheme="minorHAnsi" w:hAnsiTheme="minorHAnsi" w:cstheme="minorHAnsi"/>
        </w:rPr>
        <w:t> B1LYP40‐D3/6‐31G(d)+PCM(CH</w:t>
      </w:r>
      <w:r w:rsidRPr="004768C9">
        <w:rPr>
          <w:rFonts w:asciiTheme="minorHAnsi" w:hAnsiTheme="minorHAnsi" w:cstheme="minorHAnsi"/>
          <w:sz w:val="18"/>
          <w:szCs w:val="18"/>
          <w:vertAlign w:val="subscript"/>
        </w:rPr>
        <w:t>2</w:t>
      </w:r>
      <w:r w:rsidRPr="004768C9">
        <w:rPr>
          <w:rFonts w:asciiTheme="minorHAnsi" w:hAnsiTheme="minorHAnsi" w:cstheme="minorHAnsi"/>
        </w:rPr>
        <w:t>Cl</w:t>
      </w:r>
      <w:r w:rsidRPr="004768C9">
        <w:rPr>
          <w:rFonts w:asciiTheme="minorHAnsi" w:hAnsiTheme="minorHAnsi" w:cstheme="minorHAnsi"/>
          <w:sz w:val="18"/>
          <w:szCs w:val="18"/>
          <w:vertAlign w:val="subscript"/>
        </w:rPr>
        <w:t>2</w:t>
      </w:r>
      <w:r w:rsidRPr="004768C9">
        <w:rPr>
          <w:rFonts w:asciiTheme="minorHAnsi" w:hAnsiTheme="minorHAnsi" w:cstheme="minorHAnsi"/>
        </w:rPr>
        <w:t>) revealed the presence of two equilibrium structures of </w:t>
      </w:r>
      <w:r w:rsidRPr="004768C9">
        <w:rPr>
          <w:rFonts w:asciiTheme="minorHAnsi" w:hAnsiTheme="minorHAnsi" w:cstheme="minorHAnsi"/>
          <w:sz w:val="18"/>
          <w:szCs w:val="18"/>
          <w:vertAlign w:val="superscript"/>
        </w:rPr>
        <w:t>Me</w:t>
      </w:r>
      <w:r w:rsidRPr="004768C9">
        <w:rPr>
          <w:rFonts w:asciiTheme="minorHAnsi" w:hAnsiTheme="minorHAnsi" w:cstheme="minorHAnsi"/>
          <w:b/>
          <w:bCs/>
        </w:rPr>
        <w:t>F</w:t>
      </w:r>
      <w:r w:rsidRPr="004768C9">
        <w:rPr>
          <w:rFonts w:asciiTheme="minorHAnsi" w:hAnsiTheme="minorHAnsi" w:cstheme="minorHAnsi"/>
        </w:rPr>
        <w:t>2 on the excited state PES, with different exciton delocalization as represented by the transition‐density plots in Figure </w:t>
      </w:r>
      <w:hyperlink r:id="rId44" w:anchor="anie201804337-fig-0003" w:history="1">
        <w:r w:rsidRPr="004768C9">
          <w:rPr>
            <w:rStyle w:val="Hyperlink"/>
            <w:rFonts w:asciiTheme="minorHAnsi" w:eastAsiaTheme="majorEastAsia" w:hAnsiTheme="minorHAnsi" w:cstheme="minorHAnsi"/>
            <w:b/>
            <w:bCs/>
            <w:color w:val="005274"/>
          </w:rPr>
          <w:t>3</w:t>
        </w:r>
      </w:hyperlink>
      <w:r w:rsidRPr="004768C9">
        <w:rPr>
          <w:rFonts w:asciiTheme="minorHAnsi" w:hAnsiTheme="minorHAnsi" w:cstheme="minorHAnsi"/>
        </w:rPr>
        <w:t xml:space="preserve">. In the global‐minimum </w:t>
      </w:r>
      <w:proofErr w:type="spellStart"/>
      <w:r w:rsidRPr="004768C9">
        <w:rPr>
          <w:rFonts w:asciiTheme="minorHAnsi" w:hAnsiTheme="minorHAnsi" w:cstheme="minorHAnsi"/>
        </w:rPr>
        <w:t>excimeric</w:t>
      </w:r>
      <w:proofErr w:type="spellEnd"/>
      <w:r w:rsidRPr="004768C9">
        <w:rPr>
          <w:rFonts w:asciiTheme="minorHAnsi" w:hAnsiTheme="minorHAnsi" w:cstheme="minorHAnsi"/>
        </w:rPr>
        <w:t xml:space="preserve"> sandwich‐like structure, the exciton is delocalized over both fluorenes, while in the higher‐energy displaced </w:t>
      </w:r>
      <w:r w:rsidRPr="004768C9">
        <w:rPr>
          <w:rFonts w:asciiTheme="minorHAnsi" w:hAnsiTheme="minorHAnsi" w:cstheme="minorHAnsi"/>
          <w:sz w:val="18"/>
          <w:szCs w:val="18"/>
          <w:vertAlign w:val="superscript"/>
        </w:rPr>
        <w:t>Me</w:t>
      </w:r>
      <w:r w:rsidRPr="004768C9">
        <w:rPr>
          <w:rFonts w:asciiTheme="minorHAnsi" w:hAnsiTheme="minorHAnsi" w:cstheme="minorHAnsi"/>
          <w:b/>
          <w:bCs/>
        </w:rPr>
        <w:t>F</w:t>
      </w:r>
      <w:r w:rsidRPr="004768C9">
        <w:rPr>
          <w:rFonts w:asciiTheme="minorHAnsi" w:hAnsiTheme="minorHAnsi" w:cstheme="minorHAnsi"/>
        </w:rPr>
        <w:t>2, the exciton is localized on a single fluorene.</w:t>
      </w:r>
    </w:p>
    <w:p w14:paraId="3C3A7AFD" w14:textId="0BC3BABD" w:rsidR="00481E77" w:rsidRPr="004768C9" w:rsidRDefault="00D64D7D" w:rsidP="00D64D7D">
      <w:pPr>
        <w:spacing w:after="0" w:line="276" w:lineRule="auto"/>
        <w:rPr>
          <w:rFonts w:cstheme="minorHAnsi"/>
        </w:rPr>
      </w:pPr>
      <w:r>
        <w:rPr>
          <w:noProof/>
        </w:rPr>
        <w:drawing>
          <wp:inline distT="0" distB="0" distL="0" distR="0" wp14:anchorId="6EDF8A0C" wp14:editId="4D6569C2">
            <wp:extent cx="2580005" cy="4762500"/>
            <wp:effectExtent l="0" t="0" r="0" b="0"/>
            <wp:docPr id="10" name="Picture 10" descr="Figure 3 Absorption (gray) and emission (colored) spectra of CF2, MeF2, and tBuF2 in CH2Cl2 at 22 °C. Sticks represent the emission wavelength calculated using TD‐B1LYP40‐D3/6‐31G(d)+PCM(CH2Cl2). Transition‐density plots are shown for the equilibrium structures of CF2, MeF2, and tBu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580005" cy="4762500"/>
                    </a:xfrm>
                    <a:prstGeom prst="rect">
                      <a:avLst/>
                    </a:prstGeom>
                    <a:noFill/>
                    <a:ln>
                      <a:noFill/>
                    </a:ln>
                  </pic:spPr>
                </pic:pic>
              </a:graphicData>
            </a:graphic>
          </wp:inline>
        </w:drawing>
      </w:r>
    </w:p>
    <w:p w14:paraId="74004E0D" w14:textId="1003FD8D" w:rsidR="00481E77" w:rsidRPr="004768C9" w:rsidRDefault="00481E77" w:rsidP="00D64D7D">
      <w:pPr>
        <w:pStyle w:val="NoSpacing"/>
      </w:pPr>
      <w:r w:rsidRPr="004768C9">
        <w:rPr>
          <w:rStyle w:val="Strong"/>
          <w:rFonts w:cstheme="minorHAnsi"/>
          <w:color w:val="212121"/>
        </w:rPr>
        <w:t>Figure 3</w:t>
      </w:r>
      <w:r w:rsidR="00D64D7D">
        <w:rPr>
          <w:rStyle w:val="Strong"/>
          <w:rFonts w:cstheme="minorHAnsi"/>
          <w:color w:val="212121"/>
        </w:rPr>
        <w:t xml:space="preserve"> </w:t>
      </w:r>
      <w:r w:rsidRPr="004768C9">
        <w:t>Absorption (gray) and emission (colored) spectra of </w:t>
      </w:r>
      <w:r w:rsidRPr="004768C9">
        <w:rPr>
          <w:sz w:val="18"/>
          <w:szCs w:val="18"/>
          <w:vertAlign w:val="superscript"/>
        </w:rPr>
        <w:t>C</w:t>
      </w:r>
      <w:r w:rsidRPr="004768C9">
        <w:rPr>
          <w:b/>
          <w:bCs/>
        </w:rPr>
        <w:t>F</w:t>
      </w:r>
      <w:r w:rsidRPr="004768C9">
        <w:t>2, </w:t>
      </w:r>
      <w:r w:rsidRPr="004768C9">
        <w:rPr>
          <w:sz w:val="18"/>
          <w:szCs w:val="18"/>
          <w:vertAlign w:val="superscript"/>
        </w:rPr>
        <w:t>Me</w:t>
      </w:r>
      <w:r w:rsidRPr="004768C9">
        <w:rPr>
          <w:b/>
          <w:bCs/>
        </w:rPr>
        <w:t>F</w:t>
      </w:r>
      <w:r w:rsidRPr="004768C9">
        <w:t>2, and </w:t>
      </w:r>
      <w:r w:rsidRPr="004768C9">
        <w:rPr>
          <w:i/>
          <w:iCs/>
          <w:sz w:val="18"/>
          <w:szCs w:val="18"/>
          <w:vertAlign w:val="superscript"/>
        </w:rPr>
        <w:t>t</w:t>
      </w:r>
      <w:r w:rsidRPr="004768C9">
        <w:rPr>
          <w:sz w:val="18"/>
          <w:szCs w:val="18"/>
          <w:vertAlign w:val="superscript"/>
        </w:rPr>
        <w:t>Bu</w:t>
      </w:r>
      <w:r w:rsidRPr="004768C9">
        <w:rPr>
          <w:b/>
          <w:bCs/>
        </w:rPr>
        <w:t>F</w:t>
      </w:r>
      <w:r w:rsidRPr="004768C9">
        <w:t>2 in CH</w:t>
      </w:r>
      <w:r w:rsidRPr="004768C9">
        <w:rPr>
          <w:sz w:val="18"/>
          <w:szCs w:val="18"/>
          <w:vertAlign w:val="subscript"/>
        </w:rPr>
        <w:t>2</w:t>
      </w:r>
      <w:r w:rsidRPr="004768C9">
        <w:t>Cl</w:t>
      </w:r>
      <w:r w:rsidRPr="004768C9">
        <w:rPr>
          <w:sz w:val="18"/>
          <w:szCs w:val="18"/>
          <w:vertAlign w:val="subscript"/>
        </w:rPr>
        <w:t>2</w:t>
      </w:r>
      <w:r w:rsidRPr="004768C9">
        <w:t> at 22 °C. Sticks represent the emission wavelength calculated using TD‐B1LYP40‐D3/6‐31G(d)+PCM(CH</w:t>
      </w:r>
      <w:r w:rsidRPr="004768C9">
        <w:rPr>
          <w:sz w:val="18"/>
          <w:szCs w:val="18"/>
          <w:vertAlign w:val="subscript"/>
        </w:rPr>
        <w:t>2</w:t>
      </w:r>
      <w:r w:rsidRPr="004768C9">
        <w:t>Cl</w:t>
      </w:r>
      <w:r w:rsidRPr="004768C9">
        <w:rPr>
          <w:sz w:val="18"/>
          <w:szCs w:val="18"/>
          <w:vertAlign w:val="subscript"/>
        </w:rPr>
        <w:t>2</w:t>
      </w:r>
      <w:r w:rsidRPr="004768C9">
        <w:t>). Transition‐density plots are shown for the equilibrium structures of </w:t>
      </w:r>
      <w:r w:rsidRPr="004768C9">
        <w:rPr>
          <w:sz w:val="18"/>
          <w:szCs w:val="18"/>
          <w:vertAlign w:val="superscript"/>
        </w:rPr>
        <w:t>C</w:t>
      </w:r>
      <w:r w:rsidRPr="004768C9">
        <w:rPr>
          <w:b/>
          <w:bCs/>
        </w:rPr>
        <w:t>F</w:t>
      </w:r>
      <w:r w:rsidRPr="004768C9">
        <w:t>2, </w:t>
      </w:r>
      <w:r w:rsidRPr="004768C9">
        <w:rPr>
          <w:sz w:val="18"/>
          <w:szCs w:val="18"/>
          <w:vertAlign w:val="superscript"/>
        </w:rPr>
        <w:t>Me</w:t>
      </w:r>
      <w:r w:rsidRPr="004768C9">
        <w:rPr>
          <w:b/>
          <w:bCs/>
        </w:rPr>
        <w:t>F</w:t>
      </w:r>
      <w:r w:rsidRPr="004768C9">
        <w:t>2, and </w:t>
      </w:r>
      <w:r w:rsidRPr="004768C9">
        <w:rPr>
          <w:i/>
          <w:iCs/>
          <w:sz w:val="18"/>
          <w:szCs w:val="18"/>
          <w:vertAlign w:val="superscript"/>
        </w:rPr>
        <w:t>t</w:t>
      </w:r>
      <w:r w:rsidRPr="004768C9">
        <w:rPr>
          <w:sz w:val="18"/>
          <w:szCs w:val="18"/>
          <w:vertAlign w:val="superscript"/>
        </w:rPr>
        <w:t>Bu</w:t>
      </w:r>
      <w:r w:rsidRPr="004768C9">
        <w:rPr>
          <w:b/>
          <w:bCs/>
        </w:rPr>
        <w:t>F</w:t>
      </w:r>
      <w:r w:rsidRPr="004768C9">
        <w:t>2.</w:t>
      </w:r>
    </w:p>
    <w:p w14:paraId="3111A117" w14:textId="77777777" w:rsidR="00D64D7D" w:rsidRDefault="00D64D7D" w:rsidP="004768C9">
      <w:pPr>
        <w:pStyle w:val="NormalWeb"/>
        <w:spacing w:before="75" w:beforeAutospacing="0" w:after="240" w:afterAutospacing="0" w:line="276" w:lineRule="auto"/>
        <w:rPr>
          <w:rFonts w:asciiTheme="minorHAnsi" w:hAnsiTheme="minorHAnsi" w:cstheme="minorHAnsi"/>
        </w:rPr>
      </w:pPr>
    </w:p>
    <w:p w14:paraId="4ABF40AF" w14:textId="10629598" w:rsidR="00481E77" w:rsidRPr="004768C9" w:rsidRDefault="00481E77" w:rsidP="004768C9">
      <w:pPr>
        <w:pStyle w:val="NormalWeb"/>
        <w:spacing w:before="75" w:beforeAutospacing="0" w:after="240" w:afterAutospacing="0" w:line="276" w:lineRule="auto"/>
        <w:rPr>
          <w:rFonts w:asciiTheme="minorHAnsi" w:hAnsiTheme="minorHAnsi" w:cstheme="minorHAnsi"/>
        </w:rPr>
      </w:pPr>
      <w:r w:rsidRPr="004768C9">
        <w:rPr>
          <w:rFonts w:asciiTheme="minorHAnsi" w:hAnsiTheme="minorHAnsi" w:cstheme="minorHAnsi"/>
        </w:rPr>
        <w:t>In contrast to unhindered </w:t>
      </w:r>
      <w:r w:rsidRPr="004768C9">
        <w:rPr>
          <w:rFonts w:asciiTheme="minorHAnsi" w:hAnsiTheme="minorHAnsi" w:cstheme="minorHAnsi"/>
          <w:sz w:val="18"/>
          <w:szCs w:val="18"/>
          <w:vertAlign w:val="superscript"/>
        </w:rPr>
        <w:t>Me</w:t>
      </w:r>
      <w:r w:rsidRPr="004768C9">
        <w:rPr>
          <w:rFonts w:asciiTheme="minorHAnsi" w:hAnsiTheme="minorHAnsi" w:cstheme="minorHAnsi"/>
          <w:b/>
          <w:bCs/>
        </w:rPr>
        <w:t>F</w:t>
      </w:r>
      <w:r w:rsidRPr="004768C9">
        <w:rPr>
          <w:rFonts w:asciiTheme="minorHAnsi" w:hAnsiTheme="minorHAnsi" w:cstheme="minorHAnsi"/>
        </w:rPr>
        <w:t>2, the emission spectrum of sterically hindered </w:t>
      </w:r>
      <w:r w:rsidRPr="004768C9">
        <w:rPr>
          <w:rFonts w:asciiTheme="minorHAnsi" w:hAnsiTheme="minorHAnsi" w:cstheme="minorHAnsi"/>
          <w:i/>
          <w:iCs/>
          <w:sz w:val="18"/>
          <w:szCs w:val="18"/>
          <w:vertAlign w:val="superscript"/>
        </w:rPr>
        <w:t>t</w:t>
      </w:r>
      <w:r w:rsidRPr="004768C9">
        <w:rPr>
          <w:rFonts w:asciiTheme="minorHAnsi" w:hAnsiTheme="minorHAnsi" w:cstheme="minorHAnsi"/>
          <w:sz w:val="18"/>
          <w:szCs w:val="18"/>
          <w:vertAlign w:val="superscript"/>
        </w:rPr>
        <w:t>Bu</w:t>
      </w:r>
      <w:r w:rsidRPr="004768C9">
        <w:rPr>
          <w:rFonts w:asciiTheme="minorHAnsi" w:hAnsiTheme="minorHAnsi" w:cstheme="minorHAnsi"/>
          <w:b/>
          <w:bCs/>
        </w:rPr>
        <w:t>F</w:t>
      </w:r>
      <w:r w:rsidRPr="004768C9">
        <w:rPr>
          <w:rFonts w:asciiTheme="minorHAnsi" w:hAnsiTheme="minorHAnsi" w:cstheme="minorHAnsi"/>
        </w:rPr>
        <w:t xml:space="preserve">2 displays strong monomeric and weak </w:t>
      </w:r>
      <w:proofErr w:type="spellStart"/>
      <w:r w:rsidRPr="004768C9">
        <w:rPr>
          <w:rFonts w:asciiTheme="minorHAnsi" w:hAnsiTheme="minorHAnsi" w:cstheme="minorHAnsi"/>
        </w:rPr>
        <w:t>excimeric</w:t>
      </w:r>
      <w:proofErr w:type="spellEnd"/>
      <w:r w:rsidRPr="004768C9">
        <w:rPr>
          <w:rFonts w:asciiTheme="minorHAnsi" w:hAnsiTheme="minorHAnsi" w:cstheme="minorHAnsi"/>
        </w:rPr>
        <w:t xml:space="preserve"> bands at 325 and 380 nm, with corresponding lifetimes of 0.4 ns and 1.5 ns, respectively. This suggests that the steric hindrance imposed by the bulky </w:t>
      </w:r>
      <w:proofErr w:type="spellStart"/>
      <w:r w:rsidRPr="004768C9">
        <w:rPr>
          <w:rFonts w:asciiTheme="minorHAnsi" w:hAnsiTheme="minorHAnsi" w:cstheme="minorHAnsi"/>
          <w:i/>
          <w:iCs/>
        </w:rPr>
        <w:t>t</w:t>
      </w:r>
      <w:r w:rsidRPr="004768C9">
        <w:rPr>
          <w:rFonts w:asciiTheme="minorHAnsi" w:hAnsiTheme="minorHAnsi" w:cstheme="minorHAnsi"/>
        </w:rPr>
        <w:t>Bu</w:t>
      </w:r>
      <w:proofErr w:type="spellEnd"/>
      <w:r w:rsidRPr="004768C9">
        <w:rPr>
          <w:rFonts w:asciiTheme="minorHAnsi" w:hAnsiTheme="minorHAnsi" w:cstheme="minorHAnsi"/>
        </w:rPr>
        <w:t xml:space="preserve"> groups must destabilize a sandwich‐like conformation in favor of the conformation where two fluorenes are displaced. Indeed, TD‐DFT calculations showed the presence of two energetically similar equilibrium structures on the excited state PES of </w:t>
      </w:r>
      <w:r w:rsidRPr="004768C9">
        <w:rPr>
          <w:rFonts w:asciiTheme="minorHAnsi" w:hAnsiTheme="minorHAnsi" w:cstheme="minorHAnsi"/>
          <w:i/>
          <w:iCs/>
          <w:sz w:val="18"/>
          <w:szCs w:val="18"/>
          <w:vertAlign w:val="superscript"/>
        </w:rPr>
        <w:t>t</w:t>
      </w:r>
      <w:r w:rsidRPr="004768C9">
        <w:rPr>
          <w:rFonts w:asciiTheme="minorHAnsi" w:hAnsiTheme="minorHAnsi" w:cstheme="minorHAnsi"/>
          <w:sz w:val="18"/>
          <w:szCs w:val="18"/>
          <w:vertAlign w:val="superscript"/>
        </w:rPr>
        <w:t>Bu</w:t>
      </w:r>
      <w:r w:rsidRPr="004768C9">
        <w:rPr>
          <w:rFonts w:asciiTheme="minorHAnsi" w:hAnsiTheme="minorHAnsi" w:cstheme="minorHAnsi"/>
          <w:b/>
          <w:bCs/>
        </w:rPr>
        <w:t>F</w:t>
      </w:r>
      <w:r w:rsidRPr="004768C9">
        <w:rPr>
          <w:rFonts w:asciiTheme="minorHAnsi" w:hAnsiTheme="minorHAnsi" w:cstheme="minorHAnsi"/>
        </w:rPr>
        <w:t>2, corresponding to a sandwich‐like conformation with exciton delocalized over both fluorenes and a displaced conformation with exciton fully localized on a single fluorene (Figure </w:t>
      </w:r>
      <w:hyperlink r:id="rId46" w:anchor="anie201804337-fig-0003" w:history="1">
        <w:r w:rsidRPr="004768C9">
          <w:rPr>
            <w:rStyle w:val="Hyperlink"/>
            <w:rFonts w:asciiTheme="minorHAnsi" w:eastAsiaTheme="majorEastAsia" w:hAnsiTheme="minorHAnsi" w:cstheme="minorHAnsi"/>
            <w:b/>
            <w:bCs/>
            <w:color w:val="005274"/>
          </w:rPr>
          <w:t>3</w:t>
        </w:r>
      </w:hyperlink>
      <w:r w:rsidRPr="004768C9">
        <w:rPr>
          <w:rFonts w:asciiTheme="minorHAnsi" w:hAnsiTheme="minorHAnsi" w:cstheme="minorHAnsi"/>
        </w:rPr>
        <w:t>).</w:t>
      </w:r>
    </w:p>
    <w:p w14:paraId="26214C12" w14:textId="77777777" w:rsidR="00481E77" w:rsidRPr="004768C9" w:rsidRDefault="00481E77" w:rsidP="004768C9">
      <w:pPr>
        <w:pStyle w:val="NormalWeb"/>
        <w:spacing w:before="75" w:beforeAutospacing="0" w:after="240" w:afterAutospacing="0" w:line="276" w:lineRule="auto"/>
        <w:rPr>
          <w:rFonts w:asciiTheme="minorHAnsi" w:hAnsiTheme="minorHAnsi" w:cstheme="minorHAnsi"/>
        </w:rPr>
      </w:pPr>
      <w:r w:rsidRPr="004768C9">
        <w:rPr>
          <w:rFonts w:asciiTheme="minorHAnsi" w:hAnsiTheme="minorHAnsi" w:cstheme="minorHAnsi"/>
        </w:rPr>
        <w:t>Cyclic voltammograms of </w:t>
      </w:r>
      <w:r w:rsidRPr="004768C9">
        <w:rPr>
          <w:rFonts w:asciiTheme="minorHAnsi" w:hAnsiTheme="minorHAnsi" w:cstheme="minorHAnsi"/>
          <w:sz w:val="18"/>
          <w:szCs w:val="18"/>
          <w:vertAlign w:val="superscript"/>
        </w:rPr>
        <w:t>C</w:t>
      </w:r>
      <w:r w:rsidRPr="004768C9">
        <w:rPr>
          <w:rFonts w:asciiTheme="minorHAnsi" w:hAnsiTheme="minorHAnsi" w:cstheme="minorHAnsi"/>
          <w:b/>
          <w:bCs/>
        </w:rPr>
        <w:t>F</w:t>
      </w:r>
      <w:r w:rsidRPr="004768C9">
        <w:rPr>
          <w:rFonts w:asciiTheme="minorHAnsi" w:hAnsiTheme="minorHAnsi" w:cstheme="minorHAnsi"/>
        </w:rPr>
        <w:t>2, </w:t>
      </w:r>
      <w:r w:rsidRPr="004768C9">
        <w:rPr>
          <w:rFonts w:asciiTheme="minorHAnsi" w:hAnsiTheme="minorHAnsi" w:cstheme="minorHAnsi"/>
          <w:sz w:val="18"/>
          <w:szCs w:val="18"/>
          <w:vertAlign w:val="superscript"/>
        </w:rPr>
        <w:t>Me</w:t>
      </w:r>
      <w:r w:rsidRPr="004768C9">
        <w:rPr>
          <w:rFonts w:asciiTheme="minorHAnsi" w:hAnsiTheme="minorHAnsi" w:cstheme="minorHAnsi"/>
          <w:b/>
          <w:bCs/>
        </w:rPr>
        <w:t>F</w:t>
      </w:r>
      <w:r w:rsidRPr="004768C9">
        <w:rPr>
          <w:rFonts w:asciiTheme="minorHAnsi" w:hAnsiTheme="minorHAnsi" w:cstheme="minorHAnsi"/>
        </w:rPr>
        <w:t>2, and </w:t>
      </w:r>
      <w:r w:rsidRPr="004768C9">
        <w:rPr>
          <w:rFonts w:asciiTheme="minorHAnsi" w:hAnsiTheme="minorHAnsi" w:cstheme="minorHAnsi"/>
          <w:i/>
          <w:iCs/>
          <w:sz w:val="18"/>
          <w:szCs w:val="18"/>
          <w:vertAlign w:val="superscript"/>
        </w:rPr>
        <w:t>t</w:t>
      </w:r>
      <w:r w:rsidRPr="004768C9">
        <w:rPr>
          <w:rFonts w:asciiTheme="minorHAnsi" w:hAnsiTheme="minorHAnsi" w:cstheme="minorHAnsi"/>
          <w:sz w:val="18"/>
          <w:szCs w:val="18"/>
          <w:vertAlign w:val="superscript"/>
        </w:rPr>
        <w:t>Bu</w:t>
      </w:r>
      <w:r w:rsidRPr="004768C9">
        <w:rPr>
          <w:rFonts w:asciiTheme="minorHAnsi" w:hAnsiTheme="minorHAnsi" w:cstheme="minorHAnsi"/>
          <w:b/>
          <w:bCs/>
        </w:rPr>
        <w:t>F</w:t>
      </w:r>
      <w:r w:rsidRPr="004768C9">
        <w:rPr>
          <w:rFonts w:asciiTheme="minorHAnsi" w:hAnsiTheme="minorHAnsi" w:cstheme="minorHAnsi"/>
        </w:rPr>
        <w:t>2 show (Figure </w:t>
      </w:r>
      <w:hyperlink r:id="rId47" w:anchor="anie201804337-fig-0004" w:history="1">
        <w:r w:rsidRPr="004768C9">
          <w:rPr>
            <w:rStyle w:val="Hyperlink"/>
            <w:rFonts w:asciiTheme="minorHAnsi" w:eastAsiaTheme="majorEastAsia" w:hAnsiTheme="minorHAnsi" w:cstheme="minorHAnsi"/>
            <w:b/>
            <w:bCs/>
            <w:color w:val="005274"/>
          </w:rPr>
          <w:t>4</w:t>
        </w:r>
      </w:hyperlink>
      <w:r w:rsidRPr="004768C9">
        <w:rPr>
          <w:rFonts w:asciiTheme="minorHAnsi" w:hAnsiTheme="minorHAnsi" w:cstheme="minorHAnsi"/>
        </w:rPr>
        <w:t> A) two reversible oxidation waves, with the first oxidation potential (</w:t>
      </w:r>
      <w:proofErr w:type="spellStart"/>
      <w:r w:rsidRPr="004768C9">
        <w:rPr>
          <w:rFonts w:asciiTheme="minorHAnsi" w:hAnsiTheme="minorHAnsi" w:cstheme="minorHAnsi"/>
          <w:i/>
          <w:iCs/>
        </w:rPr>
        <w:t>E</w:t>
      </w:r>
      <w:r w:rsidRPr="004768C9">
        <w:rPr>
          <w:rFonts w:asciiTheme="minorHAnsi" w:hAnsiTheme="minorHAnsi" w:cstheme="minorHAnsi"/>
          <w:sz w:val="18"/>
          <w:szCs w:val="18"/>
          <w:vertAlign w:val="subscript"/>
        </w:rPr>
        <w:t>ox</w:t>
      </w:r>
      <w:proofErr w:type="spellEnd"/>
      <w:r w:rsidRPr="004768C9">
        <w:rPr>
          <w:rFonts w:asciiTheme="minorHAnsi" w:hAnsiTheme="minorHAnsi" w:cstheme="minorHAnsi"/>
        </w:rPr>
        <w:t>) increasing gradually from 0.66 to 0.77 to 0.86 V vs. Fc/Fc</w:t>
      </w:r>
      <w:r w:rsidRPr="004768C9">
        <w:rPr>
          <w:rFonts w:asciiTheme="minorHAnsi" w:hAnsiTheme="minorHAnsi" w:cstheme="minorHAnsi"/>
          <w:sz w:val="18"/>
          <w:szCs w:val="18"/>
          <w:vertAlign w:val="superscript"/>
        </w:rPr>
        <w:t>+</w:t>
      </w:r>
      <w:r w:rsidRPr="004768C9">
        <w:rPr>
          <w:rFonts w:asciiTheme="minorHAnsi" w:hAnsiTheme="minorHAnsi" w:cstheme="minorHAnsi"/>
        </w:rPr>
        <w:t>, respectively. Comparison with the appropriate model compounds (</w:t>
      </w:r>
      <w:r w:rsidRPr="004768C9">
        <w:rPr>
          <w:rFonts w:asciiTheme="minorHAnsi" w:hAnsiTheme="minorHAnsi" w:cstheme="minorHAnsi"/>
          <w:sz w:val="18"/>
          <w:szCs w:val="18"/>
          <w:vertAlign w:val="superscript"/>
        </w:rPr>
        <w:t>Me</w:t>
      </w:r>
      <w:r w:rsidRPr="004768C9">
        <w:rPr>
          <w:rFonts w:asciiTheme="minorHAnsi" w:hAnsiTheme="minorHAnsi" w:cstheme="minorHAnsi"/>
          <w:b/>
          <w:bCs/>
        </w:rPr>
        <w:t>F</w:t>
      </w:r>
      <w:r w:rsidRPr="004768C9">
        <w:rPr>
          <w:rFonts w:asciiTheme="minorHAnsi" w:hAnsiTheme="minorHAnsi" w:cstheme="minorHAnsi"/>
        </w:rPr>
        <w:t>1 and </w:t>
      </w:r>
      <w:r w:rsidRPr="004768C9">
        <w:rPr>
          <w:rFonts w:asciiTheme="minorHAnsi" w:hAnsiTheme="minorHAnsi" w:cstheme="minorHAnsi"/>
          <w:i/>
          <w:iCs/>
          <w:sz w:val="18"/>
          <w:szCs w:val="18"/>
          <w:vertAlign w:val="superscript"/>
        </w:rPr>
        <w:t>t</w:t>
      </w:r>
      <w:r w:rsidRPr="004768C9">
        <w:rPr>
          <w:rFonts w:asciiTheme="minorHAnsi" w:hAnsiTheme="minorHAnsi" w:cstheme="minorHAnsi"/>
          <w:sz w:val="18"/>
          <w:szCs w:val="18"/>
          <w:vertAlign w:val="superscript"/>
        </w:rPr>
        <w:t>Bu</w:t>
      </w:r>
      <w:r w:rsidRPr="004768C9">
        <w:rPr>
          <w:rFonts w:asciiTheme="minorHAnsi" w:hAnsiTheme="minorHAnsi" w:cstheme="minorHAnsi"/>
          <w:b/>
          <w:bCs/>
        </w:rPr>
        <w:t>F</w:t>
      </w:r>
      <w:r w:rsidRPr="004768C9">
        <w:rPr>
          <w:rFonts w:asciiTheme="minorHAnsi" w:hAnsiTheme="minorHAnsi" w:cstheme="minorHAnsi"/>
        </w:rPr>
        <w:t xml:space="preserve">1) shows that stabilization of the cationic charge, that is, </w:t>
      </w:r>
      <w:proofErr w:type="spellStart"/>
      <w:r w:rsidRPr="004768C9">
        <w:rPr>
          <w:rFonts w:asciiTheme="minorHAnsi" w:hAnsiTheme="minorHAnsi" w:cstheme="minorHAnsi"/>
        </w:rPr>
        <w:t>Δ</w:t>
      </w:r>
      <w:r w:rsidRPr="004768C9">
        <w:rPr>
          <w:rFonts w:asciiTheme="minorHAnsi" w:hAnsiTheme="minorHAnsi" w:cstheme="minorHAnsi"/>
          <w:i/>
          <w:iCs/>
        </w:rPr>
        <w:t>E</w:t>
      </w:r>
      <w:r w:rsidRPr="004768C9">
        <w:rPr>
          <w:rFonts w:asciiTheme="minorHAnsi" w:hAnsiTheme="minorHAnsi" w:cstheme="minorHAnsi"/>
          <w:sz w:val="18"/>
          <w:szCs w:val="18"/>
          <w:vertAlign w:val="subscript"/>
        </w:rPr>
        <w:t>ox</w:t>
      </w:r>
      <w:proofErr w:type="spellEnd"/>
      <w:r w:rsidRPr="004768C9">
        <w:rPr>
          <w:rFonts w:asciiTheme="minorHAnsi" w:hAnsiTheme="minorHAnsi" w:cstheme="minorHAnsi"/>
        </w:rPr>
        <w:t>= </w:t>
      </w:r>
      <w:proofErr w:type="spellStart"/>
      <w:r w:rsidRPr="004768C9">
        <w:rPr>
          <w:rFonts w:asciiTheme="minorHAnsi" w:hAnsiTheme="minorHAnsi" w:cstheme="minorHAnsi"/>
          <w:i/>
          <w:iCs/>
        </w:rPr>
        <w:t>E</w:t>
      </w:r>
      <w:r w:rsidRPr="004768C9">
        <w:rPr>
          <w:rFonts w:asciiTheme="minorHAnsi" w:hAnsiTheme="minorHAnsi" w:cstheme="minorHAnsi"/>
          <w:sz w:val="18"/>
          <w:szCs w:val="18"/>
          <w:vertAlign w:val="subscript"/>
        </w:rPr>
        <w:t>ox</w:t>
      </w:r>
      <w:proofErr w:type="spellEnd"/>
      <w:r w:rsidRPr="004768C9">
        <w:rPr>
          <w:rFonts w:asciiTheme="minorHAnsi" w:hAnsiTheme="minorHAnsi" w:cstheme="minorHAnsi"/>
        </w:rPr>
        <w:t>(</w:t>
      </w:r>
      <w:r w:rsidRPr="004768C9">
        <w:rPr>
          <w:rFonts w:asciiTheme="minorHAnsi" w:hAnsiTheme="minorHAnsi" w:cstheme="minorHAnsi"/>
          <w:sz w:val="18"/>
          <w:szCs w:val="18"/>
          <w:vertAlign w:val="superscript"/>
        </w:rPr>
        <w:t>R</w:t>
      </w:r>
      <w:r w:rsidRPr="004768C9">
        <w:rPr>
          <w:rFonts w:asciiTheme="minorHAnsi" w:hAnsiTheme="minorHAnsi" w:cstheme="minorHAnsi"/>
          <w:b/>
          <w:bCs/>
        </w:rPr>
        <w:t>F</w:t>
      </w:r>
      <w:r w:rsidRPr="004768C9">
        <w:rPr>
          <w:rFonts w:asciiTheme="minorHAnsi" w:hAnsiTheme="minorHAnsi" w:cstheme="minorHAnsi"/>
        </w:rPr>
        <w:t>1)−</w:t>
      </w:r>
      <w:proofErr w:type="spellStart"/>
      <w:r w:rsidRPr="004768C9">
        <w:rPr>
          <w:rFonts w:asciiTheme="minorHAnsi" w:hAnsiTheme="minorHAnsi" w:cstheme="minorHAnsi"/>
          <w:i/>
          <w:iCs/>
        </w:rPr>
        <w:t>E</w:t>
      </w:r>
      <w:r w:rsidRPr="004768C9">
        <w:rPr>
          <w:rFonts w:asciiTheme="minorHAnsi" w:hAnsiTheme="minorHAnsi" w:cstheme="minorHAnsi"/>
          <w:sz w:val="18"/>
          <w:szCs w:val="18"/>
          <w:vertAlign w:val="subscript"/>
        </w:rPr>
        <w:t>ox</w:t>
      </w:r>
      <w:proofErr w:type="spellEnd"/>
      <w:r w:rsidRPr="004768C9">
        <w:rPr>
          <w:rFonts w:asciiTheme="minorHAnsi" w:hAnsiTheme="minorHAnsi" w:cstheme="minorHAnsi"/>
        </w:rPr>
        <w:t>(</w:t>
      </w:r>
      <w:r w:rsidRPr="004768C9">
        <w:rPr>
          <w:rFonts w:asciiTheme="minorHAnsi" w:hAnsiTheme="minorHAnsi" w:cstheme="minorHAnsi"/>
          <w:sz w:val="18"/>
          <w:szCs w:val="18"/>
          <w:vertAlign w:val="superscript"/>
        </w:rPr>
        <w:t>R</w:t>
      </w:r>
      <w:r w:rsidRPr="004768C9">
        <w:rPr>
          <w:rFonts w:asciiTheme="minorHAnsi" w:hAnsiTheme="minorHAnsi" w:cstheme="minorHAnsi"/>
          <w:b/>
          <w:bCs/>
        </w:rPr>
        <w:t>F</w:t>
      </w:r>
      <w:r w:rsidRPr="004768C9">
        <w:rPr>
          <w:rFonts w:asciiTheme="minorHAnsi" w:hAnsiTheme="minorHAnsi" w:cstheme="minorHAnsi"/>
        </w:rPr>
        <w:t>2), is largest for </w:t>
      </w:r>
      <w:r w:rsidRPr="004768C9">
        <w:rPr>
          <w:rFonts w:asciiTheme="minorHAnsi" w:hAnsiTheme="minorHAnsi" w:cstheme="minorHAnsi"/>
          <w:sz w:val="18"/>
          <w:szCs w:val="18"/>
          <w:vertAlign w:val="superscript"/>
        </w:rPr>
        <w:t>C</w:t>
      </w:r>
      <w:r w:rsidRPr="004768C9">
        <w:rPr>
          <w:rFonts w:asciiTheme="minorHAnsi" w:hAnsiTheme="minorHAnsi" w:cstheme="minorHAnsi"/>
          <w:b/>
          <w:bCs/>
        </w:rPr>
        <w:t>F</w:t>
      </w:r>
      <w:r w:rsidRPr="004768C9">
        <w:rPr>
          <w:rFonts w:asciiTheme="minorHAnsi" w:hAnsiTheme="minorHAnsi" w:cstheme="minorHAnsi"/>
        </w:rPr>
        <w:t>2 (</w:t>
      </w:r>
      <w:proofErr w:type="spellStart"/>
      <w:r w:rsidRPr="004768C9">
        <w:rPr>
          <w:rFonts w:asciiTheme="minorHAnsi" w:hAnsiTheme="minorHAnsi" w:cstheme="minorHAnsi"/>
        </w:rPr>
        <w:t>Δ</w:t>
      </w:r>
      <w:r w:rsidRPr="004768C9">
        <w:rPr>
          <w:rFonts w:asciiTheme="minorHAnsi" w:hAnsiTheme="minorHAnsi" w:cstheme="minorHAnsi"/>
          <w:i/>
          <w:iCs/>
        </w:rPr>
        <w:t>E</w:t>
      </w:r>
      <w:r w:rsidRPr="004768C9">
        <w:rPr>
          <w:rFonts w:asciiTheme="minorHAnsi" w:hAnsiTheme="minorHAnsi" w:cstheme="minorHAnsi"/>
          <w:sz w:val="18"/>
          <w:szCs w:val="18"/>
          <w:vertAlign w:val="subscript"/>
        </w:rPr>
        <w:t>ox</w:t>
      </w:r>
      <w:proofErr w:type="spellEnd"/>
      <w:r w:rsidRPr="004768C9">
        <w:rPr>
          <w:rFonts w:asciiTheme="minorHAnsi" w:hAnsiTheme="minorHAnsi" w:cstheme="minorHAnsi"/>
        </w:rPr>
        <w:t>=360 mV) and decreases as the concomitant energetic penalty of adopting a sandwich‐like arrangement increases in </w:t>
      </w:r>
      <w:r w:rsidRPr="004768C9">
        <w:rPr>
          <w:rFonts w:asciiTheme="minorHAnsi" w:hAnsiTheme="minorHAnsi" w:cstheme="minorHAnsi"/>
          <w:sz w:val="18"/>
          <w:szCs w:val="18"/>
          <w:vertAlign w:val="superscript"/>
        </w:rPr>
        <w:t>Me</w:t>
      </w:r>
      <w:r w:rsidRPr="004768C9">
        <w:rPr>
          <w:rFonts w:asciiTheme="minorHAnsi" w:hAnsiTheme="minorHAnsi" w:cstheme="minorHAnsi"/>
          <w:b/>
          <w:bCs/>
        </w:rPr>
        <w:t>F</w:t>
      </w:r>
      <w:r w:rsidRPr="004768C9">
        <w:rPr>
          <w:rFonts w:asciiTheme="minorHAnsi" w:hAnsiTheme="minorHAnsi" w:cstheme="minorHAnsi"/>
        </w:rPr>
        <w:t>2 (</w:t>
      </w:r>
      <w:proofErr w:type="spellStart"/>
      <w:r w:rsidRPr="004768C9">
        <w:rPr>
          <w:rFonts w:asciiTheme="minorHAnsi" w:hAnsiTheme="minorHAnsi" w:cstheme="minorHAnsi"/>
        </w:rPr>
        <w:t>Δ</w:t>
      </w:r>
      <w:r w:rsidRPr="004768C9">
        <w:rPr>
          <w:rFonts w:asciiTheme="minorHAnsi" w:hAnsiTheme="minorHAnsi" w:cstheme="minorHAnsi"/>
          <w:i/>
          <w:iCs/>
        </w:rPr>
        <w:t>E</w:t>
      </w:r>
      <w:r w:rsidRPr="004768C9">
        <w:rPr>
          <w:rFonts w:asciiTheme="minorHAnsi" w:hAnsiTheme="minorHAnsi" w:cstheme="minorHAnsi"/>
          <w:sz w:val="18"/>
          <w:szCs w:val="18"/>
          <w:vertAlign w:val="subscript"/>
        </w:rPr>
        <w:t>ox</w:t>
      </w:r>
      <w:proofErr w:type="spellEnd"/>
      <w:r w:rsidRPr="004768C9">
        <w:rPr>
          <w:rFonts w:asciiTheme="minorHAnsi" w:hAnsiTheme="minorHAnsi" w:cstheme="minorHAnsi"/>
        </w:rPr>
        <w:t>=250 mV) and </w:t>
      </w:r>
      <w:r w:rsidRPr="004768C9">
        <w:rPr>
          <w:rFonts w:asciiTheme="minorHAnsi" w:hAnsiTheme="minorHAnsi" w:cstheme="minorHAnsi"/>
          <w:i/>
          <w:iCs/>
          <w:sz w:val="18"/>
          <w:szCs w:val="18"/>
          <w:vertAlign w:val="superscript"/>
        </w:rPr>
        <w:t>t</w:t>
      </w:r>
      <w:r w:rsidRPr="004768C9">
        <w:rPr>
          <w:rFonts w:asciiTheme="minorHAnsi" w:hAnsiTheme="minorHAnsi" w:cstheme="minorHAnsi"/>
          <w:sz w:val="18"/>
          <w:szCs w:val="18"/>
          <w:vertAlign w:val="superscript"/>
        </w:rPr>
        <w:t>Bu</w:t>
      </w:r>
      <w:r w:rsidRPr="004768C9">
        <w:rPr>
          <w:rFonts w:asciiTheme="minorHAnsi" w:hAnsiTheme="minorHAnsi" w:cstheme="minorHAnsi"/>
          <w:b/>
          <w:bCs/>
        </w:rPr>
        <w:t>F</w:t>
      </w:r>
      <w:r w:rsidRPr="004768C9">
        <w:rPr>
          <w:rFonts w:asciiTheme="minorHAnsi" w:hAnsiTheme="minorHAnsi" w:cstheme="minorHAnsi"/>
        </w:rPr>
        <w:t>2 (</w:t>
      </w:r>
      <w:proofErr w:type="spellStart"/>
      <w:r w:rsidRPr="004768C9">
        <w:rPr>
          <w:rFonts w:asciiTheme="minorHAnsi" w:hAnsiTheme="minorHAnsi" w:cstheme="minorHAnsi"/>
        </w:rPr>
        <w:t>Δ</w:t>
      </w:r>
      <w:r w:rsidRPr="004768C9">
        <w:rPr>
          <w:rFonts w:asciiTheme="minorHAnsi" w:hAnsiTheme="minorHAnsi" w:cstheme="minorHAnsi"/>
          <w:i/>
          <w:iCs/>
        </w:rPr>
        <w:t>E</w:t>
      </w:r>
      <w:r w:rsidRPr="004768C9">
        <w:rPr>
          <w:rFonts w:asciiTheme="minorHAnsi" w:hAnsiTheme="minorHAnsi" w:cstheme="minorHAnsi"/>
          <w:sz w:val="18"/>
          <w:szCs w:val="18"/>
          <w:vertAlign w:val="subscript"/>
        </w:rPr>
        <w:t>ox</w:t>
      </w:r>
      <w:proofErr w:type="spellEnd"/>
      <w:r w:rsidRPr="004768C9">
        <w:rPr>
          <w:rFonts w:asciiTheme="minorHAnsi" w:hAnsiTheme="minorHAnsi" w:cstheme="minorHAnsi"/>
        </w:rPr>
        <w:t>=160 mV). Despite the significant steric hindrance imposed by </w:t>
      </w:r>
      <w:proofErr w:type="spellStart"/>
      <w:r w:rsidRPr="004768C9">
        <w:rPr>
          <w:rFonts w:asciiTheme="minorHAnsi" w:hAnsiTheme="minorHAnsi" w:cstheme="minorHAnsi"/>
          <w:i/>
          <w:iCs/>
        </w:rPr>
        <w:t>t</w:t>
      </w:r>
      <w:r w:rsidRPr="004768C9">
        <w:rPr>
          <w:rFonts w:asciiTheme="minorHAnsi" w:hAnsiTheme="minorHAnsi" w:cstheme="minorHAnsi"/>
        </w:rPr>
        <w:t>Bu</w:t>
      </w:r>
      <w:proofErr w:type="spellEnd"/>
      <w:r w:rsidRPr="004768C9">
        <w:rPr>
          <w:rFonts w:asciiTheme="minorHAnsi" w:hAnsiTheme="minorHAnsi" w:cstheme="minorHAnsi"/>
        </w:rPr>
        <w:t xml:space="preserve"> groups in </w:t>
      </w:r>
      <w:r w:rsidRPr="004768C9">
        <w:rPr>
          <w:rFonts w:asciiTheme="minorHAnsi" w:hAnsiTheme="minorHAnsi" w:cstheme="minorHAnsi"/>
          <w:i/>
          <w:iCs/>
          <w:sz w:val="18"/>
          <w:szCs w:val="18"/>
          <w:vertAlign w:val="superscript"/>
        </w:rPr>
        <w:t>t</w:t>
      </w:r>
      <w:r w:rsidRPr="004768C9">
        <w:rPr>
          <w:rFonts w:asciiTheme="minorHAnsi" w:hAnsiTheme="minorHAnsi" w:cstheme="minorHAnsi"/>
          <w:sz w:val="18"/>
          <w:szCs w:val="18"/>
          <w:vertAlign w:val="superscript"/>
        </w:rPr>
        <w:t>Bu</w:t>
      </w:r>
      <w:r w:rsidRPr="004768C9">
        <w:rPr>
          <w:rFonts w:asciiTheme="minorHAnsi" w:hAnsiTheme="minorHAnsi" w:cstheme="minorHAnsi"/>
          <w:b/>
          <w:bCs/>
        </w:rPr>
        <w:t>F</w:t>
      </w:r>
      <w:r w:rsidRPr="004768C9">
        <w:rPr>
          <w:rFonts w:asciiTheme="minorHAnsi" w:hAnsiTheme="minorHAnsi" w:cstheme="minorHAnsi"/>
        </w:rPr>
        <w:t>2, the hole stabilization of 160 mV remains significant, highlighting our prior finding that a hole can be stabilized even when there is a minimal orbital overlap.</w:t>
      </w:r>
      <w:hyperlink r:id="rId48" w:anchor="anie201804337-bib-0010" w:history="1">
        <w:r w:rsidRPr="004768C9">
          <w:rPr>
            <w:rStyle w:val="Hyperlink"/>
            <w:rFonts w:asciiTheme="minorHAnsi" w:eastAsiaTheme="majorEastAsia" w:hAnsiTheme="minorHAnsi" w:cstheme="minorHAnsi"/>
            <w:color w:val="000000"/>
            <w:sz w:val="18"/>
            <w:szCs w:val="18"/>
            <w:vertAlign w:val="superscript"/>
          </w:rPr>
          <w:t>10</w:t>
        </w:r>
      </w:hyperlink>
      <w:r w:rsidRPr="004768C9">
        <w:rPr>
          <w:rFonts w:asciiTheme="minorHAnsi" w:hAnsiTheme="minorHAnsi" w:cstheme="minorHAnsi"/>
          <w:sz w:val="18"/>
          <w:szCs w:val="18"/>
          <w:vertAlign w:val="superscript"/>
        </w:rPr>
        <w:t>, </w:t>
      </w:r>
      <w:hyperlink r:id="rId49" w:anchor="anie201804337-bib-0011" w:history="1">
        <w:r w:rsidRPr="004768C9">
          <w:rPr>
            <w:rStyle w:val="Hyperlink"/>
            <w:rFonts w:asciiTheme="minorHAnsi" w:eastAsiaTheme="majorEastAsia" w:hAnsiTheme="minorHAnsi" w:cstheme="minorHAnsi"/>
            <w:color w:val="000000"/>
            <w:sz w:val="18"/>
            <w:szCs w:val="18"/>
            <w:vertAlign w:val="superscript"/>
          </w:rPr>
          <w:t>11</w:t>
        </w:r>
      </w:hyperlink>
    </w:p>
    <w:p w14:paraId="667027DA" w14:textId="3533FDCB" w:rsidR="00481E77" w:rsidRPr="004768C9" w:rsidRDefault="00D51ABE" w:rsidP="00D51ABE">
      <w:pPr>
        <w:spacing w:after="0" w:line="276" w:lineRule="auto"/>
        <w:rPr>
          <w:rFonts w:cstheme="minorHAnsi"/>
        </w:rPr>
      </w:pPr>
      <w:r>
        <w:rPr>
          <w:noProof/>
        </w:rPr>
        <w:drawing>
          <wp:inline distT="0" distB="0" distL="0" distR="0" wp14:anchorId="269C2452" wp14:editId="02345687">
            <wp:extent cx="2743200" cy="2944368"/>
            <wp:effectExtent l="0" t="0" r="0" b="8890"/>
            <wp:docPr id="2" name="Picture 2" descr="Figure 4 A) Cyclic voltammograms of 2 mM CF2, MeF2, tBuF2 (solid lines) and their corresponding monomeric model compounds (dashed lines) in CH2Cl2 (0.1 m n‐Bu4NPF6) at a scan rate of 100 mV s−1 and 22 °C. B) Electronic absorption spectra of CF2+., MeF2+., and tBuF2+. in CH2Cl2 at 22 °C. Sticks represent excitation wavelength calculated using TD‐B1LYP40‐D3/6‐31G(d)+PCM(CH2Cl2); dark color corresponds to the sandwich‐like structure and light color corresponds to the displaced structure of R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743200" cy="2944368"/>
                    </a:xfrm>
                    <a:prstGeom prst="rect">
                      <a:avLst/>
                    </a:prstGeom>
                    <a:noFill/>
                    <a:ln>
                      <a:noFill/>
                    </a:ln>
                  </pic:spPr>
                </pic:pic>
              </a:graphicData>
            </a:graphic>
          </wp:inline>
        </w:drawing>
      </w:r>
    </w:p>
    <w:p w14:paraId="32C69C3A" w14:textId="5A24E403" w:rsidR="00481E77" w:rsidRPr="004768C9" w:rsidRDefault="00481E77" w:rsidP="00D51ABE">
      <w:pPr>
        <w:pStyle w:val="NoSpacing"/>
      </w:pPr>
      <w:r w:rsidRPr="004768C9">
        <w:rPr>
          <w:rStyle w:val="Strong"/>
          <w:rFonts w:cstheme="minorHAnsi"/>
          <w:color w:val="212121"/>
        </w:rPr>
        <w:t>Figure 4</w:t>
      </w:r>
      <w:r w:rsidR="00D51ABE">
        <w:rPr>
          <w:rStyle w:val="Strong"/>
          <w:rFonts w:cstheme="minorHAnsi"/>
          <w:color w:val="212121"/>
        </w:rPr>
        <w:t xml:space="preserve"> </w:t>
      </w:r>
      <w:r w:rsidRPr="004768C9">
        <w:t>A) Cyclic voltammograms of 2 m</w:t>
      </w:r>
      <w:r w:rsidRPr="004768C9">
        <w:rPr>
          <w:rStyle w:val="smallcaps"/>
          <w:rFonts w:eastAsiaTheme="majorEastAsia" w:cstheme="minorHAnsi"/>
          <w:smallCaps/>
        </w:rPr>
        <w:t>m</w:t>
      </w:r>
      <w:r w:rsidRPr="004768C9">
        <w:t> </w:t>
      </w:r>
      <w:r w:rsidRPr="004768C9">
        <w:rPr>
          <w:sz w:val="18"/>
          <w:szCs w:val="18"/>
          <w:vertAlign w:val="superscript"/>
        </w:rPr>
        <w:t>C</w:t>
      </w:r>
      <w:r w:rsidRPr="004768C9">
        <w:rPr>
          <w:b/>
          <w:bCs/>
        </w:rPr>
        <w:t>F</w:t>
      </w:r>
      <w:r w:rsidRPr="004768C9">
        <w:t>2, </w:t>
      </w:r>
      <w:r w:rsidRPr="004768C9">
        <w:rPr>
          <w:sz w:val="18"/>
          <w:szCs w:val="18"/>
          <w:vertAlign w:val="superscript"/>
        </w:rPr>
        <w:t>Me</w:t>
      </w:r>
      <w:r w:rsidRPr="004768C9">
        <w:rPr>
          <w:b/>
          <w:bCs/>
        </w:rPr>
        <w:t>F</w:t>
      </w:r>
      <w:r w:rsidRPr="004768C9">
        <w:t>2, </w:t>
      </w:r>
      <w:r w:rsidRPr="004768C9">
        <w:rPr>
          <w:i/>
          <w:iCs/>
          <w:sz w:val="18"/>
          <w:szCs w:val="18"/>
          <w:vertAlign w:val="superscript"/>
        </w:rPr>
        <w:t>t</w:t>
      </w:r>
      <w:r w:rsidRPr="004768C9">
        <w:rPr>
          <w:sz w:val="18"/>
          <w:szCs w:val="18"/>
          <w:vertAlign w:val="superscript"/>
        </w:rPr>
        <w:t>Bu</w:t>
      </w:r>
      <w:r w:rsidRPr="004768C9">
        <w:rPr>
          <w:b/>
          <w:bCs/>
        </w:rPr>
        <w:t>F</w:t>
      </w:r>
      <w:r w:rsidRPr="004768C9">
        <w:t>2 (solid lines) and their corresponding monomeric model compounds (dashed lines) in CH</w:t>
      </w:r>
      <w:r w:rsidRPr="004768C9">
        <w:rPr>
          <w:sz w:val="18"/>
          <w:szCs w:val="18"/>
          <w:vertAlign w:val="subscript"/>
        </w:rPr>
        <w:t>2</w:t>
      </w:r>
      <w:r w:rsidRPr="004768C9">
        <w:t>Cl</w:t>
      </w:r>
      <w:r w:rsidRPr="004768C9">
        <w:rPr>
          <w:sz w:val="18"/>
          <w:szCs w:val="18"/>
          <w:vertAlign w:val="subscript"/>
        </w:rPr>
        <w:t>2</w:t>
      </w:r>
      <w:r w:rsidRPr="004768C9">
        <w:t> (0.1 m </w:t>
      </w:r>
      <w:r w:rsidRPr="004768C9">
        <w:rPr>
          <w:i/>
          <w:iCs/>
        </w:rPr>
        <w:t>n</w:t>
      </w:r>
      <w:r w:rsidRPr="004768C9">
        <w:t>‐Bu</w:t>
      </w:r>
      <w:r w:rsidRPr="004768C9">
        <w:rPr>
          <w:sz w:val="18"/>
          <w:szCs w:val="18"/>
          <w:vertAlign w:val="subscript"/>
        </w:rPr>
        <w:t>4</w:t>
      </w:r>
      <w:r w:rsidRPr="004768C9">
        <w:t>NPF</w:t>
      </w:r>
      <w:r w:rsidRPr="004768C9">
        <w:rPr>
          <w:sz w:val="18"/>
          <w:szCs w:val="18"/>
          <w:vertAlign w:val="subscript"/>
        </w:rPr>
        <w:t>6</w:t>
      </w:r>
      <w:r w:rsidRPr="004768C9">
        <w:t>) at a scan rate of 100 mV s</w:t>
      </w:r>
      <w:r w:rsidRPr="004768C9">
        <w:rPr>
          <w:sz w:val="18"/>
          <w:szCs w:val="18"/>
          <w:vertAlign w:val="superscript"/>
        </w:rPr>
        <w:t>−1</w:t>
      </w:r>
      <w:r w:rsidRPr="004768C9">
        <w:t> and 22 °C. B) Electronic absorption spectra of </w:t>
      </w:r>
      <w:r w:rsidRPr="004768C9">
        <w:rPr>
          <w:sz w:val="18"/>
          <w:szCs w:val="18"/>
          <w:vertAlign w:val="superscript"/>
        </w:rPr>
        <w:t>C</w:t>
      </w:r>
      <w:r w:rsidRPr="004768C9">
        <w:rPr>
          <w:b/>
          <w:bCs/>
        </w:rPr>
        <w:t>F</w:t>
      </w:r>
      <w:r w:rsidRPr="004768C9">
        <w:t>2</w:t>
      </w:r>
      <w:r w:rsidRPr="004768C9">
        <w:rPr>
          <w:sz w:val="18"/>
          <w:szCs w:val="18"/>
          <w:vertAlign w:val="superscript"/>
        </w:rPr>
        <w:t>+.</w:t>
      </w:r>
      <w:r w:rsidRPr="004768C9">
        <w:t>, </w:t>
      </w:r>
      <w:r w:rsidRPr="004768C9">
        <w:rPr>
          <w:sz w:val="18"/>
          <w:szCs w:val="18"/>
          <w:vertAlign w:val="superscript"/>
        </w:rPr>
        <w:t>Me</w:t>
      </w:r>
      <w:r w:rsidRPr="004768C9">
        <w:rPr>
          <w:b/>
          <w:bCs/>
        </w:rPr>
        <w:t>F</w:t>
      </w:r>
      <w:r w:rsidRPr="004768C9">
        <w:t>2</w:t>
      </w:r>
      <w:r w:rsidRPr="004768C9">
        <w:rPr>
          <w:sz w:val="18"/>
          <w:szCs w:val="18"/>
          <w:vertAlign w:val="superscript"/>
        </w:rPr>
        <w:t>+.</w:t>
      </w:r>
      <w:r w:rsidRPr="004768C9">
        <w:t>, and </w:t>
      </w:r>
      <w:r w:rsidRPr="004768C9">
        <w:rPr>
          <w:i/>
          <w:iCs/>
          <w:sz w:val="18"/>
          <w:szCs w:val="18"/>
          <w:vertAlign w:val="superscript"/>
        </w:rPr>
        <w:t>t</w:t>
      </w:r>
      <w:r w:rsidRPr="004768C9">
        <w:rPr>
          <w:sz w:val="18"/>
          <w:szCs w:val="18"/>
          <w:vertAlign w:val="superscript"/>
        </w:rPr>
        <w:t>Bu</w:t>
      </w:r>
      <w:r w:rsidRPr="004768C9">
        <w:rPr>
          <w:b/>
          <w:bCs/>
        </w:rPr>
        <w:t>F</w:t>
      </w:r>
      <w:r w:rsidRPr="004768C9">
        <w:t>2</w:t>
      </w:r>
      <w:r w:rsidRPr="004768C9">
        <w:rPr>
          <w:sz w:val="18"/>
          <w:szCs w:val="18"/>
          <w:vertAlign w:val="superscript"/>
        </w:rPr>
        <w:t>+.</w:t>
      </w:r>
      <w:r w:rsidRPr="004768C9">
        <w:t> in CH</w:t>
      </w:r>
      <w:r w:rsidRPr="004768C9">
        <w:rPr>
          <w:sz w:val="18"/>
          <w:szCs w:val="18"/>
          <w:vertAlign w:val="subscript"/>
        </w:rPr>
        <w:t>2</w:t>
      </w:r>
      <w:r w:rsidRPr="004768C9">
        <w:t>Cl</w:t>
      </w:r>
      <w:r w:rsidRPr="004768C9">
        <w:rPr>
          <w:sz w:val="18"/>
          <w:szCs w:val="18"/>
          <w:vertAlign w:val="subscript"/>
        </w:rPr>
        <w:t>2</w:t>
      </w:r>
      <w:r w:rsidRPr="004768C9">
        <w:t> at 22 °C. Sticks represent excitation wavelength calculated using TD‐B1LYP40‐D3/6‐31G(d)+PCM(CH</w:t>
      </w:r>
      <w:r w:rsidRPr="004768C9">
        <w:rPr>
          <w:sz w:val="18"/>
          <w:szCs w:val="18"/>
          <w:vertAlign w:val="subscript"/>
        </w:rPr>
        <w:t>2</w:t>
      </w:r>
      <w:r w:rsidRPr="004768C9">
        <w:t>Cl</w:t>
      </w:r>
      <w:r w:rsidRPr="004768C9">
        <w:rPr>
          <w:sz w:val="18"/>
          <w:szCs w:val="18"/>
          <w:vertAlign w:val="subscript"/>
        </w:rPr>
        <w:t>2</w:t>
      </w:r>
      <w:r w:rsidRPr="004768C9">
        <w:t>); dark color corresponds to the sandwich‐like structure and light color corresponds to the displaced structure of </w:t>
      </w:r>
      <w:r w:rsidRPr="004768C9">
        <w:rPr>
          <w:sz w:val="18"/>
          <w:szCs w:val="18"/>
          <w:vertAlign w:val="superscript"/>
        </w:rPr>
        <w:t>R</w:t>
      </w:r>
      <w:r w:rsidRPr="004768C9">
        <w:rPr>
          <w:b/>
          <w:bCs/>
        </w:rPr>
        <w:t>F</w:t>
      </w:r>
      <w:r w:rsidRPr="004768C9">
        <w:t>2.</w:t>
      </w:r>
    </w:p>
    <w:p w14:paraId="07366089" w14:textId="77777777" w:rsidR="00D51ABE" w:rsidRDefault="00D51ABE" w:rsidP="004768C9">
      <w:pPr>
        <w:pStyle w:val="NormalWeb"/>
        <w:spacing w:before="75" w:beforeAutospacing="0" w:after="240" w:afterAutospacing="0" w:line="276" w:lineRule="auto"/>
        <w:rPr>
          <w:rFonts w:asciiTheme="minorHAnsi" w:hAnsiTheme="minorHAnsi" w:cstheme="minorHAnsi"/>
        </w:rPr>
      </w:pPr>
    </w:p>
    <w:p w14:paraId="0864290D" w14:textId="544C1E61" w:rsidR="00481E77" w:rsidRPr="004768C9" w:rsidRDefault="00481E77" w:rsidP="004768C9">
      <w:pPr>
        <w:pStyle w:val="NormalWeb"/>
        <w:spacing w:before="75" w:beforeAutospacing="0" w:after="240" w:afterAutospacing="0" w:line="276" w:lineRule="auto"/>
        <w:rPr>
          <w:rFonts w:asciiTheme="minorHAnsi" w:hAnsiTheme="minorHAnsi" w:cstheme="minorHAnsi"/>
        </w:rPr>
      </w:pPr>
      <w:r w:rsidRPr="004768C9">
        <w:rPr>
          <w:rFonts w:asciiTheme="minorHAnsi" w:hAnsiTheme="minorHAnsi" w:cstheme="minorHAnsi"/>
        </w:rPr>
        <w:t>We generated the cation radicals of </w:t>
      </w:r>
      <w:r w:rsidRPr="004768C9">
        <w:rPr>
          <w:rFonts w:asciiTheme="minorHAnsi" w:hAnsiTheme="minorHAnsi" w:cstheme="minorHAnsi"/>
          <w:sz w:val="18"/>
          <w:szCs w:val="18"/>
          <w:vertAlign w:val="superscript"/>
        </w:rPr>
        <w:t>Me</w:t>
      </w:r>
      <w:r w:rsidRPr="004768C9">
        <w:rPr>
          <w:rFonts w:asciiTheme="minorHAnsi" w:hAnsiTheme="minorHAnsi" w:cstheme="minorHAnsi"/>
          <w:b/>
          <w:bCs/>
        </w:rPr>
        <w:t>F</w:t>
      </w:r>
      <w:r w:rsidRPr="004768C9">
        <w:rPr>
          <w:rFonts w:asciiTheme="minorHAnsi" w:hAnsiTheme="minorHAnsi" w:cstheme="minorHAnsi"/>
        </w:rPr>
        <w:t>2, </w:t>
      </w:r>
      <w:r w:rsidRPr="004768C9">
        <w:rPr>
          <w:rFonts w:asciiTheme="minorHAnsi" w:hAnsiTheme="minorHAnsi" w:cstheme="minorHAnsi"/>
          <w:i/>
          <w:iCs/>
          <w:sz w:val="18"/>
          <w:szCs w:val="18"/>
          <w:vertAlign w:val="superscript"/>
        </w:rPr>
        <w:t>t</w:t>
      </w:r>
      <w:r w:rsidRPr="004768C9">
        <w:rPr>
          <w:rFonts w:asciiTheme="minorHAnsi" w:hAnsiTheme="minorHAnsi" w:cstheme="minorHAnsi"/>
          <w:sz w:val="18"/>
          <w:szCs w:val="18"/>
          <w:vertAlign w:val="superscript"/>
        </w:rPr>
        <w:t>Bu</w:t>
      </w:r>
      <w:r w:rsidRPr="004768C9">
        <w:rPr>
          <w:rFonts w:asciiTheme="minorHAnsi" w:hAnsiTheme="minorHAnsi" w:cstheme="minorHAnsi"/>
          <w:b/>
          <w:bCs/>
        </w:rPr>
        <w:t>F</w:t>
      </w:r>
      <w:r w:rsidRPr="004768C9">
        <w:rPr>
          <w:rFonts w:asciiTheme="minorHAnsi" w:hAnsiTheme="minorHAnsi" w:cstheme="minorHAnsi"/>
        </w:rPr>
        <w:t>2, and </w:t>
      </w:r>
      <w:r w:rsidRPr="004768C9">
        <w:rPr>
          <w:rFonts w:asciiTheme="minorHAnsi" w:hAnsiTheme="minorHAnsi" w:cstheme="minorHAnsi"/>
          <w:sz w:val="18"/>
          <w:szCs w:val="18"/>
          <w:vertAlign w:val="superscript"/>
        </w:rPr>
        <w:t>C</w:t>
      </w:r>
      <w:r w:rsidRPr="004768C9">
        <w:rPr>
          <w:rFonts w:asciiTheme="minorHAnsi" w:hAnsiTheme="minorHAnsi" w:cstheme="minorHAnsi"/>
          <w:b/>
          <w:bCs/>
        </w:rPr>
        <w:t>F</w:t>
      </w:r>
      <w:r w:rsidRPr="004768C9">
        <w:rPr>
          <w:rFonts w:asciiTheme="minorHAnsi" w:hAnsiTheme="minorHAnsi" w:cstheme="minorHAnsi"/>
        </w:rPr>
        <w:t>2 via quantitative</w:t>
      </w:r>
      <w:hyperlink r:id="rId51" w:anchor="anie201804337-bib-0026" w:history="1">
        <w:r w:rsidRPr="004768C9">
          <w:rPr>
            <w:rStyle w:val="Hyperlink"/>
            <w:rFonts w:asciiTheme="minorHAnsi" w:eastAsiaTheme="majorEastAsia" w:hAnsiTheme="minorHAnsi" w:cstheme="minorHAnsi"/>
            <w:color w:val="000000"/>
            <w:sz w:val="18"/>
            <w:szCs w:val="18"/>
            <w:vertAlign w:val="superscript"/>
          </w:rPr>
          <w:t>26</w:t>
        </w:r>
      </w:hyperlink>
      <w:r w:rsidRPr="004768C9">
        <w:rPr>
          <w:rFonts w:asciiTheme="minorHAnsi" w:hAnsiTheme="minorHAnsi" w:cstheme="minorHAnsi"/>
        </w:rPr>
        <w:t> redox titrations using robust aromatic oxidants [</w:t>
      </w:r>
      <w:r w:rsidRPr="004768C9">
        <w:rPr>
          <w:rFonts w:asciiTheme="minorHAnsi" w:hAnsiTheme="minorHAnsi" w:cstheme="minorHAnsi"/>
          <w:b/>
          <w:bCs/>
        </w:rPr>
        <w:t>THEO</w:t>
      </w:r>
      <w:r w:rsidRPr="004768C9">
        <w:rPr>
          <w:rFonts w:asciiTheme="minorHAnsi" w:hAnsiTheme="minorHAnsi" w:cstheme="minorHAnsi"/>
          <w:b/>
          <w:bCs/>
          <w:sz w:val="18"/>
          <w:szCs w:val="18"/>
          <w:vertAlign w:val="superscript"/>
        </w:rPr>
        <w:t>+</w:t>
      </w:r>
      <w:r w:rsidRPr="004768C9">
        <w:rPr>
          <w:rFonts w:asciiTheme="minorHAnsi" w:hAnsiTheme="minorHAnsi" w:cstheme="minorHAnsi"/>
          <w:sz w:val="18"/>
          <w:szCs w:val="18"/>
          <w:vertAlign w:val="superscript"/>
        </w:rPr>
        <w:t>.</w:t>
      </w:r>
      <w:r w:rsidRPr="004768C9">
        <w:rPr>
          <w:rFonts w:asciiTheme="minorHAnsi" w:hAnsiTheme="minorHAnsi" w:cstheme="minorHAnsi"/>
        </w:rPr>
        <w:t>][SbCl</w:t>
      </w:r>
      <w:r w:rsidRPr="004768C9">
        <w:rPr>
          <w:rFonts w:asciiTheme="minorHAnsi" w:hAnsiTheme="minorHAnsi" w:cstheme="minorHAnsi"/>
          <w:sz w:val="18"/>
          <w:szCs w:val="18"/>
          <w:vertAlign w:val="subscript"/>
        </w:rPr>
        <w:t>6</w:t>
      </w:r>
      <w:r w:rsidRPr="004768C9">
        <w:rPr>
          <w:rFonts w:asciiTheme="minorHAnsi" w:hAnsiTheme="minorHAnsi" w:cstheme="minorHAnsi"/>
          <w:sz w:val="18"/>
          <w:szCs w:val="18"/>
          <w:vertAlign w:val="superscript"/>
        </w:rPr>
        <w:t>−</w:t>
      </w:r>
      <w:r w:rsidRPr="004768C9">
        <w:rPr>
          <w:rFonts w:asciiTheme="minorHAnsi" w:hAnsiTheme="minorHAnsi" w:cstheme="minorHAnsi"/>
        </w:rPr>
        <w:t>] and </w:t>
      </w:r>
      <w:r w:rsidRPr="004768C9">
        <w:rPr>
          <w:rFonts w:asciiTheme="minorHAnsi" w:hAnsiTheme="minorHAnsi" w:cstheme="minorHAnsi"/>
          <w:b/>
          <w:bCs/>
        </w:rPr>
        <w:t>NAP</w:t>
      </w:r>
      <w:r w:rsidRPr="004768C9">
        <w:rPr>
          <w:rFonts w:asciiTheme="minorHAnsi" w:hAnsiTheme="minorHAnsi" w:cstheme="minorHAnsi"/>
          <w:b/>
          <w:bCs/>
          <w:sz w:val="18"/>
          <w:szCs w:val="18"/>
          <w:vertAlign w:val="superscript"/>
        </w:rPr>
        <w:t>+</w:t>
      </w:r>
      <w:r w:rsidRPr="004768C9">
        <w:rPr>
          <w:rFonts w:asciiTheme="minorHAnsi" w:hAnsiTheme="minorHAnsi" w:cstheme="minorHAnsi"/>
          <w:sz w:val="18"/>
          <w:szCs w:val="18"/>
          <w:vertAlign w:val="superscript"/>
        </w:rPr>
        <w:t>.</w:t>
      </w:r>
      <w:r w:rsidRPr="004768C9">
        <w:rPr>
          <w:rFonts w:asciiTheme="minorHAnsi" w:hAnsiTheme="minorHAnsi" w:cstheme="minorHAnsi"/>
        </w:rPr>
        <w:t>SbCl</w:t>
      </w:r>
      <w:r w:rsidRPr="004768C9">
        <w:rPr>
          <w:rFonts w:asciiTheme="minorHAnsi" w:hAnsiTheme="minorHAnsi" w:cstheme="minorHAnsi"/>
          <w:sz w:val="18"/>
          <w:szCs w:val="18"/>
          <w:vertAlign w:val="subscript"/>
        </w:rPr>
        <w:t>6</w:t>
      </w:r>
      <w:r w:rsidRPr="004768C9">
        <w:rPr>
          <w:rFonts w:asciiTheme="minorHAnsi" w:hAnsiTheme="minorHAnsi" w:cstheme="minorHAnsi"/>
        </w:rPr>
        <w:t> (see details in the Supporting Information).</w:t>
      </w:r>
      <w:hyperlink r:id="rId52" w:anchor="anie201804337-bib-0027" w:history="1">
        <w:r w:rsidRPr="004768C9">
          <w:rPr>
            <w:rStyle w:val="Hyperlink"/>
            <w:rFonts w:asciiTheme="minorHAnsi" w:eastAsiaTheme="majorEastAsia" w:hAnsiTheme="minorHAnsi" w:cstheme="minorHAnsi"/>
            <w:color w:val="000000"/>
            <w:sz w:val="18"/>
            <w:szCs w:val="18"/>
            <w:vertAlign w:val="superscript"/>
          </w:rPr>
          <w:t>27</w:t>
        </w:r>
      </w:hyperlink>
      <w:r w:rsidRPr="004768C9">
        <w:rPr>
          <w:rFonts w:asciiTheme="minorHAnsi" w:hAnsiTheme="minorHAnsi" w:cstheme="minorHAnsi"/>
        </w:rPr>
        <w:t> Reproducible spectra of both </w:t>
      </w:r>
      <w:r w:rsidRPr="004768C9">
        <w:rPr>
          <w:rFonts w:asciiTheme="minorHAnsi" w:hAnsiTheme="minorHAnsi" w:cstheme="minorHAnsi"/>
          <w:sz w:val="18"/>
          <w:szCs w:val="18"/>
          <w:vertAlign w:val="superscript"/>
        </w:rPr>
        <w:t>C</w:t>
      </w:r>
      <w:r w:rsidRPr="004768C9">
        <w:rPr>
          <w:rFonts w:asciiTheme="minorHAnsi" w:hAnsiTheme="minorHAnsi" w:cstheme="minorHAnsi"/>
          <w:b/>
          <w:bCs/>
        </w:rPr>
        <w:t>F</w:t>
      </w:r>
      <w:r w:rsidRPr="004768C9">
        <w:rPr>
          <w:rFonts w:asciiTheme="minorHAnsi" w:hAnsiTheme="minorHAnsi" w:cstheme="minorHAnsi"/>
        </w:rPr>
        <w:t>2</w:t>
      </w:r>
      <w:r w:rsidRPr="004768C9">
        <w:rPr>
          <w:rFonts w:asciiTheme="minorHAnsi" w:hAnsiTheme="minorHAnsi" w:cstheme="minorHAnsi"/>
          <w:sz w:val="18"/>
          <w:szCs w:val="18"/>
          <w:vertAlign w:val="superscript"/>
        </w:rPr>
        <w:t>+.</w:t>
      </w:r>
      <w:r w:rsidRPr="004768C9">
        <w:rPr>
          <w:rFonts w:asciiTheme="minorHAnsi" w:hAnsiTheme="minorHAnsi" w:cstheme="minorHAnsi"/>
        </w:rPr>
        <w:t> and </w:t>
      </w:r>
      <w:r w:rsidRPr="004768C9">
        <w:rPr>
          <w:rFonts w:asciiTheme="minorHAnsi" w:hAnsiTheme="minorHAnsi" w:cstheme="minorHAnsi"/>
          <w:sz w:val="18"/>
          <w:szCs w:val="18"/>
          <w:vertAlign w:val="superscript"/>
        </w:rPr>
        <w:t>Me</w:t>
      </w:r>
      <w:r w:rsidRPr="004768C9">
        <w:rPr>
          <w:rFonts w:asciiTheme="minorHAnsi" w:hAnsiTheme="minorHAnsi" w:cstheme="minorHAnsi"/>
          <w:b/>
          <w:bCs/>
        </w:rPr>
        <w:t>F</w:t>
      </w:r>
      <w:r w:rsidRPr="004768C9">
        <w:rPr>
          <w:rFonts w:asciiTheme="minorHAnsi" w:hAnsiTheme="minorHAnsi" w:cstheme="minorHAnsi"/>
        </w:rPr>
        <w:t>2</w:t>
      </w:r>
      <w:r w:rsidRPr="004768C9">
        <w:rPr>
          <w:rFonts w:asciiTheme="minorHAnsi" w:hAnsiTheme="minorHAnsi" w:cstheme="minorHAnsi"/>
          <w:sz w:val="18"/>
          <w:szCs w:val="18"/>
          <w:vertAlign w:val="superscript"/>
        </w:rPr>
        <w:t>+.</w:t>
      </w:r>
      <w:r w:rsidRPr="004768C9">
        <w:rPr>
          <w:rFonts w:asciiTheme="minorHAnsi" w:hAnsiTheme="minorHAnsi" w:cstheme="minorHAnsi"/>
        </w:rPr>
        <w:t> show a nearly identical intense intervalence band centered at 1418 nm (Figure </w:t>
      </w:r>
      <w:hyperlink r:id="rId53" w:anchor="anie201804337-fig-0004" w:history="1">
        <w:r w:rsidRPr="004768C9">
          <w:rPr>
            <w:rStyle w:val="Hyperlink"/>
            <w:rFonts w:asciiTheme="minorHAnsi" w:eastAsiaTheme="majorEastAsia" w:hAnsiTheme="minorHAnsi" w:cstheme="minorHAnsi"/>
            <w:b/>
            <w:bCs/>
            <w:color w:val="005274"/>
          </w:rPr>
          <w:t>4</w:t>
        </w:r>
      </w:hyperlink>
      <w:r w:rsidRPr="004768C9">
        <w:rPr>
          <w:rFonts w:asciiTheme="minorHAnsi" w:hAnsiTheme="minorHAnsi" w:cstheme="minorHAnsi"/>
        </w:rPr>
        <w:t> B), signifying that the </w:t>
      </w:r>
      <w:r w:rsidRPr="004768C9">
        <w:rPr>
          <w:rFonts w:asciiTheme="minorHAnsi" w:hAnsiTheme="minorHAnsi" w:cstheme="minorHAnsi"/>
          <w:sz w:val="18"/>
          <w:szCs w:val="18"/>
          <w:vertAlign w:val="superscript"/>
        </w:rPr>
        <w:t>Me</w:t>
      </w:r>
      <w:r w:rsidRPr="004768C9">
        <w:rPr>
          <w:rFonts w:asciiTheme="minorHAnsi" w:hAnsiTheme="minorHAnsi" w:cstheme="minorHAnsi"/>
          <w:b/>
          <w:bCs/>
        </w:rPr>
        <w:t>F</w:t>
      </w:r>
      <w:r w:rsidRPr="004768C9">
        <w:rPr>
          <w:rFonts w:asciiTheme="minorHAnsi" w:hAnsiTheme="minorHAnsi" w:cstheme="minorHAnsi"/>
        </w:rPr>
        <w:t>2</w:t>
      </w:r>
      <w:r w:rsidRPr="004768C9">
        <w:rPr>
          <w:rFonts w:asciiTheme="minorHAnsi" w:hAnsiTheme="minorHAnsi" w:cstheme="minorHAnsi"/>
          <w:sz w:val="18"/>
          <w:szCs w:val="18"/>
          <w:vertAlign w:val="superscript"/>
        </w:rPr>
        <w:t>+.</w:t>
      </w:r>
      <w:r w:rsidRPr="004768C9">
        <w:rPr>
          <w:rFonts w:asciiTheme="minorHAnsi" w:hAnsiTheme="minorHAnsi" w:cstheme="minorHAnsi"/>
        </w:rPr>
        <w:t> structure is identical to that of </w:t>
      </w:r>
      <w:r w:rsidRPr="004768C9">
        <w:rPr>
          <w:rFonts w:asciiTheme="minorHAnsi" w:hAnsiTheme="minorHAnsi" w:cstheme="minorHAnsi"/>
          <w:sz w:val="18"/>
          <w:szCs w:val="18"/>
          <w:vertAlign w:val="superscript"/>
        </w:rPr>
        <w:t>C</w:t>
      </w:r>
      <w:r w:rsidRPr="004768C9">
        <w:rPr>
          <w:rFonts w:asciiTheme="minorHAnsi" w:hAnsiTheme="minorHAnsi" w:cstheme="minorHAnsi"/>
          <w:b/>
          <w:bCs/>
        </w:rPr>
        <w:t>F</w:t>
      </w:r>
      <w:r w:rsidRPr="004768C9">
        <w:rPr>
          <w:rFonts w:asciiTheme="minorHAnsi" w:hAnsiTheme="minorHAnsi" w:cstheme="minorHAnsi"/>
        </w:rPr>
        <w:t>2</w:t>
      </w:r>
      <w:r w:rsidRPr="004768C9">
        <w:rPr>
          <w:rFonts w:asciiTheme="minorHAnsi" w:hAnsiTheme="minorHAnsi" w:cstheme="minorHAnsi"/>
          <w:sz w:val="18"/>
          <w:szCs w:val="18"/>
          <w:vertAlign w:val="superscript"/>
        </w:rPr>
        <w:t>+.</w:t>
      </w:r>
      <w:r w:rsidRPr="004768C9">
        <w:rPr>
          <w:rFonts w:asciiTheme="minorHAnsi" w:hAnsiTheme="minorHAnsi" w:cstheme="minorHAnsi"/>
        </w:rPr>
        <w:t>, that is, corresponding to a sandwich‐like arrangement of fluorenes, and the cationic charge is delocalized over both fluorenes via strong through‐space electronic coupling. Indeed, (TD)‐DFT calculations confirmed that the intense near‐IR band corresponds to sandwich‐like conformations of </w:t>
      </w:r>
      <w:r w:rsidRPr="004768C9">
        <w:rPr>
          <w:rFonts w:asciiTheme="minorHAnsi" w:hAnsiTheme="minorHAnsi" w:cstheme="minorHAnsi"/>
          <w:sz w:val="18"/>
          <w:szCs w:val="18"/>
          <w:vertAlign w:val="superscript"/>
        </w:rPr>
        <w:t>C</w:t>
      </w:r>
      <w:r w:rsidRPr="004768C9">
        <w:rPr>
          <w:rFonts w:asciiTheme="minorHAnsi" w:hAnsiTheme="minorHAnsi" w:cstheme="minorHAnsi"/>
          <w:b/>
          <w:bCs/>
        </w:rPr>
        <w:t>F</w:t>
      </w:r>
      <w:r w:rsidRPr="004768C9">
        <w:rPr>
          <w:rFonts w:asciiTheme="minorHAnsi" w:hAnsiTheme="minorHAnsi" w:cstheme="minorHAnsi"/>
        </w:rPr>
        <w:t>2</w:t>
      </w:r>
      <w:r w:rsidRPr="004768C9">
        <w:rPr>
          <w:rFonts w:asciiTheme="minorHAnsi" w:hAnsiTheme="minorHAnsi" w:cstheme="minorHAnsi"/>
          <w:sz w:val="18"/>
          <w:szCs w:val="18"/>
          <w:vertAlign w:val="superscript"/>
        </w:rPr>
        <w:t>+.</w:t>
      </w:r>
      <w:r w:rsidRPr="004768C9">
        <w:rPr>
          <w:rFonts w:asciiTheme="minorHAnsi" w:hAnsiTheme="minorHAnsi" w:cstheme="minorHAnsi"/>
        </w:rPr>
        <w:t> and </w:t>
      </w:r>
      <w:r w:rsidRPr="004768C9">
        <w:rPr>
          <w:rFonts w:asciiTheme="minorHAnsi" w:hAnsiTheme="minorHAnsi" w:cstheme="minorHAnsi"/>
          <w:sz w:val="18"/>
          <w:szCs w:val="18"/>
          <w:vertAlign w:val="superscript"/>
        </w:rPr>
        <w:t>Me</w:t>
      </w:r>
      <w:r w:rsidRPr="004768C9">
        <w:rPr>
          <w:rFonts w:asciiTheme="minorHAnsi" w:hAnsiTheme="minorHAnsi" w:cstheme="minorHAnsi"/>
          <w:b/>
          <w:bCs/>
        </w:rPr>
        <w:t>F</w:t>
      </w:r>
      <w:r w:rsidRPr="004768C9">
        <w:rPr>
          <w:rFonts w:asciiTheme="minorHAnsi" w:hAnsiTheme="minorHAnsi" w:cstheme="minorHAnsi"/>
        </w:rPr>
        <w:t>2</w:t>
      </w:r>
      <w:r w:rsidRPr="004768C9">
        <w:rPr>
          <w:rFonts w:asciiTheme="minorHAnsi" w:hAnsiTheme="minorHAnsi" w:cstheme="minorHAnsi"/>
          <w:sz w:val="18"/>
          <w:szCs w:val="18"/>
          <w:vertAlign w:val="superscript"/>
        </w:rPr>
        <w:t>+.</w:t>
      </w:r>
      <w:r w:rsidRPr="004768C9">
        <w:rPr>
          <w:rFonts w:asciiTheme="minorHAnsi" w:hAnsiTheme="minorHAnsi" w:cstheme="minorHAnsi"/>
        </w:rPr>
        <w:t>, where the charge/spin is delocalized over both fluorenes (Figure </w:t>
      </w:r>
      <w:hyperlink r:id="rId54" w:anchor="anie201804337-fig-0004" w:history="1">
        <w:r w:rsidRPr="004768C9">
          <w:rPr>
            <w:rStyle w:val="Hyperlink"/>
            <w:rFonts w:asciiTheme="minorHAnsi" w:eastAsiaTheme="majorEastAsia" w:hAnsiTheme="minorHAnsi" w:cstheme="minorHAnsi"/>
            <w:b/>
            <w:bCs/>
            <w:color w:val="005274"/>
          </w:rPr>
          <w:t>4</w:t>
        </w:r>
      </w:hyperlink>
      <w:r w:rsidRPr="004768C9">
        <w:rPr>
          <w:rFonts w:asciiTheme="minorHAnsi" w:hAnsiTheme="minorHAnsi" w:cstheme="minorHAnsi"/>
        </w:rPr>
        <w:t> B). Our calculations also predict a displaced conformation of </w:t>
      </w:r>
      <w:r w:rsidRPr="004768C9">
        <w:rPr>
          <w:rFonts w:asciiTheme="minorHAnsi" w:hAnsiTheme="minorHAnsi" w:cstheme="minorHAnsi"/>
          <w:sz w:val="18"/>
          <w:szCs w:val="18"/>
          <w:vertAlign w:val="superscript"/>
        </w:rPr>
        <w:t>Me</w:t>
      </w:r>
      <w:r w:rsidRPr="004768C9">
        <w:rPr>
          <w:rFonts w:asciiTheme="minorHAnsi" w:hAnsiTheme="minorHAnsi" w:cstheme="minorHAnsi"/>
          <w:b/>
          <w:bCs/>
        </w:rPr>
        <w:t>F</w:t>
      </w:r>
      <w:r w:rsidRPr="004768C9">
        <w:rPr>
          <w:rFonts w:asciiTheme="minorHAnsi" w:hAnsiTheme="minorHAnsi" w:cstheme="minorHAnsi"/>
        </w:rPr>
        <w:t>2</w:t>
      </w:r>
      <w:r w:rsidRPr="004768C9">
        <w:rPr>
          <w:rFonts w:asciiTheme="minorHAnsi" w:hAnsiTheme="minorHAnsi" w:cstheme="minorHAnsi"/>
          <w:sz w:val="18"/>
          <w:szCs w:val="18"/>
          <w:vertAlign w:val="superscript"/>
        </w:rPr>
        <w:t>+.</w:t>
      </w:r>
      <w:r w:rsidRPr="004768C9">
        <w:rPr>
          <w:rFonts w:asciiTheme="minorHAnsi" w:hAnsiTheme="minorHAnsi" w:cstheme="minorHAnsi"/>
        </w:rPr>
        <w:t> that lies 1.4 kcal mol</w:t>
      </w:r>
      <w:r w:rsidRPr="004768C9">
        <w:rPr>
          <w:rFonts w:asciiTheme="minorHAnsi" w:hAnsiTheme="minorHAnsi" w:cstheme="minorHAnsi"/>
          <w:sz w:val="18"/>
          <w:szCs w:val="18"/>
          <w:vertAlign w:val="superscript"/>
        </w:rPr>
        <w:t>−1</w:t>
      </w:r>
      <w:r w:rsidRPr="004768C9">
        <w:rPr>
          <w:rFonts w:asciiTheme="minorHAnsi" w:hAnsiTheme="minorHAnsi" w:cstheme="minorHAnsi"/>
        </w:rPr>
        <w:t xml:space="preserve"> higher in energy than the sandwich‐like structure, </w:t>
      </w:r>
      <w:proofErr w:type="gramStart"/>
      <w:r w:rsidRPr="004768C9">
        <w:rPr>
          <w:rFonts w:asciiTheme="minorHAnsi" w:hAnsiTheme="minorHAnsi" w:cstheme="minorHAnsi"/>
        </w:rPr>
        <w:t>and also</w:t>
      </w:r>
      <w:proofErr w:type="gramEnd"/>
      <w:r w:rsidRPr="004768C9">
        <w:rPr>
          <w:rFonts w:asciiTheme="minorHAnsi" w:hAnsiTheme="minorHAnsi" w:cstheme="minorHAnsi"/>
        </w:rPr>
        <w:t xml:space="preserve"> displays spin/charge delocalization over both fluorenes, suggesting that even a minimal through‐space orbital overlap is sufficient to promote hole delocalization in </w:t>
      </w:r>
      <w:proofErr w:type="spellStart"/>
      <w:r w:rsidRPr="004768C9">
        <w:rPr>
          <w:rFonts w:asciiTheme="minorHAnsi" w:hAnsiTheme="minorHAnsi" w:cstheme="minorHAnsi"/>
        </w:rPr>
        <w:t>bifluorenes</w:t>
      </w:r>
      <w:proofErr w:type="spellEnd"/>
      <w:r w:rsidRPr="004768C9">
        <w:rPr>
          <w:rFonts w:asciiTheme="minorHAnsi" w:hAnsiTheme="minorHAnsi" w:cstheme="minorHAnsi"/>
        </w:rPr>
        <w:t>. This is in contrast to the excited state of </w:t>
      </w:r>
      <w:r w:rsidRPr="004768C9">
        <w:rPr>
          <w:rFonts w:asciiTheme="minorHAnsi" w:hAnsiTheme="minorHAnsi" w:cstheme="minorHAnsi"/>
          <w:sz w:val="18"/>
          <w:szCs w:val="18"/>
          <w:vertAlign w:val="superscript"/>
        </w:rPr>
        <w:t>Me</w:t>
      </w:r>
      <w:r w:rsidRPr="004768C9">
        <w:rPr>
          <w:rFonts w:asciiTheme="minorHAnsi" w:hAnsiTheme="minorHAnsi" w:cstheme="minorHAnsi"/>
          <w:b/>
          <w:bCs/>
        </w:rPr>
        <w:t>F</w:t>
      </w:r>
      <w:r w:rsidRPr="004768C9">
        <w:rPr>
          <w:rFonts w:asciiTheme="minorHAnsi" w:hAnsiTheme="minorHAnsi" w:cstheme="minorHAnsi"/>
        </w:rPr>
        <w:t>2, where in the displaced conformation the exciton is localized on a single fluorene (Figure </w:t>
      </w:r>
      <w:hyperlink r:id="rId55" w:anchor="anie201804337-fig-0003" w:history="1">
        <w:r w:rsidRPr="004768C9">
          <w:rPr>
            <w:rStyle w:val="Hyperlink"/>
            <w:rFonts w:asciiTheme="minorHAnsi" w:eastAsiaTheme="majorEastAsia" w:hAnsiTheme="minorHAnsi" w:cstheme="minorHAnsi"/>
            <w:b/>
            <w:bCs/>
            <w:color w:val="005274"/>
          </w:rPr>
          <w:t>3</w:t>
        </w:r>
      </w:hyperlink>
      <w:r w:rsidRPr="004768C9">
        <w:rPr>
          <w:rFonts w:asciiTheme="minorHAnsi" w:hAnsiTheme="minorHAnsi" w:cstheme="minorHAnsi"/>
        </w:rPr>
        <w:t>).</w:t>
      </w:r>
    </w:p>
    <w:p w14:paraId="0587923F" w14:textId="77777777" w:rsidR="00481E77" w:rsidRPr="004768C9" w:rsidRDefault="00481E77" w:rsidP="004768C9">
      <w:pPr>
        <w:pStyle w:val="NormalWeb"/>
        <w:spacing w:before="75" w:beforeAutospacing="0" w:after="240" w:afterAutospacing="0" w:line="276" w:lineRule="auto"/>
        <w:rPr>
          <w:rFonts w:asciiTheme="minorHAnsi" w:hAnsiTheme="minorHAnsi" w:cstheme="minorHAnsi"/>
        </w:rPr>
      </w:pPr>
      <w:r w:rsidRPr="004768C9">
        <w:rPr>
          <w:rFonts w:asciiTheme="minorHAnsi" w:hAnsiTheme="minorHAnsi" w:cstheme="minorHAnsi"/>
        </w:rPr>
        <w:t>The electronic spectrum of </w:t>
      </w:r>
      <w:r w:rsidRPr="004768C9">
        <w:rPr>
          <w:rFonts w:asciiTheme="minorHAnsi" w:hAnsiTheme="minorHAnsi" w:cstheme="minorHAnsi"/>
          <w:i/>
          <w:iCs/>
          <w:sz w:val="18"/>
          <w:szCs w:val="18"/>
          <w:vertAlign w:val="superscript"/>
        </w:rPr>
        <w:t>t</w:t>
      </w:r>
      <w:r w:rsidRPr="004768C9">
        <w:rPr>
          <w:rFonts w:asciiTheme="minorHAnsi" w:hAnsiTheme="minorHAnsi" w:cstheme="minorHAnsi"/>
          <w:sz w:val="18"/>
          <w:szCs w:val="18"/>
          <w:vertAlign w:val="superscript"/>
        </w:rPr>
        <w:t>Bu</w:t>
      </w:r>
      <w:r w:rsidRPr="004768C9">
        <w:rPr>
          <w:rFonts w:asciiTheme="minorHAnsi" w:hAnsiTheme="minorHAnsi" w:cstheme="minorHAnsi"/>
          <w:b/>
          <w:bCs/>
        </w:rPr>
        <w:t>F</w:t>
      </w:r>
      <w:r w:rsidRPr="004768C9">
        <w:rPr>
          <w:rFonts w:asciiTheme="minorHAnsi" w:hAnsiTheme="minorHAnsi" w:cstheme="minorHAnsi"/>
        </w:rPr>
        <w:t>2</w:t>
      </w:r>
      <w:r w:rsidRPr="004768C9">
        <w:rPr>
          <w:rFonts w:asciiTheme="minorHAnsi" w:hAnsiTheme="minorHAnsi" w:cstheme="minorHAnsi"/>
          <w:sz w:val="18"/>
          <w:szCs w:val="18"/>
          <w:vertAlign w:val="superscript"/>
        </w:rPr>
        <w:t>+.</w:t>
      </w:r>
      <w:r w:rsidRPr="004768C9">
        <w:rPr>
          <w:rFonts w:asciiTheme="minorHAnsi" w:hAnsiTheme="minorHAnsi" w:cstheme="minorHAnsi"/>
        </w:rPr>
        <w:t> shows a much less intense intervalence band that is shifted to longer wavelength (2400 nm), suggesting a reduced electronic coupling and/or increased reorganization energy in </w:t>
      </w:r>
      <w:r w:rsidRPr="004768C9">
        <w:rPr>
          <w:rFonts w:asciiTheme="minorHAnsi" w:hAnsiTheme="minorHAnsi" w:cstheme="minorHAnsi"/>
          <w:i/>
          <w:iCs/>
          <w:sz w:val="18"/>
          <w:szCs w:val="18"/>
          <w:vertAlign w:val="superscript"/>
        </w:rPr>
        <w:t>t</w:t>
      </w:r>
      <w:r w:rsidRPr="004768C9">
        <w:rPr>
          <w:rFonts w:asciiTheme="minorHAnsi" w:hAnsiTheme="minorHAnsi" w:cstheme="minorHAnsi"/>
          <w:sz w:val="18"/>
          <w:szCs w:val="18"/>
          <w:vertAlign w:val="superscript"/>
        </w:rPr>
        <w:t>Bu</w:t>
      </w:r>
      <w:r w:rsidRPr="004768C9">
        <w:rPr>
          <w:rFonts w:asciiTheme="minorHAnsi" w:hAnsiTheme="minorHAnsi" w:cstheme="minorHAnsi"/>
          <w:b/>
          <w:bCs/>
        </w:rPr>
        <w:t>F</w:t>
      </w:r>
      <w:r w:rsidRPr="004768C9">
        <w:rPr>
          <w:rFonts w:asciiTheme="minorHAnsi" w:hAnsiTheme="minorHAnsi" w:cstheme="minorHAnsi"/>
        </w:rPr>
        <w:t>2</w:t>
      </w:r>
      <w:r w:rsidRPr="004768C9">
        <w:rPr>
          <w:rFonts w:asciiTheme="minorHAnsi" w:hAnsiTheme="minorHAnsi" w:cstheme="minorHAnsi"/>
          <w:sz w:val="18"/>
          <w:szCs w:val="18"/>
          <w:vertAlign w:val="superscript"/>
        </w:rPr>
        <w:t>+.</w:t>
      </w:r>
      <w:r w:rsidRPr="004768C9">
        <w:rPr>
          <w:rFonts w:asciiTheme="minorHAnsi" w:hAnsiTheme="minorHAnsi" w:cstheme="minorHAnsi"/>
        </w:rPr>
        <w:t> as compared to those in </w:t>
      </w:r>
      <w:r w:rsidRPr="004768C9">
        <w:rPr>
          <w:rFonts w:asciiTheme="minorHAnsi" w:hAnsiTheme="minorHAnsi" w:cstheme="minorHAnsi"/>
          <w:sz w:val="18"/>
          <w:szCs w:val="18"/>
          <w:vertAlign w:val="superscript"/>
        </w:rPr>
        <w:t>C</w:t>
      </w:r>
      <w:r w:rsidRPr="004768C9">
        <w:rPr>
          <w:rFonts w:asciiTheme="minorHAnsi" w:hAnsiTheme="minorHAnsi" w:cstheme="minorHAnsi"/>
          <w:b/>
          <w:bCs/>
        </w:rPr>
        <w:t>F</w:t>
      </w:r>
      <w:r w:rsidRPr="004768C9">
        <w:rPr>
          <w:rFonts w:asciiTheme="minorHAnsi" w:hAnsiTheme="minorHAnsi" w:cstheme="minorHAnsi"/>
        </w:rPr>
        <w:t>2</w:t>
      </w:r>
      <w:r w:rsidRPr="004768C9">
        <w:rPr>
          <w:rFonts w:asciiTheme="minorHAnsi" w:hAnsiTheme="minorHAnsi" w:cstheme="minorHAnsi"/>
          <w:sz w:val="18"/>
          <w:szCs w:val="18"/>
          <w:vertAlign w:val="superscript"/>
        </w:rPr>
        <w:t>+.</w:t>
      </w:r>
      <w:r w:rsidRPr="004768C9">
        <w:rPr>
          <w:rFonts w:asciiTheme="minorHAnsi" w:hAnsiTheme="minorHAnsi" w:cstheme="minorHAnsi"/>
        </w:rPr>
        <w:t> and </w:t>
      </w:r>
      <w:r w:rsidRPr="004768C9">
        <w:rPr>
          <w:rFonts w:asciiTheme="minorHAnsi" w:hAnsiTheme="minorHAnsi" w:cstheme="minorHAnsi"/>
          <w:sz w:val="18"/>
          <w:szCs w:val="18"/>
          <w:vertAlign w:val="superscript"/>
        </w:rPr>
        <w:t>Me</w:t>
      </w:r>
      <w:r w:rsidRPr="004768C9">
        <w:rPr>
          <w:rFonts w:asciiTheme="minorHAnsi" w:hAnsiTheme="minorHAnsi" w:cstheme="minorHAnsi"/>
          <w:b/>
          <w:bCs/>
        </w:rPr>
        <w:t>F</w:t>
      </w:r>
      <w:r w:rsidRPr="004768C9">
        <w:rPr>
          <w:rFonts w:asciiTheme="minorHAnsi" w:hAnsiTheme="minorHAnsi" w:cstheme="minorHAnsi"/>
        </w:rPr>
        <w:t>2</w:t>
      </w:r>
      <w:proofErr w:type="gramStart"/>
      <w:r w:rsidRPr="004768C9">
        <w:rPr>
          <w:rFonts w:asciiTheme="minorHAnsi" w:hAnsiTheme="minorHAnsi" w:cstheme="minorHAnsi"/>
          <w:sz w:val="18"/>
          <w:szCs w:val="18"/>
          <w:vertAlign w:val="superscript"/>
        </w:rPr>
        <w:t>+.</w:t>
      </w:r>
      <w:r w:rsidRPr="004768C9">
        <w:rPr>
          <w:rFonts w:asciiTheme="minorHAnsi" w:hAnsiTheme="minorHAnsi" w:cstheme="minorHAnsi"/>
        </w:rPr>
        <w:t>.</w:t>
      </w:r>
      <w:proofErr w:type="gramEnd"/>
      <w:r w:rsidRPr="004768C9">
        <w:rPr>
          <w:rFonts w:asciiTheme="minorHAnsi" w:hAnsiTheme="minorHAnsi" w:cstheme="minorHAnsi"/>
        </w:rPr>
        <w:t xml:space="preserve"> DFT calculations showed that two energetically similar (Δ</w:t>
      </w:r>
      <w:r w:rsidRPr="004768C9">
        <w:rPr>
          <w:rFonts w:asciiTheme="minorHAnsi" w:hAnsiTheme="minorHAnsi" w:cstheme="minorHAnsi"/>
          <w:i/>
          <w:iCs/>
        </w:rPr>
        <w:t>G</w:t>
      </w:r>
      <w:r w:rsidRPr="004768C9">
        <w:rPr>
          <w:rFonts w:asciiTheme="minorHAnsi" w:hAnsiTheme="minorHAnsi" w:cstheme="minorHAnsi"/>
        </w:rPr>
        <w:t>=3.5 kcal mol</w:t>
      </w:r>
      <w:r w:rsidRPr="004768C9">
        <w:rPr>
          <w:rFonts w:asciiTheme="minorHAnsi" w:hAnsiTheme="minorHAnsi" w:cstheme="minorHAnsi"/>
          <w:sz w:val="18"/>
          <w:szCs w:val="18"/>
          <w:vertAlign w:val="superscript"/>
        </w:rPr>
        <w:t>−1</w:t>
      </w:r>
      <w:r w:rsidRPr="004768C9">
        <w:rPr>
          <w:rFonts w:asciiTheme="minorHAnsi" w:hAnsiTheme="minorHAnsi" w:cstheme="minorHAnsi"/>
        </w:rPr>
        <w:t>) conformations of </w:t>
      </w:r>
      <w:r w:rsidRPr="004768C9">
        <w:rPr>
          <w:rFonts w:asciiTheme="minorHAnsi" w:hAnsiTheme="minorHAnsi" w:cstheme="minorHAnsi"/>
          <w:i/>
          <w:iCs/>
          <w:sz w:val="18"/>
          <w:szCs w:val="18"/>
          <w:vertAlign w:val="superscript"/>
        </w:rPr>
        <w:t>t</w:t>
      </w:r>
      <w:r w:rsidRPr="004768C9">
        <w:rPr>
          <w:rFonts w:asciiTheme="minorHAnsi" w:hAnsiTheme="minorHAnsi" w:cstheme="minorHAnsi"/>
          <w:sz w:val="18"/>
          <w:szCs w:val="18"/>
          <w:vertAlign w:val="superscript"/>
        </w:rPr>
        <w:t>Bu</w:t>
      </w:r>
      <w:r w:rsidRPr="004768C9">
        <w:rPr>
          <w:rFonts w:asciiTheme="minorHAnsi" w:hAnsiTheme="minorHAnsi" w:cstheme="minorHAnsi"/>
          <w:b/>
          <w:bCs/>
        </w:rPr>
        <w:t>F</w:t>
      </w:r>
      <w:r w:rsidRPr="004768C9">
        <w:rPr>
          <w:rFonts w:asciiTheme="minorHAnsi" w:hAnsiTheme="minorHAnsi" w:cstheme="minorHAnsi"/>
        </w:rPr>
        <w:t>2</w:t>
      </w:r>
      <w:r w:rsidRPr="004768C9">
        <w:rPr>
          <w:rFonts w:asciiTheme="minorHAnsi" w:hAnsiTheme="minorHAnsi" w:cstheme="minorHAnsi"/>
          <w:sz w:val="18"/>
          <w:szCs w:val="18"/>
          <w:vertAlign w:val="superscript"/>
        </w:rPr>
        <w:t>+.</w:t>
      </w:r>
      <w:r w:rsidRPr="004768C9">
        <w:rPr>
          <w:rFonts w:asciiTheme="minorHAnsi" w:hAnsiTheme="minorHAnsi" w:cstheme="minorHAnsi"/>
        </w:rPr>
        <w:t> may exist. The sandwich‐like arrangement displays a significant puckering of the fluorene moieties owing to the steric hindrance from bulky </w:t>
      </w:r>
      <w:proofErr w:type="spellStart"/>
      <w:r w:rsidRPr="004768C9">
        <w:rPr>
          <w:rFonts w:asciiTheme="minorHAnsi" w:hAnsiTheme="minorHAnsi" w:cstheme="minorHAnsi"/>
          <w:i/>
          <w:iCs/>
        </w:rPr>
        <w:t>t</w:t>
      </w:r>
      <w:r w:rsidRPr="004768C9">
        <w:rPr>
          <w:rFonts w:asciiTheme="minorHAnsi" w:hAnsiTheme="minorHAnsi" w:cstheme="minorHAnsi"/>
        </w:rPr>
        <w:t>Bu</w:t>
      </w:r>
      <w:proofErr w:type="spellEnd"/>
      <w:r w:rsidRPr="004768C9">
        <w:rPr>
          <w:rFonts w:asciiTheme="minorHAnsi" w:hAnsiTheme="minorHAnsi" w:cstheme="minorHAnsi"/>
        </w:rPr>
        <w:t xml:space="preserve"> groups, yet the spin/charge remains delocalized over both fluorenes. In the displaced </w:t>
      </w:r>
      <w:r w:rsidRPr="004768C9">
        <w:rPr>
          <w:rFonts w:asciiTheme="minorHAnsi" w:hAnsiTheme="minorHAnsi" w:cstheme="minorHAnsi"/>
          <w:i/>
          <w:iCs/>
          <w:sz w:val="18"/>
          <w:szCs w:val="18"/>
          <w:vertAlign w:val="superscript"/>
        </w:rPr>
        <w:t>t</w:t>
      </w:r>
      <w:r w:rsidRPr="004768C9">
        <w:rPr>
          <w:rFonts w:asciiTheme="minorHAnsi" w:hAnsiTheme="minorHAnsi" w:cstheme="minorHAnsi"/>
          <w:sz w:val="18"/>
          <w:szCs w:val="18"/>
          <w:vertAlign w:val="superscript"/>
        </w:rPr>
        <w:t>Bu</w:t>
      </w:r>
      <w:r w:rsidRPr="004768C9">
        <w:rPr>
          <w:rFonts w:asciiTheme="minorHAnsi" w:hAnsiTheme="minorHAnsi" w:cstheme="minorHAnsi"/>
          <w:b/>
          <w:bCs/>
        </w:rPr>
        <w:t>F</w:t>
      </w:r>
      <w:r w:rsidRPr="004768C9">
        <w:rPr>
          <w:rFonts w:asciiTheme="minorHAnsi" w:hAnsiTheme="minorHAnsi" w:cstheme="minorHAnsi"/>
        </w:rPr>
        <w:t>2</w:t>
      </w:r>
      <w:r w:rsidRPr="004768C9">
        <w:rPr>
          <w:rFonts w:asciiTheme="minorHAnsi" w:hAnsiTheme="minorHAnsi" w:cstheme="minorHAnsi"/>
          <w:sz w:val="18"/>
          <w:szCs w:val="18"/>
          <w:vertAlign w:val="superscript"/>
        </w:rPr>
        <w:t>+.</w:t>
      </w:r>
      <w:r w:rsidRPr="004768C9">
        <w:rPr>
          <w:rFonts w:asciiTheme="minorHAnsi" w:hAnsiTheme="minorHAnsi" w:cstheme="minorHAnsi"/>
        </w:rPr>
        <w:t>, the spin/charge is largely localized on a single fluorene, due to the significant displacement and therefore reduced orbital overlap/electronic coupling.</w:t>
      </w:r>
    </w:p>
    <w:p w14:paraId="3D02290B" w14:textId="77777777" w:rsidR="00481E77" w:rsidRPr="004768C9" w:rsidRDefault="00481E77" w:rsidP="004768C9">
      <w:pPr>
        <w:pStyle w:val="NormalWeb"/>
        <w:spacing w:before="75" w:beforeAutospacing="0" w:after="240" w:afterAutospacing="0" w:line="276" w:lineRule="auto"/>
        <w:rPr>
          <w:rFonts w:asciiTheme="minorHAnsi" w:hAnsiTheme="minorHAnsi" w:cstheme="minorHAnsi"/>
        </w:rPr>
      </w:pPr>
      <w:r w:rsidRPr="004768C9">
        <w:rPr>
          <w:rFonts w:asciiTheme="minorHAnsi" w:hAnsiTheme="minorHAnsi" w:cstheme="minorHAnsi"/>
        </w:rPr>
        <w:t xml:space="preserve">Additional insights come from gas‐phase spectra of the three </w:t>
      </w:r>
      <w:proofErr w:type="spellStart"/>
      <w:r w:rsidRPr="004768C9">
        <w:rPr>
          <w:rFonts w:asciiTheme="minorHAnsi" w:hAnsiTheme="minorHAnsi" w:cstheme="minorHAnsi"/>
        </w:rPr>
        <w:t>torsionomers</w:t>
      </w:r>
      <w:proofErr w:type="spellEnd"/>
      <w:r w:rsidRPr="004768C9">
        <w:rPr>
          <w:rFonts w:asciiTheme="minorHAnsi" w:hAnsiTheme="minorHAnsi" w:cstheme="minorHAnsi"/>
        </w:rPr>
        <w:t>, obtained via laser induced fluorescence (LIF) spectroscopy using a heated supersonic nozzle; details are provided in the Supporting Information. As shown in Figure </w:t>
      </w:r>
      <w:hyperlink r:id="rId56" w:anchor="anie201804337-fig-0005" w:history="1">
        <w:r w:rsidRPr="004768C9">
          <w:rPr>
            <w:rStyle w:val="Hyperlink"/>
            <w:rFonts w:asciiTheme="minorHAnsi" w:eastAsiaTheme="majorEastAsia" w:hAnsiTheme="minorHAnsi" w:cstheme="minorHAnsi"/>
            <w:b/>
            <w:bCs/>
            <w:color w:val="005274"/>
          </w:rPr>
          <w:t>5</w:t>
        </w:r>
      </w:hyperlink>
      <w:r w:rsidRPr="004768C9">
        <w:rPr>
          <w:rFonts w:asciiTheme="minorHAnsi" w:hAnsiTheme="minorHAnsi" w:cstheme="minorHAnsi"/>
        </w:rPr>
        <w:t>, the differences in these spectra are striking. The spectrum of </w:t>
      </w:r>
      <w:r w:rsidRPr="004768C9">
        <w:rPr>
          <w:rFonts w:asciiTheme="minorHAnsi" w:hAnsiTheme="minorHAnsi" w:cstheme="minorHAnsi"/>
          <w:sz w:val="18"/>
          <w:szCs w:val="18"/>
          <w:vertAlign w:val="superscript"/>
        </w:rPr>
        <w:t>Me</w:t>
      </w:r>
      <w:r w:rsidRPr="004768C9">
        <w:rPr>
          <w:rFonts w:asciiTheme="minorHAnsi" w:hAnsiTheme="minorHAnsi" w:cstheme="minorHAnsi"/>
          <w:b/>
          <w:bCs/>
        </w:rPr>
        <w:t>F</w:t>
      </w:r>
      <w:r w:rsidRPr="004768C9">
        <w:rPr>
          <w:rFonts w:asciiTheme="minorHAnsi" w:hAnsiTheme="minorHAnsi" w:cstheme="minorHAnsi"/>
        </w:rPr>
        <w:t>2 (green) is similar to that of </w:t>
      </w:r>
      <w:r w:rsidRPr="004768C9">
        <w:rPr>
          <w:rFonts w:asciiTheme="minorHAnsi" w:hAnsiTheme="minorHAnsi" w:cstheme="minorHAnsi"/>
          <w:b/>
          <w:bCs/>
        </w:rPr>
        <w:t>F</w:t>
      </w:r>
      <w:r w:rsidRPr="004768C9">
        <w:rPr>
          <w:rFonts w:asciiTheme="minorHAnsi" w:hAnsiTheme="minorHAnsi" w:cstheme="minorHAnsi"/>
        </w:rPr>
        <w:t>2 (black) in displaying a broad and largely unresolved profile; the breadth is explained in the terms of an underlying progression in the torsional motion which is broadened by the fast dynamics and strong modulation of the electronic coupling (Figure </w:t>
      </w:r>
      <w:hyperlink r:id="rId57" w:anchor="anie201804337-fig-0001" w:history="1">
        <w:r w:rsidRPr="004768C9">
          <w:rPr>
            <w:rStyle w:val="Hyperlink"/>
            <w:rFonts w:asciiTheme="minorHAnsi" w:eastAsiaTheme="majorEastAsia" w:hAnsiTheme="minorHAnsi" w:cstheme="minorHAnsi"/>
            <w:b/>
            <w:bCs/>
            <w:color w:val="005274"/>
          </w:rPr>
          <w:t>1</w:t>
        </w:r>
      </w:hyperlink>
      <w:r w:rsidRPr="004768C9">
        <w:rPr>
          <w:rFonts w:asciiTheme="minorHAnsi" w:hAnsiTheme="minorHAnsi" w:cstheme="minorHAnsi"/>
        </w:rPr>
        <w:t> A). The underlying progression is clearly seen in the spectrum of </w:t>
      </w:r>
      <w:r w:rsidRPr="004768C9">
        <w:rPr>
          <w:rFonts w:asciiTheme="minorHAnsi" w:hAnsiTheme="minorHAnsi" w:cstheme="minorHAnsi"/>
          <w:i/>
          <w:iCs/>
          <w:sz w:val="18"/>
          <w:szCs w:val="18"/>
          <w:vertAlign w:val="superscript"/>
        </w:rPr>
        <w:t>t</w:t>
      </w:r>
      <w:r w:rsidRPr="004768C9">
        <w:rPr>
          <w:rFonts w:asciiTheme="minorHAnsi" w:hAnsiTheme="minorHAnsi" w:cstheme="minorHAnsi"/>
          <w:sz w:val="18"/>
          <w:szCs w:val="18"/>
          <w:vertAlign w:val="superscript"/>
        </w:rPr>
        <w:t>Bu</w:t>
      </w:r>
      <w:r w:rsidRPr="004768C9">
        <w:rPr>
          <w:rFonts w:asciiTheme="minorHAnsi" w:hAnsiTheme="minorHAnsi" w:cstheme="minorHAnsi"/>
          <w:b/>
          <w:bCs/>
        </w:rPr>
        <w:t>F</w:t>
      </w:r>
      <w:r w:rsidRPr="004768C9">
        <w:rPr>
          <w:rFonts w:asciiTheme="minorHAnsi" w:hAnsiTheme="minorHAnsi" w:cstheme="minorHAnsi"/>
        </w:rPr>
        <w:t>2 (blue), absent any spectral broadening. On the other hand, the spectrum of </w:t>
      </w:r>
      <w:r w:rsidRPr="004768C9">
        <w:rPr>
          <w:rFonts w:asciiTheme="minorHAnsi" w:hAnsiTheme="minorHAnsi" w:cstheme="minorHAnsi"/>
          <w:sz w:val="18"/>
          <w:szCs w:val="18"/>
          <w:vertAlign w:val="superscript"/>
        </w:rPr>
        <w:t>C</w:t>
      </w:r>
      <w:r w:rsidRPr="004768C9">
        <w:rPr>
          <w:rFonts w:asciiTheme="minorHAnsi" w:hAnsiTheme="minorHAnsi" w:cstheme="minorHAnsi"/>
          <w:b/>
          <w:bCs/>
        </w:rPr>
        <w:t>F</w:t>
      </w:r>
      <w:r w:rsidRPr="004768C9">
        <w:rPr>
          <w:rFonts w:asciiTheme="minorHAnsi" w:hAnsiTheme="minorHAnsi" w:cstheme="minorHAnsi"/>
        </w:rPr>
        <w:t xml:space="preserve">2 (red) is both sharp and distinct, and strikingly red‐shifted. Here, the torsional </w:t>
      </w:r>
      <w:proofErr w:type="spellStart"/>
      <w:r w:rsidRPr="004768C9">
        <w:rPr>
          <w:rFonts w:asciiTheme="minorHAnsi" w:hAnsiTheme="minorHAnsi" w:cstheme="minorHAnsi"/>
        </w:rPr>
        <w:t>libration</w:t>
      </w:r>
      <w:proofErr w:type="spellEnd"/>
      <w:r w:rsidRPr="004768C9">
        <w:rPr>
          <w:rFonts w:asciiTheme="minorHAnsi" w:hAnsiTheme="minorHAnsi" w:cstheme="minorHAnsi"/>
        </w:rPr>
        <w:t xml:space="preserve"> is quenched and the Franck–Condon active vibration corresponds to a “breathing” type motion of the two subunits (see Figure S14 in Supporting Information). The dramatic consequences of steric hindrance in the </w:t>
      </w:r>
      <w:r w:rsidRPr="004768C9">
        <w:rPr>
          <w:rFonts w:asciiTheme="minorHAnsi" w:hAnsiTheme="minorHAnsi" w:cstheme="minorHAnsi"/>
          <w:i/>
          <w:iCs/>
          <w:sz w:val="18"/>
          <w:szCs w:val="18"/>
          <w:vertAlign w:val="superscript"/>
        </w:rPr>
        <w:t>t</w:t>
      </w:r>
      <w:r w:rsidRPr="004768C9">
        <w:rPr>
          <w:rFonts w:asciiTheme="minorHAnsi" w:hAnsiTheme="minorHAnsi" w:cstheme="minorHAnsi"/>
          <w:sz w:val="18"/>
          <w:szCs w:val="18"/>
          <w:vertAlign w:val="superscript"/>
        </w:rPr>
        <w:t>Bu</w:t>
      </w:r>
      <w:r w:rsidRPr="004768C9">
        <w:rPr>
          <w:rFonts w:asciiTheme="minorHAnsi" w:hAnsiTheme="minorHAnsi" w:cstheme="minorHAnsi"/>
          <w:b/>
          <w:bCs/>
        </w:rPr>
        <w:t>F</w:t>
      </w:r>
      <w:r w:rsidRPr="004768C9">
        <w:rPr>
          <w:rFonts w:asciiTheme="minorHAnsi" w:hAnsiTheme="minorHAnsi" w:cstheme="minorHAnsi"/>
        </w:rPr>
        <w:t>2 derivative can be further seen in a comparison with unsubstituted </w:t>
      </w:r>
      <w:r w:rsidRPr="004768C9">
        <w:rPr>
          <w:rFonts w:asciiTheme="minorHAnsi" w:hAnsiTheme="minorHAnsi" w:cstheme="minorHAnsi"/>
          <w:b/>
          <w:bCs/>
        </w:rPr>
        <w:t>F</w:t>
      </w:r>
      <w:r w:rsidRPr="004768C9">
        <w:rPr>
          <w:rFonts w:asciiTheme="minorHAnsi" w:hAnsiTheme="minorHAnsi" w:cstheme="minorHAnsi"/>
        </w:rPr>
        <w:t>2 (Figure </w:t>
      </w:r>
      <w:hyperlink r:id="rId58" w:anchor="anie201804337-fig-0005" w:history="1">
        <w:r w:rsidRPr="004768C9">
          <w:rPr>
            <w:rStyle w:val="Hyperlink"/>
            <w:rFonts w:asciiTheme="minorHAnsi" w:eastAsiaTheme="majorEastAsia" w:hAnsiTheme="minorHAnsi" w:cstheme="minorHAnsi"/>
            <w:b/>
            <w:bCs/>
            <w:color w:val="005274"/>
          </w:rPr>
          <w:t>5</w:t>
        </w:r>
      </w:hyperlink>
      <w:r w:rsidRPr="004768C9">
        <w:rPr>
          <w:rFonts w:asciiTheme="minorHAnsi" w:hAnsiTheme="minorHAnsi" w:cstheme="minorHAnsi"/>
        </w:rPr>
        <w:t>, pale blue vs. black). Here, the underlying torsional progression is clearly evidenced, as the breadth of the spectra is similar. A more detailed analysis of these spectra is beyond the scope of this article and will be reported in future.</w:t>
      </w:r>
    </w:p>
    <w:p w14:paraId="16ED60A4" w14:textId="1CD73FE9" w:rsidR="00481E77" w:rsidRPr="004768C9" w:rsidRDefault="00C332F1" w:rsidP="00C332F1">
      <w:pPr>
        <w:spacing w:after="0" w:line="276" w:lineRule="auto"/>
        <w:rPr>
          <w:rFonts w:cstheme="minorHAnsi"/>
        </w:rPr>
      </w:pPr>
      <w:r>
        <w:rPr>
          <w:noProof/>
        </w:rPr>
        <w:drawing>
          <wp:inline distT="0" distB="0" distL="0" distR="0" wp14:anchorId="08BB9129" wp14:editId="43A9C6EF">
            <wp:extent cx="2743200" cy="2075688"/>
            <wp:effectExtent l="0" t="0" r="0" b="1270"/>
            <wp:docPr id="11" name="Picture 11" descr="Figure 5 Laser‐induced fluorescence spectra of MeF2 (green), tBuF2 (blue), CF2 (red), and F2 (black) in the gas‐phase. Sharp transitions in the spectrum of MeF2 reflect monomeric impurity. Comparison of the LIF spectra of F2 (black) with tBuF2 (blue) shows the underlying torsional progre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2743200" cy="2075688"/>
                    </a:xfrm>
                    <a:prstGeom prst="rect">
                      <a:avLst/>
                    </a:prstGeom>
                    <a:noFill/>
                    <a:ln>
                      <a:noFill/>
                    </a:ln>
                  </pic:spPr>
                </pic:pic>
              </a:graphicData>
            </a:graphic>
          </wp:inline>
        </w:drawing>
      </w:r>
    </w:p>
    <w:p w14:paraId="2B47D86D" w14:textId="40F0A2AE" w:rsidR="00481E77" w:rsidRPr="004768C9" w:rsidRDefault="00481E77" w:rsidP="00C332F1">
      <w:pPr>
        <w:pStyle w:val="NoSpacing"/>
      </w:pPr>
      <w:r w:rsidRPr="004768C9">
        <w:rPr>
          <w:rStyle w:val="Strong"/>
          <w:rFonts w:cstheme="minorHAnsi"/>
          <w:color w:val="212121"/>
        </w:rPr>
        <w:t>Figure 5</w:t>
      </w:r>
      <w:r w:rsidR="00C332F1">
        <w:rPr>
          <w:rStyle w:val="Strong"/>
          <w:rFonts w:cstheme="minorHAnsi"/>
          <w:color w:val="212121"/>
        </w:rPr>
        <w:t xml:space="preserve"> </w:t>
      </w:r>
      <w:r w:rsidRPr="004768C9">
        <w:t>Laser‐induced fluorescence spectra of </w:t>
      </w:r>
      <w:r w:rsidRPr="004768C9">
        <w:rPr>
          <w:sz w:val="18"/>
          <w:szCs w:val="18"/>
          <w:vertAlign w:val="superscript"/>
        </w:rPr>
        <w:t>Me</w:t>
      </w:r>
      <w:r w:rsidRPr="004768C9">
        <w:rPr>
          <w:b/>
          <w:bCs/>
        </w:rPr>
        <w:t>F</w:t>
      </w:r>
      <w:r w:rsidRPr="004768C9">
        <w:t>2 (green), </w:t>
      </w:r>
      <w:r w:rsidRPr="004768C9">
        <w:rPr>
          <w:i/>
          <w:iCs/>
          <w:sz w:val="18"/>
          <w:szCs w:val="18"/>
          <w:vertAlign w:val="superscript"/>
        </w:rPr>
        <w:t>t</w:t>
      </w:r>
      <w:r w:rsidRPr="004768C9">
        <w:rPr>
          <w:sz w:val="18"/>
          <w:szCs w:val="18"/>
          <w:vertAlign w:val="superscript"/>
        </w:rPr>
        <w:t>Bu</w:t>
      </w:r>
      <w:r w:rsidRPr="004768C9">
        <w:rPr>
          <w:b/>
          <w:bCs/>
        </w:rPr>
        <w:t>F</w:t>
      </w:r>
      <w:r w:rsidRPr="004768C9">
        <w:t>2 (blue), </w:t>
      </w:r>
      <w:r w:rsidRPr="004768C9">
        <w:rPr>
          <w:sz w:val="18"/>
          <w:szCs w:val="18"/>
          <w:vertAlign w:val="superscript"/>
        </w:rPr>
        <w:t>C</w:t>
      </w:r>
      <w:r w:rsidRPr="004768C9">
        <w:rPr>
          <w:b/>
          <w:bCs/>
        </w:rPr>
        <w:t>F</w:t>
      </w:r>
      <w:r w:rsidRPr="004768C9">
        <w:t>2 (red), and </w:t>
      </w:r>
      <w:r w:rsidRPr="004768C9">
        <w:rPr>
          <w:b/>
          <w:bCs/>
        </w:rPr>
        <w:t>F</w:t>
      </w:r>
      <w:r w:rsidRPr="004768C9">
        <w:t>2 (black) in the gas‐phase. Sharp transitions in the spectrum of </w:t>
      </w:r>
      <w:r w:rsidRPr="004768C9">
        <w:rPr>
          <w:sz w:val="18"/>
          <w:szCs w:val="18"/>
          <w:vertAlign w:val="superscript"/>
        </w:rPr>
        <w:t>Me</w:t>
      </w:r>
      <w:r w:rsidRPr="004768C9">
        <w:rPr>
          <w:b/>
          <w:bCs/>
        </w:rPr>
        <w:t>F</w:t>
      </w:r>
      <w:r w:rsidRPr="004768C9">
        <w:t>2 reflect monomeric impurity. Comparison of the LIF spectra of </w:t>
      </w:r>
      <w:r w:rsidRPr="004768C9">
        <w:rPr>
          <w:b/>
          <w:bCs/>
        </w:rPr>
        <w:t>F</w:t>
      </w:r>
      <w:r w:rsidRPr="004768C9">
        <w:t>2 (black) with </w:t>
      </w:r>
      <w:r w:rsidRPr="004768C9">
        <w:rPr>
          <w:i/>
          <w:iCs/>
          <w:sz w:val="18"/>
          <w:szCs w:val="18"/>
          <w:vertAlign w:val="superscript"/>
        </w:rPr>
        <w:t>t</w:t>
      </w:r>
      <w:r w:rsidRPr="004768C9">
        <w:rPr>
          <w:sz w:val="18"/>
          <w:szCs w:val="18"/>
          <w:vertAlign w:val="superscript"/>
        </w:rPr>
        <w:t>Bu</w:t>
      </w:r>
      <w:r w:rsidRPr="004768C9">
        <w:rPr>
          <w:b/>
          <w:bCs/>
        </w:rPr>
        <w:t>F</w:t>
      </w:r>
      <w:r w:rsidRPr="004768C9">
        <w:t>2 (blue) shows the underlying torsional progression.</w:t>
      </w:r>
    </w:p>
    <w:p w14:paraId="40F89A42" w14:textId="77777777" w:rsidR="00C332F1" w:rsidRDefault="00C332F1" w:rsidP="004768C9">
      <w:pPr>
        <w:pStyle w:val="NormalWeb"/>
        <w:spacing w:before="75" w:beforeAutospacing="0" w:after="240" w:afterAutospacing="0" w:line="276" w:lineRule="auto"/>
        <w:rPr>
          <w:rFonts w:asciiTheme="minorHAnsi" w:hAnsiTheme="minorHAnsi" w:cstheme="minorHAnsi"/>
        </w:rPr>
      </w:pPr>
    </w:p>
    <w:p w14:paraId="7E469EBE" w14:textId="6A9DC0C1" w:rsidR="00481E77" w:rsidRPr="004768C9" w:rsidRDefault="00481E77" w:rsidP="004768C9">
      <w:pPr>
        <w:pStyle w:val="NormalWeb"/>
        <w:spacing w:before="75" w:beforeAutospacing="0" w:after="240" w:afterAutospacing="0" w:line="276" w:lineRule="auto"/>
        <w:rPr>
          <w:rFonts w:asciiTheme="minorHAnsi" w:hAnsiTheme="minorHAnsi" w:cstheme="minorHAnsi"/>
        </w:rPr>
      </w:pPr>
      <w:r w:rsidRPr="004768C9">
        <w:rPr>
          <w:rFonts w:asciiTheme="minorHAnsi" w:hAnsiTheme="minorHAnsi" w:cstheme="minorHAnsi"/>
        </w:rPr>
        <w:t xml:space="preserve">In conclusion, we have used a set of novel </w:t>
      </w:r>
      <w:proofErr w:type="spellStart"/>
      <w:r w:rsidRPr="004768C9">
        <w:rPr>
          <w:rFonts w:asciiTheme="minorHAnsi" w:hAnsiTheme="minorHAnsi" w:cstheme="minorHAnsi"/>
        </w:rPr>
        <w:t>torsionomers</w:t>
      </w:r>
      <w:proofErr w:type="spellEnd"/>
      <w:r w:rsidRPr="004768C9">
        <w:rPr>
          <w:rFonts w:asciiTheme="minorHAnsi" w:hAnsiTheme="minorHAnsi" w:cstheme="minorHAnsi"/>
        </w:rPr>
        <w:t xml:space="preserve"> to examine the contrasting requirements for exciton and hole stabilization in π‐stacked assemblies. Exciton stabilization requires a perfect sandwich‐like arrangement, as evidenced by the presence of strong </w:t>
      </w:r>
      <w:proofErr w:type="spellStart"/>
      <w:r w:rsidRPr="004768C9">
        <w:rPr>
          <w:rFonts w:asciiTheme="minorHAnsi" w:hAnsiTheme="minorHAnsi" w:cstheme="minorHAnsi"/>
        </w:rPr>
        <w:t>excimeric</w:t>
      </w:r>
      <w:proofErr w:type="spellEnd"/>
      <w:r w:rsidRPr="004768C9">
        <w:rPr>
          <w:rFonts w:asciiTheme="minorHAnsi" w:hAnsiTheme="minorHAnsi" w:cstheme="minorHAnsi"/>
        </w:rPr>
        <w:t>‐like emission only in </w:t>
      </w:r>
      <w:r w:rsidRPr="004768C9">
        <w:rPr>
          <w:rFonts w:asciiTheme="minorHAnsi" w:hAnsiTheme="minorHAnsi" w:cstheme="minorHAnsi"/>
          <w:sz w:val="18"/>
          <w:szCs w:val="18"/>
          <w:vertAlign w:val="superscript"/>
        </w:rPr>
        <w:t>C</w:t>
      </w:r>
      <w:r w:rsidRPr="004768C9">
        <w:rPr>
          <w:rFonts w:asciiTheme="minorHAnsi" w:hAnsiTheme="minorHAnsi" w:cstheme="minorHAnsi"/>
          <w:b/>
          <w:bCs/>
        </w:rPr>
        <w:t>F</w:t>
      </w:r>
      <w:r w:rsidRPr="004768C9">
        <w:rPr>
          <w:rFonts w:asciiTheme="minorHAnsi" w:hAnsiTheme="minorHAnsi" w:cstheme="minorHAnsi"/>
        </w:rPr>
        <w:t>2 and </w:t>
      </w:r>
      <w:r w:rsidRPr="004768C9">
        <w:rPr>
          <w:rFonts w:asciiTheme="minorHAnsi" w:hAnsiTheme="minorHAnsi" w:cstheme="minorHAnsi"/>
          <w:sz w:val="18"/>
          <w:szCs w:val="18"/>
          <w:vertAlign w:val="superscript"/>
        </w:rPr>
        <w:t>Me</w:t>
      </w:r>
      <w:r w:rsidRPr="004768C9">
        <w:rPr>
          <w:rFonts w:asciiTheme="minorHAnsi" w:hAnsiTheme="minorHAnsi" w:cstheme="minorHAnsi"/>
          <w:b/>
          <w:bCs/>
        </w:rPr>
        <w:t>F</w:t>
      </w:r>
      <w:r w:rsidRPr="004768C9">
        <w:rPr>
          <w:rFonts w:asciiTheme="minorHAnsi" w:hAnsiTheme="minorHAnsi" w:cstheme="minorHAnsi"/>
        </w:rPr>
        <w:t xml:space="preserve">2. In contrast, cationic charge can be delocalized even for structures where the path to </w:t>
      </w:r>
      <w:proofErr w:type="spellStart"/>
      <w:r w:rsidRPr="004768C9">
        <w:rPr>
          <w:rFonts w:asciiTheme="minorHAnsi" w:hAnsiTheme="minorHAnsi" w:cstheme="minorHAnsi"/>
        </w:rPr>
        <w:t>cofaciality</w:t>
      </w:r>
      <w:proofErr w:type="spellEnd"/>
      <w:r w:rsidRPr="004768C9">
        <w:rPr>
          <w:rFonts w:asciiTheme="minorHAnsi" w:hAnsiTheme="minorHAnsi" w:cstheme="minorHAnsi"/>
        </w:rPr>
        <w:t xml:space="preserve"> is sterically hindered, that is, </w:t>
      </w:r>
      <w:r w:rsidRPr="004768C9">
        <w:rPr>
          <w:rFonts w:asciiTheme="minorHAnsi" w:hAnsiTheme="minorHAnsi" w:cstheme="minorHAnsi"/>
          <w:i/>
          <w:iCs/>
          <w:sz w:val="18"/>
          <w:szCs w:val="18"/>
          <w:vertAlign w:val="superscript"/>
        </w:rPr>
        <w:t>t</w:t>
      </w:r>
      <w:r w:rsidRPr="004768C9">
        <w:rPr>
          <w:rFonts w:asciiTheme="minorHAnsi" w:hAnsiTheme="minorHAnsi" w:cstheme="minorHAnsi"/>
          <w:sz w:val="18"/>
          <w:szCs w:val="18"/>
          <w:vertAlign w:val="superscript"/>
        </w:rPr>
        <w:t>Bu</w:t>
      </w:r>
      <w:r w:rsidRPr="004768C9">
        <w:rPr>
          <w:rFonts w:asciiTheme="minorHAnsi" w:hAnsiTheme="minorHAnsi" w:cstheme="minorHAnsi"/>
          <w:b/>
          <w:bCs/>
        </w:rPr>
        <w:t>F</w:t>
      </w:r>
      <w:r w:rsidRPr="004768C9">
        <w:rPr>
          <w:rFonts w:asciiTheme="minorHAnsi" w:hAnsiTheme="minorHAnsi" w:cstheme="minorHAnsi"/>
        </w:rPr>
        <w:t xml:space="preserve">2, as judged by the </w:t>
      </w:r>
      <w:proofErr w:type="gramStart"/>
      <w:r w:rsidRPr="004768C9">
        <w:rPr>
          <w:rFonts w:asciiTheme="minorHAnsi" w:hAnsiTheme="minorHAnsi" w:cstheme="minorHAnsi"/>
        </w:rPr>
        <w:t>160 mV</w:t>
      </w:r>
      <w:proofErr w:type="gramEnd"/>
      <w:r w:rsidRPr="004768C9">
        <w:rPr>
          <w:rFonts w:asciiTheme="minorHAnsi" w:hAnsiTheme="minorHAnsi" w:cstheme="minorHAnsi"/>
        </w:rPr>
        <w:t xml:space="preserve"> hole stabilization and the presence of a near‐IR transition in its cation radical spectrum. These findings underscore important design principles for next generation optoelectronic materials.</w:t>
      </w:r>
    </w:p>
    <w:p w14:paraId="7644D45C" w14:textId="77777777" w:rsidR="00481E77" w:rsidRPr="004768C9" w:rsidRDefault="00481E77" w:rsidP="00295DF3">
      <w:pPr>
        <w:pStyle w:val="Heading1"/>
      </w:pPr>
      <w:r w:rsidRPr="004768C9">
        <w:t>Acknowledgements</w:t>
      </w:r>
    </w:p>
    <w:p w14:paraId="4993B8A5" w14:textId="77777777" w:rsidR="00481E77" w:rsidRPr="004768C9" w:rsidRDefault="00481E77" w:rsidP="004768C9">
      <w:pPr>
        <w:pStyle w:val="NormalWeb"/>
        <w:spacing w:before="75" w:beforeAutospacing="0" w:after="240" w:afterAutospacing="0" w:line="276" w:lineRule="auto"/>
        <w:rPr>
          <w:rFonts w:asciiTheme="minorHAnsi" w:hAnsiTheme="minorHAnsi" w:cstheme="minorHAnsi"/>
        </w:rPr>
      </w:pPr>
      <w:r w:rsidRPr="004768C9">
        <w:rPr>
          <w:rFonts w:asciiTheme="minorHAnsi" w:hAnsiTheme="minorHAnsi" w:cstheme="minorHAnsi"/>
        </w:rPr>
        <w:t>We thank the NSF (CHE‐1508677) and NIH (R01‐HL112639‐04) for financial support. The calculations were performed on the high‐performance computing cluster Père at Marquette University and XSEDE.</w:t>
      </w:r>
    </w:p>
    <w:p w14:paraId="431F6915" w14:textId="77777777" w:rsidR="00481E77" w:rsidRPr="004768C9" w:rsidRDefault="00481E77" w:rsidP="00295DF3">
      <w:pPr>
        <w:pStyle w:val="Heading1"/>
      </w:pPr>
      <w:r w:rsidRPr="004768C9">
        <w:t>Conflict of interest</w:t>
      </w:r>
    </w:p>
    <w:p w14:paraId="5C9FA21D" w14:textId="3781794D" w:rsidR="00617C12" w:rsidRDefault="00481E77" w:rsidP="004768C9">
      <w:pPr>
        <w:pStyle w:val="NormalWeb"/>
        <w:spacing w:before="0" w:beforeAutospacing="0" w:after="240" w:afterAutospacing="0" w:line="276" w:lineRule="auto"/>
        <w:rPr>
          <w:rFonts w:asciiTheme="minorHAnsi" w:hAnsiTheme="minorHAnsi" w:cstheme="minorHAnsi"/>
        </w:rPr>
      </w:pPr>
      <w:r w:rsidRPr="004768C9">
        <w:rPr>
          <w:rFonts w:asciiTheme="minorHAnsi" w:hAnsiTheme="minorHAnsi" w:cstheme="minorHAnsi"/>
        </w:rPr>
        <w:t>The authors declare no conflict of interest.</w:t>
      </w:r>
    </w:p>
    <w:p w14:paraId="7D1760AD" w14:textId="18E9E791" w:rsidR="00295DF3" w:rsidRDefault="00C34D5D" w:rsidP="004768C9">
      <w:pPr>
        <w:pStyle w:val="NormalWeb"/>
        <w:spacing w:before="0" w:beforeAutospacing="0" w:after="240" w:afterAutospacing="0" w:line="276" w:lineRule="auto"/>
        <w:rPr>
          <w:rFonts w:asciiTheme="minorHAnsi" w:hAnsiTheme="minorHAnsi" w:cstheme="minorHAnsi"/>
        </w:rPr>
      </w:pPr>
      <w:r>
        <w:rPr>
          <w:rFonts w:asciiTheme="minorHAnsi" w:hAnsiTheme="minorHAnsi" w:cstheme="minorHAnsi"/>
        </w:rPr>
        <w:t>References</w:t>
      </w:r>
    </w:p>
    <w:p w14:paraId="2EF5286E" w14:textId="05CDCD1D" w:rsidR="00C34D5D" w:rsidRPr="00C34D5D" w:rsidRDefault="00C34D5D" w:rsidP="00985336">
      <w:pPr>
        <w:pStyle w:val="NoSpacing"/>
        <w:ind w:left="720" w:hanging="720"/>
      </w:pPr>
      <w:r w:rsidRPr="00C34D5D">
        <w:t>1</w:t>
      </w:r>
      <w:r w:rsidR="00985336">
        <w:t xml:space="preserve"> </w:t>
      </w:r>
      <w:r w:rsidRPr="00C34D5D">
        <w:t xml:space="preserve">G. I. </w:t>
      </w:r>
      <w:proofErr w:type="spellStart"/>
      <w:r w:rsidRPr="00C34D5D">
        <w:t>Livshits</w:t>
      </w:r>
      <w:proofErr w:type="spellEnd"/>
      <w:r w:rsidRPr="00C34D5D">
        <w:t xml:space="preserve">, A. Stern, D. </w:t>
      </w:r>
      <w:proofErr w:type="spellStart"/>
      <w:r w:rsidRPr="00C34D5D">
        <w:t>Rotem</w:t>
      </w:r>
      <w:proofErr w:type="spellEnd"/>
      <w:r w:rsidRPr="00C34D5D">
        <w:t xml:space="preserve">, N. </w:t>
      </w:r>
      <w:proofErr w:type="spellStart"/>
      <w:r w:rsidRPr="00C34D5D">
        <w:t>Borovok</w:t>
      </w:r>
      <w:proofErr w:type="spellEnd"/>
      <w:r w:rsidRPr="00C34D5D">
        <w:t xml:space="preserve">, G. </w:t>
      </w:r>
      <w:proofErr w:type="spellStart"/>
      <w:r w:rsidRPr="00C34D5D">
        <w:t>Eidelshtein</w:t>
      </w:r>
      <w:proofErr w:type="spellEnd"/>
      <w:r w:rsidRPr="00C34D5D">
        <w:t xml:space="preserve">, A. </w:t>
      </w:r>
      <w:proofErr w:type="spellStart"/>
      <w:r w:rsidRPr="00C34D5D">
        <w:t>Migliore</w:t>
      </w:r>
      <w:proofErr w:type="spellEnd"/>
      <w:r w:rsidRPr="00C34D5D">
        <w:t xml:space="preserve">, E. </w:t>
      </w:r>
      <w:proofErr w:type="spellStart"/>
      <w:r w:rsidRPr="00C34D5D">
        <w:t>Penzo</w:t>
      </w:r>
      <w:proofErr w:type="spellEnd"/>
      <w:r w:rsidRPr="00C34D5D">
        <w:t xml:space="preserve">, S. J. Wind, R. Di Felice, S. S. </w:t>
      </w:r>
      <w:proofErr w:type="spellStart"/>
      <w:r w:rsidRPr="00C34D5D">
        <w:t>Skourtis</w:t>
      </w:r>
      <w:proofErr w:type="spellEnd"/>
      <w:r w:rsidRPr="00C34D5D">
        <w:t>, </w:t>
      </w:r>
      <w:r w:rsidRPr="00C34D5D">
        <w:rPr>
          <w:i/>
          <w:iCs/>
        </w:rPr>
        <w:t xml:space="preserve">Nat. </w:t>
      </w:r>
      <w:proofErr w:type="spellStart"/>
      <w:r w:rsidRPr="00C34D5D">
        <w:rPr>
          <w:i/>
          <w:iCs/>
        </w:rPr>
        <w:t>Nanotechnol</w:t>
      </w:r>
      <w:proofErr w:type="spellEnd"/>
      <w:r w:rsidRPr="00C34D5D">
        <w:rPr>
          <w:i/>
          <w:iCs/>
        </w:rPr>
        <w:t>.</w:t>
      </w:r>
      <w:r w:rsidRPr="00C34D5D">
        <w:t> 2014, </w:t>
      </w:r>
      <w:r w:rsidRPr="00C34D5D">
        <w:rPr>
          <w:b/>
          <w:bCs/>
        </w:rPr>
        <w:t>9</w:t>
      </w:r>
      <w:r w:rsidRPr="00C34D5D">
        <w:t>, 1040.</w:t>
      </w:r>
    </w:p>
    <w:p w14:paraId="005F8239" w14:textId="4F33804C" w:rsidR="00C34D5D" w:rsidRPr="00C34D5D" w:rsidRDefault="00C34D5D" w:rsidP="00985336">
      <w:pPr>
        <w:pStyle w:val="NoSpacing"/>
        <w:ind w:left="720" w:hanging="720"/>
      </w:pPr>
      <w:r w:rsidRPr="00C34D5D">
        <w:t>2</w:t>
      </w:r>
      <w:r w:rsidR="00985336">
        <w:t xml:space="preserve"> </w:t>
      </w:r>
      <w:r w:rsidRPr="00C34D5D">
        <w:t xml:space="preserve">Z. Zheng, N. R. </w:t>
      </w:r>
      <w:proofErr w:type="spellStart"/>
      <w:r w:rsidRPr="00C34D5D">
        <w:t>Tummala</w:t>
      </w:r>
      <w:proofErr w:type="spellEnd"/>
      <w:r w:rsidRPr="00C34D5D">
        <w:t xml:space="preserve">, Y.-T. Fu, V. </w:t>
      </w:r>
      <w:proofErr w:type="spellStart"/>
      <w:r w:rsidRPr="00C34D5D">
        <w:t>Coropceanu</w:t>
      </w:r>
      <w:proofErr w:type="spellEnd"/>
      <w:r w:rsidRPr="00C34D5D">
        <w:t xml:space="preserve">, J.-L. </w:t>
      </w:r>
      <w:proofErr w:type="spellStart"/>
      <w:r w:rsidRPr="00C34D5D">
        <w:t>Brédas</w:t>
      </w:r>
      <w:proofErr w:type="spellEnd"/>
      <w:r w:rsidRPr="00C34D5D">
        <w:t>, </w:t>
      </w:r>
      <w:r w:rsidRPr="00C34D5D">
        <w:rPr>
          <w:i/>
          <w:iCs/>
        </w:rPr>
        <w:t>ACS Appl. Mater. Interfaces</w:t>
      </w:r>
      <w:r w:rsidRPr="00C34D5D">
        <w:t> 2017, </w:t>
      </w:r>
      <w:r w:rsidRPr="00C34D5D">
        <w:rPr>
          <w:b/>
          <w:bCs/>
        </w:rPr>
        <w:t>9</w:t>
      </w:r>
      <w:r w:rsidRPr="00C34D5D">
        <w:t>, 18095– 18102.</w:t>
      </w:r>
    </w:p>
    <w:p w14:paraId="657AAECC" w14:textId="43427B6C" w:rsidR="00C34D5D" w:rsidRPr="00C34D5D" w:rsidRDefault="00C34D5D" w:rsidP="00985336">
      <w:pPr>
        <w:pStyle w:val="NoSpacing"/>
        <w:ind w:left="720" w:hanging="720"/>
      </w:pPr>
      <w:r w:rsidRPr="00C34D5D">
        <w:t>3</w:t>
      </w:r>
      <w:r w:rsidR="00985336">
        <w:t xml:space="preserve"> </w:t>
      </w:r>
      <w:r w:rsidRPr="00C34D5D">
        <w:t>C. Kaufmann, W. Kim, A. Nowak-</w:t>
      </w:r>
      <w:proofErr w:type="spellStart"/>
      <w:r w:rsidRPr="00C34D5D">
        <w:t>Król</w:t>
      </w:r>
      <w:proofErr w:type="spellEnd"/>
      <w:r w:rsidRPr="00C34D5D">
        <w:t xml:space="preserve">, Y. Hong, D. Kim, F. </w:t>
      </w:r>
      <w:proofErr w:type="spellStart"/>
      <w:r w:rsidRPr="00C34D5D">
        <w:t>Würthner</w:t>
      </w:r>
      <w:proofErr w:type="spellEnd"/>
      <w:r w:rsidRPr="00C34D5D">
        <w:t>, </w:t>
      </w:r>
      <w:r w:rsidRPr="00C34D5D">
        <w:rPr>
          <w:i/>
          <w:iCs/>
        </w:rPr>
        <w:t>J. Am. Chem. Soc.</w:t>
      </w:r>
      <w:r w:rsidRPr="00C34D5D">
        <w:t> 2018, </w:t>
      </w:r>
      <w:r w:rsidRPr="00C34D5D">
        <w:rPr>
          <w:b/>
          <w:bCs/>
        </w:rPr>
        <w:t>140</w:t>
      </w:r>
      <w:r w:rsidRPr="00C34D5D">
        <w:t>, 4253– 4258.</w:t>
      </w:r>
    </w:p>
    <w:p w14:paraId="000E9D05" w14:textId="6885A650" w:rsidR="00C34D5D" w:rsidRPr="00C34D5D" w:rsidRDefault="00C34D5D" w:rsidP="00985336">
      <w:pPr>
        <w:pStyle w:val="NoSpacing"/>
        <w:ind w:left="720" w:hanging="720"/>
      </w:pPr>
      <w:r w:rsidRPr="00C34D5D">
        <w:t>4</w:t>
      </w:r>
      <w:r w:rsidR="00985336">
        <w:t xml:space="preserve"> </w:t>
      </w:r>
      <w:r w:rsidRPr="00C34D5D">
        <w:t xml:space="preserve">P. </w:t>
      </w:r>
      <w:proofErr w:type="spellStart"/>
      <w:r w:rsidRPr="00C34D5D">
        <w:t>Ottiger</w:t>
      </w:r>
      <w:proofErr w:type="spellEnd"/>
      <w:r w:rsidRPr="00C34D5D">
        <w:t xml:space="preserve">, H. </w:t>
      </w:r>
      <w:proofErr w:type="spellStart"/>
      <w:r w:rsidRPr="00C34D5D">
        <w:t>Köppel</w:t>
      </w:r>
      <w:proofErr w:type="spellEnd"/>
      <w:r w:rsidRPr="00C34D5D">
        <w:t>, S. Leutwyler, </w:t>
      </w:r>
      <w:r w:rsidRPr="00C34D5D">
        <w:rPr>
          <w:i/>
          <w:iCs/>
        </w:rPr>
        <w:t>Chem. Sci.</w:t>
      </w:r>
      <w:r w:rsidRPr="00C34D5D">
        <w:t> 2015, </w:t>
      </w:r>
      <w:r w:rsidRPr="00C34D5D">
        <w:rPr>
          <w:b/>
          <w:bCs/>
        </w:rPr>
        <w:t>6</w:t>
      </w:r>
      <w:r w:rsidRPr="00C34D5D">
        <w:t>, 6059– 6068.</w:t>
      </w:r>
    </w:p>
    <w:p w14:paraId="6532E925" w14:textId="6A4A4139" w:rsidR="00C34D5D" w:rsidRPr="00C34D5D" w:rsidRDefault="00C34D5D" w:rsidP="00985336">
      <w:pPr>
        <w:pStyle w:val="NoSpacing"/>
        <w:ind w:left="720" w:hanging="720"/>
      </w:pPr>
      <w:r w:rsidRPr="00C34D5D">
        <w:t>5</w:t>
      </w:r>
      <w:r w:rsidR="00985336">
        <w:t xml:space="preserve"> </w:t>
      </w:r>
      <w:r w:rsidRPr="00C34D5D">
        <w:t xml:space="preserve">M. Miyazaki, M. </w:t>
      </w:r>
      <w:proofErr w:type="spellStart"/>
      <w:r w:rsidRPr="00C34D5D">
        <w:t>Fujii</w:t>
      </w:r>
      <w:proofErr w:type="spellEnd"/>
      <w:r w:rsidRPr="00C34D5D">
        <w:t>, </w:t>
      </w:r>
      <w:r w:rsidRPr="00C34D5D">
        <w:rPr>
          <w:i/>
          <w:iCs/>
        </w:rPr>
        <w:t>Phys. Chem. Chem. Phys.</w:t>
      </w:r>
      <w:r w:rsidRPr="00C34D5D">
        <w:t> 2015, </w:t>
      </w:r>
      <w:r w:rsidRPr="00C34D5D">
        <w:rPr>
          <w:b/>
          <w:bCs/>
        </w:rPr>
        <w:t>17</w:t>
      </w:r>
      <w:r w:rsidRPr="00C34D5D">
        <w:t>, 25989– 25997.</w:t>
      </w:r>
    </w:p>
    <w:p w14:paraId="0EADF33A" w14:textId="3DB512B5" w:rsidR="00C34D5D" w:rsidRPr="00C34D5D" w:rsidRDefault="00C34D5D" w:rsidP="00985336">
      <w:pPr>
        <w:pStyle w:val="NoSpacing"/>
        <w:ind w:left="720" w:hanging="720"/>
      </w:pPr>
      <w:r w:rsidRPr="00C34D5D">
        <w:t>6</w:t>
      </w:r>
      <w:r w:rsidR="00985336">
        <w:t xml:space="preserve"> </w:t>
      </w:r>
      <w:r w:rsidRPr="00C34D5D">
        <w:t xml:space="preserve">R. </w:t>
      </w:r>
      <w:proofErr w:type="spellStart"/>
      <w:r w:rsidRPr="00C34D5D">
        <w:t>Kusaka</w:t>
      </w:r>
      <w:proofErr w:type="spellEnd"/>
      <w:r w:rsidRPr="00C34D5D">
        <w:t xml:space="preserve">, Y. </w:t>
      </w:r>
      <w:proofErr w:type="spellStart"/>
      <w:r w:rsidRPr="00C34D5D">
        <w:t>Inokuchi</w:t>
      </w:r>
      <w:proofErr w:type="spellEnd"/>
      <w:r w:rsidRPr="00C34D5D">
        <w:t>, T. Ebata, </w:t>
      </w:r>
      <w:r w:rsidRPr="00C34D5D">
        <w:rPr>
          <w:i/>
          <w:iCs/>
        </w:rPr>
        <w:t>J. Chem. Phys.</w:t>
      </w:r>
      <w:r w:rsidRPr="00C34D5D">
        <w:t> 2012, </w:t>
      </w:r>
      <w:r w:rsidRPr="00C34D5D">
        <w:rPr>
          <w:b/>
          <w:bCs/>
        </w:rPr>
        <w:t>136</w:t>
      </w:r>
      <w:r w:rsidRPr="00C34D5D">
        <w:t>, 044304.</w:t>
      </w:r>
    </w:p>
    <w:p w14:paraId="5FC25FA2" w14:textId="669B6BEA" w:rsidR="00C34D5D" w:rsidRPr="00C34D5D" w:rsidRDefault="00C34D5D" w:rsidP="00985336">
      <w:pPr>
        <w:pStyle w:val="NoSpacing"/>
        <w:ind w:left="720" w:hanging="720"/>
      </w:pPr>
      <w:r w:rsidRPr="00C34D5D">
        <w:t>7</w:t>
      </w:r>
      <w:r w:rsidR="00985336">
        <w:t xml:space="preserve"> </w:t>
      </w:r>
      <w:r w:rsidRPr="00C34D5D">
        <w:t xml:space="preserve">P. A. </w:t>
      </w:r>
      <w:proofErr w:type="spellStart"/>
      <w:r w:rsidRPr="00C34D5D">
        <w:t>Pieniazek</w:t>
      </w:r>
      <w:proofErr w:type="spellEnd"/>
      <w:r w:rsidRPr="00C34D5D">
        <w:t xml:space="preserve">, S. E. </w:t>
      </w:r>
      <w:proofErr w:type="spellStart"/>
      <w:r w:rsidRPr="00C34D5D">
        <w:t>Bradforth</w:t>
      </w:r>
      <w:proofErr w:type="spellEnd"/>
      <w:r w:rsidRPr="00C34D5D">
        <w:t xml:space="preserve">, A. I. </w:t>
      </w:r>
      <w:proofErr w:type="spellStart"/>
      <w:r w:rsidRPr="00C34D5D">
        <w:t>Krylov</w:t>
      </w:r>
      <w:proofErr w:type="spellEnd"/>
      <w:r w:rsidRPr="00C34D5D">
        <w:t>, </w:t>
      </w:r>
      <w:r w:rsidRPr="00C34D5D">
        <w:rPr>
          <w:i/>
          <w:iCs/>
        </w:rPr>
        <w:t>J. Chem. Phys.</w:t>
      </w:r>
      <w:r w:rsidRPr="00C34D5D">
        <w:t> 2008, </w:t>
      </w:r>
      <w:r w:rsidRPr="00C34D5D">
        <w:rPr>
          <w:b/>
          <w:bCs/>
        </w:rPr>
        <w:t>129</w:t>
      </w:r>
      <w:r w:rsidRPr="00C34D5D">
        <w:t>, 074104.</w:t>
      </w:r>
    </w:p>
    <w:p w14:paraId="0BBEC7FE" w14:textId="7387D8C1" w:rsidR="00C34D5D" w:rsidRPr="00C34D5D" w:rsidRDefault="00C34D5D" w:rsidP="00985336">
      <w:pPr>
        <w:pStyle w:val="NoSpacing"/>
        <w:ind w:left="720" w:hanging="720"/>
      </w:pPr>
      <w:r w:rsidRPr="00C34D5D">
        <w:t>8</w:t>
      </w:r>
      <w:r w:rsidR="00985336">
        <w:t xml:space="preserve"> </w:t>
      </w:r>
      <w:r w:rsidRPr="00C34D5D">
        <w:t xml:space="preserve">E. S. S. </w:t>
      </w:r>
      <w:proofErr w:type="spellStart"/>
      <w:r w:rsidRPr="00C34D5D">
        <w:t>Iyer</w:t>
      </w:r>
      <w:proofErr w:type="spellEnd"/>
      <w:r w:rsidRPr="00C34D5D">
        <w:t xml:space="preserve">, A. </w:t>
      </w:r>
      <w:proofErr w:type="spellStart"/>
      <w:r w:rsidRPr="00C34D5D">
        <w:t>Sadybekov</w:t>
      </w:r>
      <w:proofErr w:type="spellEnd"/>
      <w:r w:rsidRPr="00C34D5D">
        <w:t xml:space="preserve">, O. </w:t>
      </w:r>
      <w:proofErr w:type="spellStart"/>
      <w:r w:rsidRPr="00C34D5D">
        <w:t>Lioubashevski</w:t>
      </w:r>
      <w:proofErr w:type="spellEnd"/>
      <w:r w:rsidRPr="00C34D5D">
        <w:t xml:space="preserve">, A. I. </w:t>
      </w:r>
      <w:proofErr w:type="spellStart"/>
      <w:r w:rsidRPr="00C34D5D">
        <w:t>Krylov</w:t>
      </w:r>
      <w:proofErr w:type="spellEnd"/>
      <w:r w:rsidRPr="00C34D5D">
        <w:t xml:space="preserve">, S. </w:t>
      </w:r>
      <w:proofErr w:type="spellStart"/>
      <w:r w:rsidRPr="00C34D5D">
        <w:t>Ruhman</w:t>
      </w:r>
      <w:proofErr w:type="spellEnd"/>
      <w:r w:rsidRPr="00C34D5D">
        <w:t>, </w:t>
      </w:r>
      <w:r w:rsidRPr="00C34D5D">
        <w:rPr>
          <w:i/>
          <w:iCs/>
        </w:rPr>
        <w:t>J. Phys. Chem. A</w:t>
      </w:r>
      <w:r w:rsidRPr="00C34D5D">
        <w:t> 2017, </w:t>
      </w:r>
      <w:r w:rsidRPr="00C34D5D">
        <w:rPr>
          <w:b/>
          <w:bCs/>
        </w:rPr>
        <w:t>121</w:t>
      </w:r>
      <w:r w:rsidRPr="00C34D5D">
        <w:t>, 1962– 1975.</w:t>
      </w:r>
    </w:p>
    <w:p w14:paraId="1155A102" w14:textId="3D9361C5" w:rsidR="00C34D5D" w:rsidRPr="00C34D5D" w:rsidRDefault="00C34D5D" w:rsidP="00985336">
      <w:pPr>
        <w:pStyle w:val="NoSpacing"/>
        <w:ind w:left="720" w:hanging="720"/>
      </w:pPr>
      <w:r w:rsidRPr="00C34D5D">
        <w:t>9</w:t>
      </w:r>
      <w:r w:rsidR="00985336">
        <w:t xml:space="preserve"> </w:t>
      </w:r>
      <w:r w:rsidRPr="00C34D5D">
        <w:t xml:space="preserve">J. </w:t>
      </w:r>
      <w:proofErr w:type="spellStart"/>
      <w:r w:rsidRPr="00C34D5D">
        <w:t>Vura</w:t>
      </w:r>
      <w:proofErr w:type="spellEnd"/>
      <w:r w:rsidRPr="00C34D5D">
        <w:t xml:space="preserve">-Weis, S. H. </w:t>
      </w:r>
      <w:proofErr w:type="spellStart"/>
      <w:r w:rsidRPr="00C34D5D">
        <w:t>Abdelwahed</w:t>
      </w:r>
      <w:proofErr w:type="spellEnd"/>
      <w:r w:rsidRPr="00C34D5D">
        <w:t xml:space="preserve">, R. Shukla, R. Rathore, M. A. Ratner, M. R. </w:t>
      </w:r>
      <w:proofErr w:type="spellStart"/>
      <w:r w:rsidRPr="00C34D5D">
        <w:t>Wasielewski</w:t>
      </w:r>
      <w:proofErr w:type="spellEnd"/>
      <w:r w:rsidRPr="00C34D5D">
        <w:t>, </w:t>
      </w:r>
      <w:r w:rsidRPr="00C34D5D">
        <w:rPr>
          <w:i/>
          <w:iCs/>
        </w:rPr>
        <w:t>Science</w:t>
      </w:r>
      <w:r w:rsidRPr="00C34D5D">
        <w:t> 2010, </w:t>
      </w:r>
      <w:r w:rsidRPr="00C34D5D">
        <w:rPr>
          <w:b/>
          <w:bCs/>
        </w:rPr>
        <w:t>328</w:t>
      </w:r>
      <w:r w:rsidRPr="00C34D5D">
        <w:t>, 1547– 1550.</w:t>
      </w:r>
    </w:p>
    <w:p w14:paraId="53C898D1" w14:textId="5A1A8D92" w:rsidR="00C34D5D" w:rsidRPr="00C34D5D" w:rsidRDefault="00C34D5D" w:rsidP="00985336">
      <w:pPr>
        <w:pStyle w:val="NoSpacing"/>
        <w:ind w:left="720" w:hanging="720"/>
      </w:pPr>
      <w:r w:rsidRPr="00C34D5D">
        <w:t>10</w:t>
      </w:r>
      <w:r w:rsidR="00985336">
        <w:t xml:space="preserve"> </w:t>
      </w:r>
      <w:r w:rsidRPr="00C34D5D">
        <w:t xml:space="preserve">N. Reilly, M. Ivanov, B. </w:t>
      </w:r>
      <w:proofErr w:type="spellStart"/>
      <w:r w:rsidRPr="00C34D5D">
        <w:t>Uhler</w:t>
      </w:r>
      <w:proofErr w:type="spellEnd"/>
      <w:r w:rsidRPr="00C34D5D">
        <w:t xml:space="preserve">, M. </w:t>
      </w:r>
      <w:proofErr w:type="spellStart"/>
      <w:r w:rsidRPr="00C34D5D">
        <w:t>Talipov</w:t>
      </w:r>
      <w:proofErr w:type="spellEnd"/>
      <w:r w:rsidRPr="00C34D5D">
        <w:t>, R. Rathore, S. A. Reid, </w:t>
      </w:r>
      <w:r w:rsidRPr="00C34D5D">
        <w:rPr>
          <w:i/>
          <w:iCs/>
        </w:rPr>
        <w:t>J. Phys. Chem. Lett.</w:t>
      </w:r>
      <w:r w:rsidRPr="00C34D5D">
        <w:t> 2016, </w:t>
      </w:r>
      <w:r w:rsidRPr="00C34D5D">
        <w:rPr>
          <w:b/>
          <w:bCs/>
        </w:rPr>
        <w:t>7</w:t>
      </w:r>
      <w:r w:rsidRPr="00C34D5D">
        <w:t>, 3042– 3045.</w:t>
      </w:r>
    </w:p>
    <w:p w14:paraId="5046B3C6" w14:textId="47B5ED0F" w:rsidR="00C34D5D" w:rsidRPr="00C34D5D" w:rsidRDefault="00C34D5D" w:rsidP="00985336">
      <w:pPr>
        <w:pStyle w:val="NoSpacing"/>
        <w:ind w:left="720" w:hanging="720"/>
      </w:pPr>
      <w:r w:rsidRPr="00C34D5D">
        <w:t>11</w:t>
      </w:r>
      <w:r w:rsidR="00985336">
        <w:t xml:space="preserve"> </w:t>
      </w:r>
      <w:r w:rsidRPr="00C34D5D">
        <w:t xml:space="preserve">B. </w:t>
      </w:r>
      <w:proofErr w:type="spellStart"/>
      <w:r w:rsidRPr="00C34D5D">
        <w:t>Uhler</w:t>
      </w:r>
      <w:proofErr w:type="spellEnd"/>
      <w:r w:rsidRPr="00C34D5D">
        <w:t xml:space="preserve">, M. V. Ivanov, D. </w:t>
      </w:r>
      <w:proofErr w:type="spellStart"/>
      <w:r w:rsidRPr="00C34D5D">
        <w:t>Kokkin</w:t>
      </w:r>
      <w:proofErr w:type="spellEnd"/>
      <w:r w:rsidRPr="00C34D5D">
        <w:t>, N. Reilly, R. Rathore, S. A. Reid, </w:t>
      </w:r>
      <w:r w:rsidRPr="00C34D5D">
        <w:rPr>
          <w:i/>
          <w:iCs/>
        </w:rPr>
        <w:t>J. Phys. Chem. C</w:t>
      </w:r>
      <w:r w:rsidRPr="00C34D5D">
        <w:t> 2017, </w:t>
      </w:r>
      <w:r w:rsidRPr="00C34D5D">
        <w:rPr>
          <w:b/>
          <w:bCs/>
        </w:rPr>
        <w:t>121</w:t>
      </w:r>
      <w:r w:rsidRPr="00C34D5D">
        <w:t>, 15580– 15588.</w:t>
      </w:r>
    </w:p>
    <w:p w14:paraId="0F467BC7" w14:textId="29543C2E" w:rsidR="00C34D5D" w:rsidRPr="00C34D5D" w:rsidRDefault="00C34D5D" w:rsidP="00985336">
      <w:pPr>
        <w:pStyle w:val="NoSpacing"/>
        <w:ind w:left="720" w:hanging="720"/>
      </w:pPr>
      <w:r w:rsidRPr="00C34D5D">
        <w:t>12</w:t>
      </w:r>
      <w:r w:rsidR="00985336">
        <w:t xml:space="preserve"> </w:t>
      </w:r>
      <w:r w:rsidRPr="00C34D5D">
        <w:t xml:space="preserve">D. </w:t>
      </w:r>
      <w:proofErr w:type="spellStart"/>
      <w:r w:rsidRPr="00C34D5D">
        <w:t>Kokkin</w:t>
      </w:r>
      <w:proofErr w:type="spellEnd"/>
      <w:r w:rsidRPr="00C34D5D">
        <w:t>, M. V. Ivanov, J. Loman, J.-Z. Cai, R. Rathore, S. A. Reid, </w:t>
      </w:r>
      <w:r w:rsidRPr="00C34D5D">
        <w:rPr>
          <w:i/>
          <w:iCs/>
        </w:rPr>
        <w:t>J. Phys. Chem. Lett.</w:t>
      </w:r>
      <w:r w:rsidRPr="00C34D5D">
        <w:t> 2018, </w:t>
      </w:r>
      <w:r w:rsidRPr="00C34D5D">
        <w:rPr>
          <w:b/>
          <w:bCs/>
        </w:rPr>
        <w:t>9</w:t>
      </w:r>
      <w:r w:rsidRPr="00C34D5D">
        <w:t>, 2058– 2061.</w:t>
      </w:r>
    </w:p>
    <w:p w14:paraId="15F33611" w14:textId="1F95817C" w:rsidR="00C34D5D" w:rsidRPr="00C34D5D" w:rsidRDefault="00C34D5D" w:rsidP="00985336">
      <w:pPr>
        <w:pStyle w:val="NoSpacing"/>
        <w:ind w:left="720" w:hanging="720"/>
      </w:pPr>
      <w:r w:rsidRPr="00C34D5D">
        <w:t>13</w:t>
      </w:r>
      <w:r w:rsidR="00985336">
        <w:t xml:space="preserve"> </w:t>
      </w:r>
      <w:r w:rsidRPr="00C34D5D">
        <w:t xml:space="preserve">K. Kawai, T. Kimura, H. Yoshida, A. Sugimoto, S. </w:t>
      </w:r>
      <w:proofErr w:type="spellStart"/>
      <w:r w:rsidRPr="00C34D5D">
        <w:t>Tojo</w:t>
      </w:r>
      <w:proofErr w:type="spellEnd"/>
      <w:r w:rsidRPr="00C34D5D">
        <w:t xml:space="preserve">, M. </w:t>
      </w:r>
      <w:proofErr w:type="spellStart"/>
      <w:r w:rsidRPr="00C34D5D">
        <w:t>Fujitsuka</w:t>
      </w:r>
      <w:proofErr w:type="spellEnd"/>
      <w:r w:rsidRPr="00C34D5D">
        <w:t xml:space="preserve">, T. </w:t>
      </w:r>
      <w:proofErr w:type="spellStart"/>
      <w:r w:rsidRPr="00C34D5D">
        <w:t>Majima</w:t>
      </w:r>
      <w:proofErr w:type="spellEnd"/>
      <w:r w:rsidRPr="00C34D5D">
        <w:t>, </w:t>
      </w:r>
      <w:r w:rsidRPr="00C34D5D">
        <w:rPr>
          <w:i/>
          <w:iCs/>
        </w:rPr>
        <w:t xml:space="preserve">Bull. Chem. Soc. </w:t>
      </w:r>
      <w:proofErr w:type="spellStart"/>
      <w:r w:rsidRPr="00C34D5D">
        <w:rPr>
          <w:i/>
          <w:iCs/>
        </w:rPr>
        <w:t>Jpn</w:t>
      </w:r>
      <w:proofErr w:type="spellEnd"/>
      <w:r w:rsidRPr="00C34D5D">
        <w:rPr>
          <w:i/>
          <w:iCs/>
        </w:rPr>
        <w:t>.</w:t>
      </w:r>
      <w:r w:rsidRPr="00C34D5D">
        <w:t> 2006, </w:t>
      </w:r>
      <w:r w:rsidRPr="00C34D5D">
        <w:rPr>
          <w:b/>
          <w:bCs/>
        </w:rPr>
        <w:t>79</w:t>
      </w:r>
      <w:r w:rsidRPr="00C34D5D">
        <w:t>, 312– 316.</w:t>
      </w:r>
    </w:p>
    <w:p w14:paraId="4BD6B38F" w14:textId="4595448B" w:rsidR="00C34D5D" w:rsidRPr="00C34D5D" w:rsidRDefault="00C34D5D" w:rsidP="00985336">
      <w:pPr>
        <w:pStyle w:val="NoSpacing"/>
        <w:ind w:left="720" w:hanging="720"/>
      </w:pPr>
      <w:r w:rsidRPr="00C34D5D">
        <w:t>14</w:t>
      </w:r>
      <w:r w:rsidR="00985336">
        <w:t xml:space="preserve"> </w:t>
      </w:r>
      <w:r w:rsidRPr="00C34D5D">
        <w:t xml:space="preserve">S. Samori, M. </w:t>
      </w:r>
      <w:proofErr w:type="spellStart"/>
      <w:r w:rsidRPr="00C34D5D">
        <w:t>Fujitsuka</w:t>
      </w:r>
      <w:proofErr w:type="spellEnd"/>
      <w:r w:rsidRPr="00C34D5D">
        <w:t xml:space="preserve">, T. </w:t>
      </w:r>
      <w:proofErr w:type="spellStart"/>
      <w:r w:rsidRPr="00C34D5D">
        <w:t>Majima</w:t>
      </w:r>
      <w:proofErr w:type="spellEnd"/>
      <w:r w:rsidRPr="00C34D5D">
        <w:t>, </w:t>
      </w:r>
      <w:r w:rsidRPr="00C34D5D">
        <w:rPr>
          <w:i/>
          <w:iCs/>
        </w:rPr>
        <w:t xml:space="preserve">Res. Chem. </w:t>
      </w:r>
      <w:proofErr w:type="spellStart"/>
      <w:r w:rsidRPr="00C34D5D">
        <w:rPr>
          <w:i/>
          <w:iCs/>
        </w:rPr>
        <w:t>Intermed</w:t>
      </w:r>
      <w:proofErr w:type="spellEnd"/>
      <w:r w:rsidRPr="00C34D5D">
        <w:rPr>
          <w:i/>
          <w:iCs/>
        </w:rPr>
        <w:t>.</w:t>
      </w:r>
      <w:r w:rsidRPr="00C34D5D">
        <w:t> 2013, </w:t>
      </w:r>
      <w:r w:rsidRPr="00C34D5D">
        <w:rPr>
          <w:b/>
          <w:bCs/>
        </w:rPr>
        <w:t>39</w:t>
      </w:r>
      <w:r w:rsidRPr="00C34D5D">
        <w:t>, 449– 461.</w:t>
      </w:r>
    </w:p>
    <w:p w14:paraId="27A8EFA5" w14:textId="0A7361D0" w:rsidR="00C34D5D" w:rsidRPr="00C34D5D" w:rsidRDefault="00C34D5D" w:rsidP="00985336">
      <w:pPr>
        <w:pStyle w:val="NoSpacing"/>
        <w:ind w:left="720" w:hanging="720"/>
      </w:pPr>
      <w:r w:rsidRPr="00C34D5D">
        <w:t>15</w:t>
      </w:r>
      <w:r w:rsidR="00985336">
        <w:t xml:space="preserve"> </w:t>
      </w:r>
      <w:r w:rsidRPr="00C34D5D">
        <w:t>Y. Gao, H. Liu, S. Zhang, Y. Shen, Y. Ge, B. Yang, </w:t>
      </w:r>
      <w:r w:rsidRPr="00C34D5D">
        <w:rPr>
          <w:i/>
          <w:iCs/>
        </w:rPr>
        <w:t>Phys. Chem. Chem. Phys.</w:t>
      </w:r>
      <w:r w:rsidRPr="00C34D5D">
        <w:t> 2018, </w:t>
      </w:r>
      <w:r w:rsidRPr="00C34D5D">
        <w:rPr>
          <w:b/>
          <w:bCs/>
        </w:rPr>
        <w:t>20</w:t>
      </w:r>
      <w:r w:rsidRPr="00C34D5D">
        <w:t>, 12129– 12137.</w:t>
      </w:r>
    </w:p>
    <w:p w14:paraId="33C3517E" w14:textId="077C2FD3" w:rsidR="00C34D5D" w:rsidRPr="00C34D5D" w:rsidRDefault="00C34D5D" w:rsidP="00985336">
      <w:pPr>
        <w:pStyle w:val="NoSpacing"/>
        <w:ind w:left="720" w:hanging="720"/>
      </w:pPr>
      <w:r w:rsidRPr="00C34D5D">
        <w:t>16</w:t>
      </w:r>
      <w:r w:rsidR="00985336">
        <w:t xml:space="preserve"> </w:t>
      </w:r>
      <w:r w:rsidRPr="00C34D5D">
        <w:t xml:space="preserve">O. P. </w:t>
      </w:r>
      <w:proofErr w:type="spellStart"/>
      <w:r w:rsidRPr="00C34D5D">
        <w:t>Dimitriev</w:t>
      </w:r>
      <w:proofErr w:type="spellEnd"/>
      <w:r w:rsidRPr="00C34D5D">
        <w:t xml:space="preserve">, Y. P. </w:t>
      </w:r>
      <w:proofErr w:type="spellStart"/>
      <w:r w:rsidRPr="00C34D5D">
        <w:t>Piryatinski</w:t>
      </w:r>
      <w:proofErr w:type="spellEnd"/>
      <w:r w:rsidRPr="00C34D5D">
        <w:t xml:space="preserve">, Y. L. </w:t>
      </w:r>
      <w:proofErr w:type="spellStart"/>
      <w:r w:rsidRPr="00C34D5D">
        <w:t>Slominskii</w:t>
      </w:r>
      <w:proofErr w:type="spellEnd"/>
      <w:r w:rsidRPr="00C34D5D">
        <w:t>, </w:t>
      </w:r>
      <w:r w:rsidRPr="00C34D5D">
        <w:rPr>
          <w:i/>
          <w:iCs/>
        </w:rPr>
        <w:t>J. Phys. Chem. Lett.</w:t>
      </w:r>
      <w:r w:rsidRPr="00C34D5D">
        <w:t> 2018, </w:t>
      </w:r>
      <w:r w:rsidRPr="00C34D5D">
        <w:rPr>
          <w:b/>
          <w:bCs/>
        </w:rPr>
        <w:t>9</w:t>
      </w:r>
      <w:r w:rsidRPr="00C34D5D">
        <w:t>, 2138– 2143.</w:t>
      </w:r>
    </w:p>
    <w:p w14:paraId="6E8703E2" w14:textId="42435B2A" w:rsidR="00C34D5D" w:rsidRPr="00C34D5D" w:rsidRDefault="00C34D5D" w:rsidP="00985336">
      <w:pPr>
        <w:pStyle w:val="NoSpacing"/>
        <w:ind w:left="720" w:hanging="720"/>
      </w:pPr>
      <w:r w:rsidRPr="00C34D5D">
        <w:t>17</w:t>
      </w:r>
      <w:r w:rsidR="00985336">
        <w:t xml:space="preserve"> </w:t>
      </w:r>
      <w:r w:rsidRPr="00C34D5D">
        <w:t xml:space="preserve">B. L. Cannon, D. L. </w:t>
      </w:r>
      <w:proofErr w:type="spellStart"/>
      <w:r w:rsidRPr="00C34D5D">
        <w:t>Kellis</w:t>
      </w:r>
      <w:proofErr w:type="spellEnd"/>
      <w:r w:rsidRPr="00C34D5D">
        <w:t xml:space="preserve">, L. K. Patten, P. H. Davis, J. Lee, E. </w:t>
      </w:r>
      <w:proofErr w:type="spellStart"/>
      <w:r w:rsidRPr="00C34D5D">
        <w:t>Graugnard</w:t>
      </w:r>
      <w:proofErr w:type="spellEnd"/>
      <w:r w:rsidRPr="00C34D5D">
        <w:t xml:space="preserve">, B. </w:t>
      </w:r>
      <w:proofErr w:type="spellStart"/>
      <w:r w:rsidRPr="00C34D5D">
        <w:t>Yurke</w:t>
      </w:r>
      <w:proofErr w:type="spellEnd"/>
      <w:r w:rsidRPr="00C34D5D">
        <w:t>, W. B. Knowlton, </w:t>
      </w:r>
      <w:r w:rsidRPr="00C34D5D">
        <w:rPr>
          <w:i/>
          <w:iCs/>
        </w:rPr>
        <w:t>J. Phys. Chem. A</w:t>
      </w:r>
      <w:r w:rsidRPr="00C34D5D">
        <w:t> 2017, </w:t>
      </w:r>
      <w:r w:rsidRPr="00C34D5D">
        <w:rPr>
          <w:b/>
          <w:bCs/>
        </w:rPr>
        <w:t>121</w:t>
      </w:r>
      <w:r w:rsidRPr="00C34D5D">
        <w:t>, 6905– 6916.</w:t>
      </w:r>
    </w:p>
    <w:p w14:paraId="1DBC7797" w14:textId="2D0D25DD" w:rsidR="00C34D5D" w:rsidRPr="00C34D5D" w:rsidRDefault="00C34D5D" w:rsidP="00985336">
      <w:pPr>
        <w:pStyle w:val="NoSpacing"/>
        <w:ind w:left="720" w:hanging="720"/>
      </w:pPr>
      <w:r w:rsidRPr="00C34D5D">
        <w:t>18</w:t>
      </w:r>
      <w:r w:rsidR="00985336">
        <w:t xml:space="preserve"> </w:t>
      </w:r>
      <w:r w:rsidRPr="00C34D5D">
        <w:t xml:space="preserve">J. K. Kochi, R. Rathore, P. L. </w:t>
      </w:r>
      <w:proofErr w:type="spellStart"/>
      <w:r w:rsidRPr="00C34D5D">
        <w:t>Magueres</w:t>
      </w:r>
      <w:proofErr w:type="spellEnd"/>
      <w:r w:rsidRPr="00C34D5D">
        <w:t>, </w:t>
      </w:r>
      <w:r w:rsidRPr="00C34D5D">
        <w:rPr>
          <w:i/>
          <w:iCs/>
        </w:rPr>
        <w:t>J. Org. Chem.</w:t>
      </w:r>
      <w:r w:rsidRPr="00C34D5D">
        <w:t> 2000, </w:t>
      </w:r>
      <w:r w:rsidRPr="00C34D5D">
        <w:rPr>
          <w:b/>
          <w:bCs/>
        </w:rPr>
        <w:t>65</w:t>
      </w:r>
      <w:r w:rsidRPr="00C34D5D">
        <w:t>, 6826– 6836.</w:t>
      </w:r>
    </w:p>
    <w:p w14:paraId="7FBC2DB0" w14:textId="6C724D53" w:rsidR="00C34D5D" w:rsidRPr="00C34D5D" w:rsidRDefault="00C34D5D" w:rsidP="00985336">
      <w:pPr>
        <w:pStyle w:val="NoSpacing"/>
        <w:ind w:left="720" w:hanging="720"/>
      </w:pPr>
      <w:r w:rsidRPr="00C34D5D">
        <w:t>19</w:t>
      </w:r>
      <w:r w:rsidR="00985336">
        <w:t xml:space="preserve"> </w:t>
      </w:r>
      <w:r w:rsidRPr="00C34D5D">
        <w:t xml:space="preserve">M. V. Ivanov, N. J. Reilly, B. </w:t>
      </w:r>
      <w:proofErr w:type="spellStart"/>
      <w:r w:rsidRPr="00C34D5D">
        <w:t>Uhler</w:t>
      </w:r>
      <w:proofErr w:type="spellEnd"/>
      <w:r w:rsidRPr="00C34D5D">
        <w:t xml:space="preserve">, D. </w:t>
      </w:r>
      <w:proofErr w:type="spellStart"/>
      <w:r w:rsidRPr="00C34D5D">
        <w:t>Kokkin</w:t>
      </w:r>
      <w:proofErr w:type="spellEnd"/>
      <w:r w:rsidRPr="00C34D5D">
        <w:t>, R. Rathore, S. A. Reid, </w:t>
      </w:r>
      <w:r w:rsidRPr="00C34D5D">
        <w:rPr>
          <w:i/>
          <w:iCs/>
        </w:rPr>
        <w:t>J. Phys. Chem. Lett.</w:t>
      </w:r>
      <w:r w:rsidRPr="00C34D5D">
        <w:t> 2017, </w:t>
      </w:r>
      <w:r w:rsidRPr="00C34D5D">
        <w:rPr>
          <w:b/>
          <w:bCs/>
        </w:rPr>
        <w:t>8</w:t>
      </w:r>
      <w:r w:rsidRPr="00C34D5D">
        <w:t>, 5272– 5276.</w:t>
      </w:r>
    </w:p>
    <w:p w14:paraId="1B1711B9" w14:textId="780D5246" w:rsidR="00C34D5D" w:rsidRPr="00C34D5D" w:rsidRDefault="00C34D5D" w:rsidP="00985336">
      <w:pPr>
        <w:pStyle w:val="NoSpacing"/>
        <w:ind w:left="720" w:hanging="720"/>
      </w:pPr>
      <w:r w:rsidRPr="00C34D5D">
        <w:t>20</w:t>
      </w:r>
      <w:r w:rsidR="00985336">
        <w:t xml:space="preserve"> </w:t>
      </w:r>
      <w:r w:rsidRPr="00C34D5D">
        <w:t xml:space="preserve">R. Rathore, S. H. </w:t>
      </w:r>
      <w:proofErr w:type="spellStart"/>
      <w:r w:rsidRPr="00C34D5D">
        <w:t>Abdelwahed</w:t>
      </w:r>
      <w:proofErr w:type="spellEnd"/>
      <w:r w:rsidRPr="00C34D5D">
        <w:t xml:space="preserve">, I. A. </w:t>
      </w:r>
      <w:proofErr w:type="spellStart"/>
      <w:r w:rsidRPr="00C34D5D">
        <w:t>Guzei</w:t>
      </w:r>
      <w:proofErr w:type="spellEnd"/>
      <w:r w:rsidRPr="00C34D5D">
        <w:t>, </w:t>
      </w:r>
      <w:r w:rsidRPr="00C34D5D">
        <w:rPr>
          <w:i/>
          <w:iCs/>
        </w:rPr>
        <w:t>J. Am. Chem. Soc.</w:t>
      </w:r>
      <w:r w:rsidRPr="00C34D5D">
        <w:t> 2003, </w:t>
      </w:r>
      <w:r w:rsidRPr="00C34D5D">
        <w:rPr>
          <w:b/>
          <w:bCs/>
        </w:rPr>
        <w:t>125</w:t>
      </w:r>
      <w:r w:rsidRPr="00C34D5D">
        <w:t>, 8712– 8713.</w:t>
      </w:r>
    </w:p>
    <w:p w14:paraId="759B93D4" w14:textId="321A41A4" w:rsidR="00C34D5D" w:rsidRPr="00C34D5D" w:rsidRDefault="00C34D5D" w:rsidP="00985336">
      <w:pPr>
        <w:pStyle w:val="NoSpacing"/>
        <w:ind w:left="720" w:hanging="720"/>
      </w:pPr>
      <w:r w:rsidRPr="00C34D5D">
        <w:t>21</w:t>
      </w:r>
      <w:r w:rsidR="00985336">
        <w:t xml:space="preserve"> </w:t>
      </w:r>
      <w:r w:rsidRPr="00C34D5D">
        <w:t xml:space="preserve">M. R. </w:t>
      </w:r>
      <w:proofErr w:type="spellStart"/>
      <w:r w:rsidRPr="00C34D5D">
        <w:t>Talipov</w:t>
      </w:r>
      <w:proofErr w:type="spellEnd"/>
      <w:r w:rsidRPr="00C34D5D">
        <w:t>, M. V. Ivanov, S. A. Reid, R. Rathore, </w:t>
      </w:r>
      <w:r w:rsidRPr="00C34D5D">
        <w:rPr>
          <w:i/>
          <w:iCs/>
        </w:rPr>
        <w:t>J. Phys. Chem. Lett.</w:t>
      </w:r>
      <w:r w:rsidRPr="00C34D5D">
        <w:t> 2016, </w:t>
      </w:r>
      <w:r w:rsidRPr="00C34D5D">
        <w:rPr>
          <w:b/>
          <w:bCs/>
        </w:rPr>
        <w:t>7</w:t>
      </w:r>
      <w:r w:rsidRPr="00C34D5D">
        <w:t>, 2915– 2920.</w:t>
      </w:r>
    </w:p>
    <w:p w14:paraId="7D67078E" w14:textId="3454EDF2" w:rsidR="00C34D5D" w:rsidRPr="00C34D5D" w:rsidRDefault="00C34D5D" w:rsidP="00985336">
      <w:pPr>
        <w:pStyle w:val="NoSpacing"/>
        <w:ind w:left="720" w:hanging="720"/>
      </w:pPr>
      <w:r w:rsidRPr="00C34D5D">
        <w:t>22</w:t>
      </w:r>
      <w:r w:rsidR="00985336">
        <w:t xml:space="preserve"> </w:t>
      </w:r>
      <w:r w:rsidRPr="00C34D5D">
        <w:t xml:space="preserve">M. W. </w:t>
      </w:r>
      <w:proofErr w:type="spellStart"/>
      <w:r w:rsidRPr="00C34D5D">
        <w:t>Haenel</w:t>
      </w:r>
      <w:proofErr w:type="spellEnd"/>
      <w:r w:rsidRPr="00C34D5D">
        <w:t xml:space="preserve">, H. </w:t>
      </w:r>
      <w:proofErr w:type="spellStart"/>
      <w:r w:rsidRPr="00C34D5D">
        <w:t>Irngartinger</w:t>
      </w:r>
      <w:proofErr w:type="spellEnd"/>
      <w:r w:rsidRPr="00C34D5D">
        <w:t>, C. Krieger, </w:t>
      </w:r>
      <w:r w:rsidRPr="00C34D5D">
        <w:rPr>
          <w:i/>
          <w:iCs/>
        </w:rPr>
        <w:t>Chem. Ber.</w:t>
      </w:r>
      <w:r w:rsidRPr="00C34D5D">
        <w:t> 1985, </w:t>
      </w:r>
      <w:r w:rsidRPr="00C34D5D">
        <w:rPr>
          <w:b/>
          <w:bCs/>
        </w:rPr>
        <w:t>118</w:t>
      </w:r>
      <w:r w:rsidRPr="00C34D5D">
        <w:t>, 144– 162.</w:t>
      </w:r>
    </w:p>
    <w:p w14:paraId="4C3E20DF" w14:textId="39392DB0" w:rsidR="00C34D5D" w:rsidRPr="00C34D5D" w:rsidRDefault="00C34D5D" w:rsidP="00985336">
      <w:pPr>
        <w:pStyle w:val="NoSpacing"/>
        <w:ind w:left="720" w:hanging="720"/>
      </w:pPr>
      <w:r w:rsidRPr="00C34D5D">
        <w:t>23</w:t>
      </w:r>
      <w:r w:rsidR="00985336">
        <w:t xml:space="preserve"> </w:t>
      </w:r>
      <w:r w:rsidRPr="00C34D5D">
        <w:t>J. Wang, W. Wan, H. Jiang, Y. Gao, X. Jiang, H. Lin, W. Zhao, J. Hao, </w:t>
      </w:r>
      <w:r w:rsidRPr="00C34D5D">
        <w:rPr>
          <w:i/>
          <w:iCs/>
        </w:rPr>
        <w:t>Org. Lett.</w:t>
      </w:r>
      <w:r w:rsidRPr="00C34D5D">
        <w:t> 2010, </w:t>
      </w:r>
      <w:r w:rsidRPr="00C34D5D">
        <w:rPr>
          <w:b/>
          <w:bCs/>
        </w:rPr>
        <w:t>12</w:t>
      </w:r>
      <w:r w:rsidRPr="00C34D5D">
        <w:t>, 3874– 3877.</w:t>
      </w:r>
    </w:p>
    <w:p w14:paraId="733C13B6" w14:textId="619A8B6F" w:rsidR="00C34D5D" w:rsidRPr="00C34D5D" w:rsidRDefault="00C34D5D" w:rsidP="00985336">
      <w:pPr>
        <w:pStyle w:val="NoSpacing"/>
        <w:ind w:left="720" w:hanging="720"/>
      </w:pPr>
      <w:r w:rsidRPr="00C34D5D">
        <w:t>24</w:t>
      </w:r>
      <w:r w:rsidR="00985336">
        <w:t xml:space="preserve"> </w:t>
      </w:r>
      <w:r w:rsidRPr="00C34D5D">
        <w:t xml:space="preserve">M. R. </w:t>
      </w:r>
      <w:proofErr w:type="spellStart"/>
      <w:r w:rsidRPr="00C34D5D">
        <w:t>Talipov</w:t>
      </w:r>
      <w:proofErr w:type="spellEnd"/>
      <w:r w:rsidRPr="00C34D5D">
        <w:t xml:space="preserve">, A. </w:t>
      </w:r>
      <w:proofErr w:type="spellStart"/>
      <w:r w:rsidRPr="00C34D5D">
        <w:t>Boddeda</w:t>
      </w:r>
      <w:proofErr w:type="spellEnd"/>
      <w:r w:rsidRPr="00C34D5D">
        <w:t>, Q. K. Timerghazin, R. Rathore, </w:t>
      </w:r>
      <w:r w:rsidRPr="00C34D5D">
        <w:rPr>
          <w:i/>
          <w:iCs/>
        </w:rPr>
        <w:t>J. Phys. Chem. C</w:t>
      </w:r>
      <w:r w:rsidRPr="00C34D5D">
        <w:t> 2014, </w:t>
      </w:r>
      <w:r w:rsidRPr="00C34D5D">
        <w:rPr>
          <w:b/>
          <w:bCs/>
        </w:rPr>
        <w:t>118</w:t>
      </w:r>
      <w:r w:rsidRPr="00C34D5D">
        <w:t>, 21400– 21408.</w:t>
      </w:r>
    </w:p>
    <w:p w14:paraId="70961F78" w14:textId="00E3FAA5" w:rsidR="00C34D5D" w:rsidRPr="00C34D5D" w:rsidRDefault="00C34D5D" w:rsidP="00985336">
      <w:pPr>
        <w:pStyle w:val="NoSpacing"/>
        <w:ind w:left="720" w:hanging="720"/>
      </w:pPr>
      <w:r w:rsidRPr="00C34D5D">
        <w:t>25</w:t>
      </w:r>
      <w:r w:rsidR="00985336">
        <w:t xml:space="preserve"> </w:t>
      </w:r>
      <w:r w:rsidRPr="00C34D5D">
        <w:t xml:space="preserve">M. Ivanov, M. </w:t>
      </w:r>
      <w:proofErr w:type="spellStart"/>
      <w:r w:rsidRPr="00C34D5D">
        <w:t>Talipov</w:t>
      </w:r>
      <w:proofErr w:type="spellEnd"/>
      <w:r w:rsidRPr="00C34D5D">
        <w:t xml:space="preserve">, T. </w:t>
      </w:r>
      <w:proofErr w:type="spellStart"/>
      <w:r w:rsidRPr="00C34D5D">
        <w:t>Navale</w:t>
      </w:r>
      <w:proofErr w:type="spellEnd"/>
      <w:r w:rsidRPr="00C34D5D">
        <w:t>, R. Rathore, </w:t>
      </w:r>
      <w:r w:rsidRPr="00C34D5D">
        <w:rPr>
          <w:i/>
          <w:iCs/>
        </w:rPr>
        <w:t>J. Phys. Chem. C</w:t>
      </w:r>
      <w:r w:rsidRPr="00C34D5D">
        <w:t> 2018, </w:t>
      </w:r>
      <w:r w:rsidRPr="00C34D5D">
        <w:rPr>
          <w:b/>
          <w:bCs/>
        </w:rPr>
        <w:t>122</w:t>
      </w:r>
      <w:r w:rsidRPr="00C34D5D">
        <w:t>, 2539– 2545.</w:t>
      </w:r>
    </w:p>
    <w:p w14:paraId="697B94EC" w14:textId="45132CD6" w:rsidR="00C34D5D" w:rsidRPr="00C34D5D" w:rsidRDefault="00C34D5D" w:rsidP="00985336">
      <w:pPr>
        <w:pStyle w:val="NoSpacing"/>
        <w:ind w:left="720" w:hanging="720"/>
      </w:pPr>
      <w:r w:rsidRPr="00C34D5D">
        <w:t>26</w:t>
      </w:r>
      <w:r w:rsidR="00985336">
        <w:t xml:space="preserve"> </w:t>
      </w:r>
      <w:r w:rsidRPr="00C34D5D">
        <w:t xml:space="preserve">M. R. </w:t>
      </w:r>
      <w:proofErr w:type="spellStart"/>
      <w:r w:rsidRPr="00C34D5D">
        <w:t>Talipov</w:t>
      </w:r>
      <w:proofErr w:type="spellEnd"/>
      <w:r w:rsidRPr="00C34D5D">
        <w:t xml:space="preserve">, A. </w:t>
      </w:r>
      <w:proofErr w:type="spellStart"/>
      <w:r w:rsidRPr="00C34D5D">
        <w:t>Boddeda</w:t>
      </w:r>
      <w:proofErr w:type="spellEnd"/>
      <w:r w:rsidRPr="00C34D5D">
        <w:t>, M. M. Hossain, R. Rathore, </w:t>
      </w:r>
      <w:r w:rsidRPr="00C34D5D">
        <w:rPr>
          <w:i/>
          <w:iCs/>
        </w:rPr>
        <w:t>J. Phys. Org. Chem.</w:t>
      </w:r>
      <w:r w:rsidRPr="00C34D5D">
        <w:t> 2016, </w:t>
      </w:r>
      <w:r w:rsidRPr="00C34D5D">
        <w:rPr>
          <w:b/>
          <w:bCs/>
        </w:rPr>
        <w:t>29</w:t>
      </w:r>
      <w:r w:rsidRPr="00C34D5D">
        <w:t>, 227– 233.</w:t>
      </w:r>
    </w:p>
    <w:p w14:paraId="20E20822" w14:textId="7B4CF064" w:rsidR="00C34D5D" w:rsidRPr="00C34D5D" w:rsidRDefault="00C34D5D" w:rsidP="00985336">
      <w:pPr>
        <w:pStyle w:val="NoSpacing"/>
        <w:ind w:left="720" w:hanging="720"/>
      </w:pPr>
      <w:r w:rsidRPr="00C34D5D">
        <w:t>27</w:t>
      </w:r>
      <w:r w:rsidR="00985336">
        <w:t xml:space="preserve"> </w:t>
      </w:r>
      <w:r w:rsidRPr="00C34D5D">
        <w:t xml:space="preserve">“Robust Aromatic Cation Radicals as Redox Tunable Oxidants”: M. R. </w:t>
      </w:r>
      <w:proofErr w:type="spellStart"/>
      <w:r w:rsidRPr="00C34D5D">
        <w:t>Talipov</w:t>
      </w:r>
      <w:proofErr w:type="spellEnd"/>
      <w:r w:rsidRPr="00C34D5D">
        <w:t>, R. Rathore in </w:t>
      </w:r>
      <w:r w:rsidRPr="00C34D5D">
        <w:rPr>
          <w:i/>
          <w:iCs/>
        </w:rPr>
        <w:t>Organic Redox Systems: Synthesis Properties, and Applications</w:t>
      </w:r>
      <w:r w:rsidRPr="00C34D5D">
        <w:t>, Wiley, Hoboken, 2015, p.  131.</w:t>
      </w:r>
    </w:p>
    <w:p w14:paraId="6065776C" w14:textId="77777777" w:rsidR="00C34D5D" w:rsidRPr="004768C9" w:rsidRDefault="00C34D5D" w:rsidP="004768C9">
      <w:pPr>
        <w:pStyle w:val="NormalWeb"/>
        <w:spacing w:before="0" w:beforeAutospacing="0" w:after="240" w:afterAutospacing="0" w:line="276" w:lineRule="auto"/>
        <w:rPr>
          <w:rFonts w:asciiTheme="minorHAnsi" w:hAnsiTheme="minorHAnsi" w:cstheme="minorHAnsi"/>
        </w:rPr>
      </w:pPr>
    </w:p>
    <w:sectPr w:rsidR="00C34D5D" w:rsidRPr="004768C9"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9617023"/>
    <w:multiLevelType w:val="multilevel"/>
    <w:tmpl w:val="9316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bj129y7NKbpJU5/3RiBnRzWLEUoqzJ1X1FJFP29hM1p47ikmUwdkVn6LSoj/9P40mHe7Lkh/9iKQyvuaYg4j7w==" w:salt="08dtL78b4PzslpLgQuYTw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09FE"/>
    <w:rsid w:val="00003562"/>
    <w:rsid w:val="0000729D"/>
    <w:rsid w:val="0001072F"/>
    <w:rsid w:val="00014F38"/>
    <w:rsid w:val="000233C1"/>
    <w:rsid w:val="00024048"/>
    <w:rsid w:val="0002407F"/>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4C79"/>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5EEE"/>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36AB2"/>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5D2"/>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5DF3"/>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768C9"/>
    <w:rsid w:val="004816ED"/>
    <w:rsid w:val="00481E77"/>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74C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386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5336"/>
    <w:rsid w:val="00986A83"/>
    <w:rsid w:val="00990645"/>
    <w:rsid w:val="009A130B"/>
    <w:rsid w:val="009A2639"/>
    <w:rsid w:val="009A397F"/>
    <w:rsid w:val="009B4F83"/>
    <w:rsid w:val="009B6983"/>
    <w:rsid w:val="009C5450"/>
    <w:rsid w:val="009C5716"/>
    <w:rsid w:val="009D2AA8"/>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C5AD8"/>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32F1"/>
    <w:rsid w:val="00C3466C"/>
    <w:rsid w:val="00C34D5D"/>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1ABE"/>
    <w:rsid w:val="00D52D25"/>
    <w:rsid w:val="00D64D7D"/>
    <w:rsid w:val="00D65A57"/>
    <w:rsid w:val="00D66306"/>
    <w:rsid w:val="00D66B18"/>
    <w:rsid w:val="00D726DB"/>
    <w:rsid w:val="00D73164"/>
    <w:rsid w:val="00D75499"/>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character" w:customStyle="1" w:styleId="smallcaps">
    <w:name w:val="smallcaps"/>
    <w:basedOn w:val="DefaultParagraphFont"/>
    <w:rsid w:val="00481E77"/>
  </w:style>
  <w:style w:type="paragraph" w:customStyle="1" w:styleId="msonormal0">
    <w:name w:val="msonormal"/>
    <w:basedOn w:val="Normal"/>
    <w:rsid w:val="00C34D5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llet">
    <w:name w:val="bullet"/>
    <w:basedOn w:val="DefaultParagraphFont"/>
    <w:rsid w:val="00C34D5D"/>
  </w:style>
  <w:style w:type="character" w:customStyle="1" w:styleId="author">
    <w:name w:val="author"/>
    <w:basedOn w:val="DefaultParagraphFont"/>
    <w:rsid w:val="00C34D5D"/>
  </w:style>
  <w:style w:type="character" w:customStyle="1" w:styleId="pubyear">
    <w:name w:val="pubyear"/>
    <w:basedOn w:val="DefaultParagraphFont"/>
    <w:rsid w:val="00C34D5D"/>
  </w:style>
  <w:style w:type="character" w:customStyle="1" w:styleId="vol">
    <w:name w:val="vol"/>
    <w:basedOn w:val="DefaultParagraphFont"/>
    <w:rsid w:val="00C34D5D"/>
  </w:style>
  <w:style w:type="character" w:customStyle="1" w:styleId="pagefirst">
    <w:name w:val="pagefirst"/>
    <w:basedOn w:val="DefaultParagraphFont"/>
    <w:rsid w:val="00C34D5D"/>
  </w:style>
  <w:style w:type="character" w:styleId="FollowedHyperlink">
    <w:name w:val="FollowedHyperlink"/>
    <w:basedOn w:val="DefaultParagraphFont"/>
    <w:uiPriority w:val="99"/>
    <w:semiHidden/>
    <w:unhideWhenUsed/>
    <w:rsid w:val="00C34D5D"/>
    <w:rPr>
      <w:color w:val="800080"/>
      <w:u w:val="single"/>
    </w:rPr>
  </w:style>
  <w:style w:type="character" w:customStyle="1" w:styleId="openurl">
    <w:name w:val="openurl"/>
    <w:basedOn w:val="DefaultParagraphFont"/>
    <w:rsid w:val="00C34D5D"/>
  </w:style>
  <w:style w:type="character" w:customStyle="1" w:styleId="pagelast">
    <w:name w:val="pagelast"/>
    <w:basedOn w:val="DefaultParagraphFont"/>
    <w:rsid w:val="00C34D5D"/>
  </w:style>
  <w:style w:type="character" w:customStyle="1" w:styleId="booktitle0">
    <w:name w:val="booktitle"/>
    <w:basedOn w:val="DefaultParagraphFont"/>
    <w:rsid w:val="00C34D5D"/>
  </w:style>
  <w:style w:type="character" w:customStyle="1" w:styleId="publisherlocation">
    <w:name w:val="publisherlocation"/>
    <w:basedOn w:val="DefaultParagraphFont"/>
    <w:rsid w:val="00C34D5D"/>
  </w:style>
  <w:style w:type="character" w:styleId="UnresolvedMention">
    <w:name w:val="Unresolved Mention"/>
    <w:basedOn w:val="DefaultParagraphFont"/>
    <w:uiPriority w:val="99"/>
    <w:semiHidden/>
    <w:unhideWhenUsed/>
    <w:rsid w:val="00C34D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1726371266">
      <w:bodyDiv w:val="1"/>
      <w:marLeft w:val="0"/>
      <w:marRight w:val="0"/>
      <w:marTop w:val="0"/>
      <w:marBottom w:val="0"/>
      <w:divBdr>
        <w:top w:val="none" w:sz="0" w:space="0" w:color="auto"/>
        <w:left w:val="none" w:sz="0" w:space="0" w:color="auto"/>
        <w:bottom w:val="none" w:sz="0" w:space="0" w:color="auto"/>
        <w:right w:val="none" w:sz="0" w:space="0" w:color="auto"/>
      </w:divBdr>
      <w:divsChild>
        <w:div w:id="1342511032">
          <w:marLeft w:val="0"/>
          <w:marRight w:val="0"/>
          <w:marTop w:val="0"/>
          <w:marBottom w:val="0"/>
          <w:divBdr>
            <w:top w:val="none" w:sz="0" w:space="0" w:color="auto"/>
            <w:left w:val="none" w:sz="0" w:space="0" w:color="auto"/>
            <w:bottom w:val="none" w:sz="0" w:space="0" w:color="auto"/>
            <w:right w:val="none" w:sz="0" w:space="0" w:color="auto"/>
          </w:divBdr>
        </w:div>
        <w:div w:id="1793938503">
          <w:marLeft w:val="0"/>
          <w:marRight w:val="0"/>
          <w:marTop w:val="0"/>
          <w:marBottom w:val="0"/>
          <w:divBdr>
            <w:top w:val="none" w:sz="0" w:space="0" w:color="auto"/>
            <w:left w:val="none" w:sz="0" w:space="0" w:color="auto"/>
            <w:bottom w:val="none" w:sz="0" w:space="0" w:color="auto"/>
            <w:right w:val="none" w:sz="0" w:space="0" w:color="auto"/>
          </w:divBdr>
        </w:div>
        <w:div w:id="1136605327">
          <w:marLeft w:val="0"/>
          <w:marRight w:val="0"/>
          <w:marTop w:val="0"/>
          <w:marBottom w:val="0"/>
          <w:divBdr>
            <w:top w:val="none" w:sz="0" w:space="0" w:color="auto"/>
            <w:left w:val="none" w:sz="0" w:space="0" w:color="auto"/>
            <w:bottom w:val="none" w:sz="0" w:space="0" w:color="auto"/>
            <w:right w:val="none" w:sz="0" w:space="0" w:color="auto"/>
          </w:divBdr>
        </w:div>
        <w:div w:id="1400715034">
          <w:marLeft w:val="0"/>
          <w:marRight w:val="0"/>
          <w:marTop w:val="0"/>
          <w:marBottom w:val="0"/>
          <w:divBdr>
            <w:top w:val="none" w:sz="0" w:space="0" w:color="auto"/>
            <w:left w:val="none" w:sz="0" w:space="0" w:color="auto"/>
            <w:bottom w:val="none" w:sz="0" w:space="0" w:color="auto"/>
            <w:right w:val="none" w:sz="0" w:space="0" w:color="auto"/>
          </w:divBdr>
        </w:div>
        <w:div w:id="1741948902">
          <w:marLeft w:val="0"/>
          <w:marRight w:val="0"/>
          <w:marTop w:val="0"/>
          <w:marBottom w:val="0"/>
          <w:divBdr>
            <w:top w:val="none" w:sz="0" w:space="0" w:color="auto"/>
            <w:left w:val="none" w:sz="0" w:space="0" w:color="auto"/>
            <w:bottom w:val="none" w:sz="0" w:space="0" w:color="auto"/>
            <w:right w:val="none" w:sz="0" w:space="0" w:color="auto"/>
          </w:divBdr>
        </w:div>
        <w:div w:id="22023061">
          <w:marLeft w:val="0"/>
          <w:marRight w:val="0"/>
          <w:marTop w:val="0"/>
          <w:marBottom w:val="0"/>
          <w:divBdr>
            <w:top w:val="none" w:sz="0" w:space="0" w:color="auto"/>
            <w:left w:val="none" w:sz="0" w:space="0" w:color="auto"/>
            <w:bottom w:val="none" w:sz="0" w:space="0" w:color="auto"/>
            <w:right w:val="none" w:sz="0" w:space="0" w:color="auto"/>
          </w:divBdr>
        </w:div>
        <w:div w:id="1678580741">
          <w:marLeft w:val="0"/>
          <w:marRight w:val="0"/>
          <w:marTop w:val="0"/>
          <w:marBottom w:val="0"/>
          <w:divBdr>
            <w:top w:val="none" w:sz="0" w:space="0" w:color="auto"/>
            <w:left w:val="none" w:sz="0" w:space="0" w:color="auto"/>
            <w:bottom w:val="none" w:sz="0" w:space="0" w:color="auto"/>
            <w:right w:val="none" w:sz="0" w:space="0" w:color="auto"/>
          </w:divBdr>
        </w:div>
        <w:div w:id="142936749">
          <w:marLeft w:val="0"/>
          <w:marRight w:val="0"/>
          <w:marTop w:val="0"/>
          <w:marBottom w:val="0"/>
          <w:divBdr>
            <w:top w:val="none" w:sz="0" w:space="0" w:color="auto"/>
            <w:left w:val="none" w:sz="0" w:space="0" w:color="auto"/>
            <w:bottom w:val="none" w:sz="0" w:space="0" w:color="auto"/>
            <w:right w:val="none" w:sz="0" w:space="0" w:color="auto"/>
          </w:divBdr>
        </w:div>
        <w:div w:id="222369918">
          <w:marLeft w:val="0"/>
          <w:marRight w:val="0"/>
          <w:marTop w:val="0"/>
          <w:marBottom w:val="0"/>
          <w:divBdr>
            <w:top w:val="none" w:sz="0" w:space="0" w:color="auto"/>
            <w:left w:val="none" w:sz="0" w:space="0" w:color="auto"/>
            <w:bottom w:val="none" w:sz="0" w:space="0" w:color="auto"/>
            <w:right w:val="none" w:sz="0" w:space="0" w:color="auto"/>
          </w:divBdr>
        </w:div>
        <w:div w:id="663780772">
          <w:marLeft w:val="0"/>
          <w:marRight w:val="0"/>
          <w:marTop w:val="0"/>
          <w:marBottom w:val="0"/>
          <w:divBdr>
            <w:top w:val="none" w:sz="0" w:space="0" w:color="auto"/>
            <w:left w:val="none" w:sz="0" w:space="0" w:color="auto"/>
            <w:bottom w:val="none" w:sz="0" w:space="0" w:color="auto"/>
            <w:right w:val="none" w:sz="0" w:space="0" w:color="auto"/>
          </w:divBdr>
        </w:div>
        <w:div w:id="496069985">
          <w:marLeft w:val="0"/>
          <w:marRight w:val="0"/>
          <w:marTop w:val="0"/>
          <w:marBottom w:val="0"/>
          <w:divBdr>
            <w:top w:val="none" w:sz="0" w:space="0" w:color="auto"/>
            <w:left w:val="none" w:sz="0" w:space="0" w:color="auto"/>
            <w:bottom w:val="none" w:sz="0" w:space="0" w:color="auto"/>
            <w:right w:val="none" w:sz="0" w:space="0" w:color="auto"/>
          </w:divBdr>
        </w:div>
        <w:div w:id="1392657798">
          <w:marLeft w:val="0"/>
          <w:marRight w:val="0"/>
          <w:marTop w:val="0"/>
          <w:marBottom w:val="0"/>
          <w:divBdr>
            <w:top w:val="none" w:sz="0" w:space="0" w:color="auto"/>
            <w:left w:val="none" w:sz="0" w:space="0" w:color="auto"/>
            <w:bottom w:val="none" w:sz="0" w:space="0" w:color="auto"/>
            <w:right w:val="none" w:sz="0" w:space="0" w:color="auto"/>
          </w:divBdr>
        </w:div>
        <w:div w:id="1241328489">
          <w:marLeft w:val="0"/>
          <w:marRight w:val="0"/>
          <w:marTop w:val="0"/>
          <w:marBottom w:val="0"/>
          <w:divBdr>
            <w:top w:val="none" w:sz="0" w:space="0" w:color="auto"/>
            <w:left w:val="none" w:sz="0" w:space="0" w:color="auto"/>
            <w:bottom w:val="none" w:sz="0" w:space="0" w:color="auto"/>
            <w:right w:val="none" w:sz="0" w:space="0" w:color="auto"/>
          </w:divBdr>
        </w:div>
        <w:div w:id="1741050162">
          <w:marLeft w:val="0"/>
          <w:marRight w:val="0"/>
          <w:marTop w:val="0"/>
          <w:marBottom w:val="0"/>
          <w:divBdr>
            <w:top w:val="none" w:sz="0" w:space="0" w:color="auto"/>
            <w:left w:val="none" w:sz="0" w:space="0" w:color="auto"/>
            <w:bottom w:val="none" w:sz="0" w:space="0" w:color="auto"/>
            <w:right w:val="none" w:sz="0" w:space="0" w:color="auto"/>
          </w:divBdr>
        </w:div>
        <w:div w:id="399133320">
          <w:marLeft w:val="0"/>
          <w:marRight w:val="0"/>
          <w:marTop w:val="0"/>
          <w:marBottom w:val="0"/>
          <w:divBdr>
            <w:top w:val="none" w:sz="0" w:space="0" w:color="auto"/>
            <w:left w:val="none" w:sz="0" w:space="0" w:color="auto"/>
            <w:bottom w:val="none" w:sz="0" w:space="0" w:color="auto"/>
            <w:right w:val="none" w:sz="0" w:space="0" w:color="auto"/>
          </w:divBdr>
        </w:div>
        <w:div w:id="1781408483">
          <w:marLeft w:val="0"/>
          <w:marRight w:val="0"/>
          <w:marTop w:val="0"/>
          <w:marBottom w:val="0"/>
          <w:divBdr>
            <w:top w:val="none" w:sz="0" w:space="0" w:color="auto"/>
            <w:left w:val="none" w:sz="0" w:space="0" w:color="auto"/>
            <w:bottom w:val="none" w:sz="0" w:space="0" w:color="auto"/>
            <w:right w:val="none" w:sz="0" w:space="0" w:color="auto"/>
          </w:divBdr>
        </w:div>
        <w:div w:id="1900701422">
          <w:marLeft w:val="0"/>
          <w:marRight w:val="0"/>
          <w:marTop w:val="0"/>
          <w:marBottom w:val="0"/>
          <w:divBdr>
            <w:top w:val="none" w:sz="0" w:space="0" w:color="auto"/>
            <w:left w:val="none" w:sz="0" w:space="0" w:color="auto"/>
            <w:bottom w:val="none" w:sz="0" w:space="0" w:color="auto"/>
            <w:right w:val="none" w:sz="0" w:space="0" w:color="auto"/>
          </w:divBdr>
        </w:div>
        <w:div w:id="1326713487">
          <w:marLeft w:val="0"/>
          <w:marRight w:val="0"/>
          <w:marTop w:val="0"/>
          <w:marBottom w:val="0"/>
          <w:divBdr>
            <w:top w:val="none" w:sz="0" w:space="0" w:color="auto"/>
            <w:left w:val="none" w:sz="0" w:space="0" w:color="auto"/>
            <w:bottom w:val="none" w:sz="0" w:space="0" w:color="auto"/>
            <w:right w:val="none" w:sz="0" w:space="0" w:color="auto"/>
          </w:divBdr>
        </w:div>
        <w:div w:id="471868916">
          <w:marLeft w:val="0"/>
          <w:marRight w:val="0"/>
          <w:marTop w:val="0"/>
          <w:marBottom w:val="0"/>
          <w:divBdr>
            <w:top w:val="none" w:sz="0" w:space="0" w:color="auto"/>
            <w:left w:val="none" w:sz="0" w:space="0" w:color="auto"/>
            <w:bottom w:val="none" w:sz="0" w:space="0" w:color="auto"/>
            <w:right w:val="none" w:sz="0" w:space="0" w:color="auto"/>
          </w:divBdr>
        </w:div>
        <w:div w:id="375660128">
          <w:marLeft w:val="0"/>
          <w:marRight w:val="0"/>
          <w:marTop w:val="0"/>
          <w:marBottom w:val="0"/>
          <w:divBdr>
            <w:top w:val="none" w:sz="0" w:space="0" w:color="auto"/>
            <w:left w:val="none" w:sz="0" w:space="0" w:color="auto"/>
            <w:bottom w:val="none" w:sz="0" w:space="0" w:color="auto"/>
            <w:right w:val="none" w:sz="0" w:space="0" w:color="auto"/>
          </w:divBdr>
        </w:div>
        <w:div w:id="1347293496">
          <w:marLeft w:val="0"/>
          <w:marRight w:val="0"/>
          <w:marTop w:val="0"/>
          <w:marBottom w:val="0"/>
          <w:divBdr>
            <w:top w:val="none" w:sz="0" w:space="0" w:color="auto"/>
            <w:left w:val="none" w:sz="0" w:space="0" w:color="auto"/>
            <w:bottom w:val="none" w:sz="0" w:space="0" w:color="auto"/>
            <w:right w:val="none" w:sz="0" w:space="0" w:color="auto"/>
          </w:divBdr>
        </w:div>
        <w:div w:id="658190788">
          <w:marLeft w:val="0"/>
          <w:marRight w:val="0"/>
          <w:marTop w:val="0"/>
          <w:marBottom w:val="0"/>
          <w:divBdr>
            <w:top w:val="none" w:sz="0" w:space="0" w:color="auto"/>
            <w:left w:val="none" w:sz="0" w:space="0" w:color="auto"/>
            <w:bottom w:val="none" w:sz="0" w:space="0" w:color="auto"/>
            <w:right w:val="none" w:sz="0" w:space="0" w:color="auto"/>
          </w:divBdr>
        </w:div>
        <w:div w:id="1334530659">
          <w:marLeft w:val="0"/>
          <w:marRight w:val="0"/>
          <w:marTop w:val="0"/>
          <w:marBottom w:val="0"/>
          <w:divBdr>
            <w:top w:val="none" w:sz="0" w:space="0" w:color="auto"/>
            <w:left w:val="none" w:sz="0" w:space="0" w:color="auto"/>
            <w:bottom w:val="none" w:sz="0" w:space="0" w:color="auto"/>
            <w:right w:val="none" w:sz="0" w:space="0" w:color="auto"/>
          </w:divBdr>
        </w:div>
        <w:div w:id="1246527180">
          <w:marLeft w:val="0"/>
          <w:marRight w:val="0"/>
          <w:marTop w:val="0"/>
          <w:marBottom w:val="0"/>
          <w:divBdr>
            <w:top w:val="none" w:sz="0" w:space="0" w:color="auto"/>
            <w:left w:val="none" w:sz="0" w:space="0" w:color="auto"/>
            <w:bottom w:val="none" w:sz="0" w:space="0" w:color="auto"/>
            <w:right w:val="none" w:sz="0" w:space="0" w:color="auto"/>
          </w:divBdr>
        </w:div>
        <w:div w:id="50544842">
          <w:marLeft w:val="0"/>
          <w:marRight w:val="0"/>
          <w:marTop w:val="0"/>
          <w:marBottom w:val="0"/>
          <w:divBdr>
            <w:top w:val="none" w:sz="0" w:space="0" w:color="auto"/>
            <w:left w:val="none" w:sz="0" w:space="0" w:color="auto"/>
            <w:bottom w:val="none" w:sz="0" w:space="0" w:color="auto"/>
            <w:right w:val="none" w:sz="0" w:space="0" w:color="auto"/>
          </w:divBdr>
        </w:div>
        <w:div w:id="724452978">
          <w:marLeft w:val="0"/>
          <w:marRight w:val="0"/>
          <w:marTop w:val="0"/>
          <w:marBottom w:val="0"/>
          <w:divBdr>
            <w:top w:val="none" w:sz="0" w:space="0" w:color="auto"/>
            <w:left w:val="none" w:sz="0" w:space="0" w:color="auto"/>
            <w:bottom w:val="none" w:sz="0" w:space="0" w:color="auto"/>
            <w:right w:val="none" w:sz="0" w:space="0" w:color="auto"/>
          </w:divBdr>
        </w:div>
        <w:div w:id="401217090">
          <w:marLeft w:val="0"/>
          <w:marRight w:val="0"/>
          <w:marTop w:val="0"/>
          <w:marBottom w:val="0"/>
          <w:divBdr>
            <w:top w:val="none" w:sz="0" w:space="0" w:color="auto"/>
            <w:left w:val="none" w:sz="0" w:space="0" w:color="auto"/>
            <w:bottom w:val="none" w:sz="0" w:space="0" w:color="auto"/>
            <w:right w:val="none" w:sz="0" w:space="0" w:color="auto"/>
          </w:divBdr>
        </w:div>
      </w:divsChild>
    </w:div>
    <w:div w:id="2022588759">
      <w:bodyDiv w:val="1"/>
      <w:marLeft w:val="0"/>
      <w:marRight w:val="0"/>
      <w:marTop w:val="0"/>
      <w:marBottom w:val="0"/>
      <w:divBdr>
        <w:top w:val="none" w:sz="0" w:space="0" w:color="auto"/>
        <w:left w:val="none" w:sz="0" w:space="0" w:color="auto"/>
        <w:bottom w:val="none" w:sz="0" w:space="0" w:color="auto"/>
        <w:right w:val="none" w:sz="0" w:space="0" w:color="auto"/>
      </w:divBdr>
      <w:divsChild>
        <w:div w:id="1003122504">
          <w:marLeft w:val="0"/>
          <w:marRight w:val="0"/>
          <w:marTop w:val="0"/>
          <w:marBottom w:val="0"/>
          <w:divBdr>
            <w:top w:val="none" w:sz="0" w:space="0" w:color="auto"/>
            <w:left w:val="none" w:sz="0" w:space="0" w:color="auto"/>
            <w:bottom w:val="none" w:sz="0" w:space="0" w:color="auto"/>
            <w:right w:val="none" w:sz="0" w:space="0" w:color="auto"/>
          </w:divBdr>
          <w:divsChild>
            <w:div w:id="1300724900">
              <w:marLeft w:val="0"/>
              <w:marRight w:val="0"/>
              <w:marTop w:val="0"/>
              <w:marBottom w:val="0"/>
              <w:divBdr>
                <w:top w:val="none" w:sz="0" w:space="0" w:color="auto"/>
                <w:left w:val="none" w:sz="0" w:space="0" w:color="auto"/>
                <w:bottom w:val="none" w:sz="0" w:space="0" w:color="auto"/>
                <w:right w:val="none" w:sz="0" w:space="0" w:color="auto"/>
              </w:divBdr>
            </w:div>
          </w:divsChild>
        </w:div>
        <w:div w:id="1319920413">
          <w:marLeft w:val="0"/>
          <w:marRight w:val="0"/>
          <w:marTop w:val="0"/>
          <w:marBottom w:val="0"/>
          <w:divBdr>
            <w:top w:val="none" w:sz="0" w:space="0" w:color="auto"/>
            <w:left w:val="none" w:sz="0" w:space="0" w:color="auto"/>
            <w:bottom w:val="none" w:sz="0" w:space="0" w:color="auto"/>
            <w:right w:val="none" w:sz="0" w:space="0" w:color="auto"/>
          </w:divBdr>
          <w:divsChild>
            <w:div w:id="1244218773">
              <w:marLeft w:val="0"/>
              <w:marRight w:val="0"/>
              <w:marTop w:val="0"/>
              <w:marBottom w:val="0"/>
              <w:divBdr>
                <w:top w:val="none" w:sz="0" w:space="0" w:color="auto"/>
                <w:left w:val="none" w:sz="0" w:space="0" w:color="auto"/>
                <w:bottom w:val="none" w:sz="0" w:space="0" w:color="auto"/>
                <w:right w:val="none" w:sz="0" w:space="0" w:color="auto"/>
              </w:divBdr>
              <w:divsChild>
                <w:div w:id="981419832">
                  <w:marLeft w:val="0"/>
                  <w:marRight w:val="0"/>
                  <w:marTop w:val="0"/>
                  <w:marBottom w:val="0"/>
                  <w:divBdr>
                    <w:top w:val="none" w:sz="0" w:space="0" w:color="auto"/>
                    <w:left w:val="none" w:sz="0" w:space="0" w:color="auto"/>
                    <w:bottom w:val="none" w:sz="0" w:space="0" w:color="auto"/>
                    <w:right w:val="none" w:sz="0" w:space="0" w:color="auto"/>
                  </w:divBdr>
                </w:div>
              </w:divsChild>
            </w:div>
            <w:div w:id="1953703521">
              <w:marLeft w:val="0"/>
              <w:marRight w:val="0"/>
              <w:marTop w:val="0"/>
              <w:marBottom w:val="0"/>
              <w:divBdr>
                <w:top w:val="none" w:sz="0" w:space="0" w:color="auto"/>
                <w:left w:val="none" w:sz="0" w:space="0" w:color="auto"/>
                <w:bottom w:val="none" w:sz="0" w:space="0" w:color="auto"/>
                <w:right w:val="none" w:sz="0" w:space="0" w:color="auto"/>
              </w:divBdr>
            </w:div>
            <w:div w:id="1993170781">
              <w:marLeft w:val="0"/>
              <w:marRight w:val="0"/>
              <w:marTop w:val="0"/>
              <w:marBottom w:val="0"/>
              <w:divBdr>
                <w:top w:val="none" w:sz="0" w:space="0" w:color="auto"/>
                <w:left w:val="none" w:sz="0" w:space="0" w:color="auto"/>
                <w:bottom w:val="none" w:sz="0" w:space="0" w:color="auto"/>
                <w:right w:val="none" w:sz="0" w:space="0" w:color="auto"/>
              </w:divBdr>
              <w:divsChild>
                <w:div w:id="1719471021">
                  <w:marLeft w:val="0"/>
                  <w:marRight w:val="0"/>
                  <w:marTop w:val="0"/>
                  <w:marBottom w:val="0"/>
                  <w:divBdr>
                    <w:top w:val="none" w:sz="0" w:space="0" w:color="auto"/>
                    <w:left w:val="none" w:sz="0" w:space="0" w:color="auto"/>
                    <w:bottom w:val="none" w:sz="0" w:space="0" w:color="auto"/>
                    <w:right w:val="none" w:sz="0" w:space="0" w:color="auto"/>
                  </w:divBdr>
                </w:div>
              </w:divsChild>
            </w:div>
            <w:div w:id="635721601">
              <w:marLeft w:val="0"/>
              <w:marRight w:val="0"/>
              <w:marTop w:val="0"/>
              <w:marBottom w:val="0"/>
              <w:divBdr>
                <w:top w:val="none" w:sz="0" w:space="0" w:color="auto"/>
                <w:left w:val="none" w:sz="0" w:space="0" w:color="auto"/>
                <w:bottom w:val="none" w:sz="0" w:space="0" w:color="auto"/>
                <w:right w:val="none" w:sz="0" w:space="0" w:color="auto"/>
              </w:divBdr>
            </w:div>
            <w:div w:id="342166242">
              <w:marLeft w:val="0"/>
              <w:marRight w:val="0"/>
              <w:marTop w:val="0"/>
              <w:marBottom w:val="0"/>
              <w:divBdr>
                <w:top w:val="none" w:sz="0" w:space="0" w:color="auto"/>
                <w:left w:val="none" w:sz="0" w:space="0" w:color="auto"/>
                <w:bottom w:val="none" w:sz="0" w:space="0" w:color="auto"/>
                <w:right w:val="none" w:sz="0" w:space="0" w:color="auto"/>
              </w:divBdr>
              <w:divsChild>
                <w:div w:id="482894602">
                  <w:marLeft w:val="0"/>
                  <w:marRight w:val="0"/>
                  <w:marTop w:val="0"/>
                  <w:marBottom w:val="0"/>
                  <w:divBdr>
                    <w:top w:val="none" w:sz="0" w:space="0" w:color="auto"/>
                    <w:left w:val="none" w:sz="0" w:space="0" w:color="auto"/>
                    <w:bottom w:val="none" w:sz="0" w:space="0" w:color="auto"/>
                    <w:right w:val="none" w:sz="0" w:space="0" w:color="auto"/>
                  </w:divBdr>
                </w:div>
              </w:divsChild>
            </w:div>
            <w:div w:id="365958065">
              <w:marLeft w:val="0"/>
              <w:marRight w:val="0"/>
              <w:marTop w:val="0"/>
              <w:marBottom w:val="0"/>
              <w:divBdr>
                <w:top w:val="none" w:sz="0" w:space="0" w:color="auto"/>
                <w:left w:val="none" w:sz="0" w:space="0" w:color="auto"/>
                <w:bottom w:val="none" w:sz="0" w:space="0" w:color="auto"/>
                <w:right w:val="none" w:sz="0" w:space="0" w:color="auto"/>
              </w:divBdr>
            </w:div>
            <w:div w:id="1524827992">
              <w:marLeft w:val="0"/>
              <w:marRight w:val="0"/>
              <w:marTop w:val="0"/>
              <w:marBottom w:val="0"/>
              <w:divBdr>
                <w:top w:val="none" w:sz="0" w:space="0" w:color="auto"/>
                <w:left w:val="none" w:sz="0" w:space="0" w:color="auto"/>
                <w:bottom w:val="none" w:sz="0" w:space="0" w:color="auto"/>
                <w:right w:val="none" w:sz="0" w:space="0" w:color="auto"/>
              </w:divBdr>
              <w:divsChild>
                <w:div w:id="1846941710">
                  <w:marLeft w:val="0"/>
                  <w:marRight w:val="0"/>
                  <w:marTop w:val="0"/>
                  <w:marBottom w:val="0"/>
                  <w:divBdr>
                    <w:top w:val="none" w:sz="0" w:space="0" w:color="auto"/>
                    <w:left w:val="none" w:sz="0" w:space="0" w:color="auto"/>
                    <w:bottom w:val="none" w:sz="0" w:space="0" w:color="auto"/>
                    <w:right w:val="none" w:sz="0" w:space="0" w:color="auto"/>
                  </w:divBdr>
                </w:div>
              </w:divsChild>
            </w:div>
            <w:div w:id="1241330371">
              <w:marLeft w:val="0"/>
              <w:marRight w:val="0"/>
              <w:marTop w:val="0"/>
              <w:marBottom w:val="0"/>
              <w:divBdr>
                <w:top w:val="none" w:sz="0" w:space="0" w:color="auto"/>
                <w:left w:val="none" w:sz="0" w:space="0" w:color="auto"/>
                <w:bottom w:val="none" w:sz="0" w:space="0" w:color="auto"/>
                <w:right w:val="none" w:sz="0" w:space="0" w:color="auto"/>
              </w:divBdr>
            </w:div>
            <w:div w:id="970210694">
              <w:marLeft w:val="0"/>
              <w:marRight w:val="0"/>
              <w:marTop w:val="0"/>
              <w:marBottom w:val="0"/>
              <w:divBdr>
                <w:top w:val="none" w:sz="0" w:space="0" w:color="auto"/>
                <w:left w:val="none" w:sz="0" w:space="0" w:color="auto"/>
                <w:bottom w:val="none" w:sz="0" w:space="0" w:color="auto"/>
                <w:right w:val="none" w:sz="0" w:space="0" w:color="auto"/>
              </w:divBdr>
              <w:divsChild>
                <w:div w:id="24330136">
                  <w:marLeft w:val="0"/>
                  <w:marRight w:val="0"/>
                  <w:marTop w:val="0"/>
                  <w:marBottom w:val="0"/>
                  <w:divBdr>
                    <w:top w:val="none" w:sz="0" w:space="0" w:color="auto"/>
                    <w:left w:val="none" w:sz="0" w:space="0" w:color="auto"/>
                    <w:bottom w:val="none" w:sz="0" w:space="0" w:color="auto"/>
                    <w:right w:val="none" w:sz="0" w:space="0" w:color="auto"/>
                  </w:divBdr>
                </w:div>
              </w:divsChild>
            </w:div>
            <w:div w:id="1506440688">
              <w:marLeft w:val="0"/>
              <w:marRight w:val="0"/>
              <w:marTop w:val="0"/>
              <w:marBottom w:val="0"/>
              <w:divBdr>
                <w:top w:val="none" w:sz="0" w:space="0" w:color="auto"/>
                <w:left w:val="none" w:sz="0" w:space="0" w:color="auto"/>
                <w:bottom w:val="none" w:sz="0" w:space="0" w:color="auto"/>
                <w:right w:val="none" w:sz="0" w:space="0" w:color="auto"/>
              </w:divBdr>
            </w:div>
            <w:div w:id="500779612">
              <w:marLeft w:val="0"/>
              <w:marRight w:val="0"/>
              <w:marTop w:val="0"/>
              <w:marBottom w:val="0"/>
              <w:divBdr>
                <w:top w:val="none" w:sz="0" w:space="0" w:color="auto"/>
                <w:left w:val="none" w:sz="0" w:space="0" w:color="auto"/>
                <w:bottom w:val="none" w:sz="0" w:space="0" w:color="auto"/>
                <w:right w:val="none" w:sz="0" w:space="0" w:color="auto"/>
              </w:divBdr>
              <w:divsChild>
                <w:div w:id="863979753">
                  <w:marLeft w:val="0"/>
                  <w:marRight w:val="0"/>
                  <w:marTop w:val="0"/>
                  <w:marBottom w:val="0"/>
                  <w:divBdr>
                    <w:top w:val="none" w:sz="0" w:space="0" w:color="auto"/>
                    <w:left w:val="none" w:sz="0" w:space="0" w:color="auto"/>
                    <w:bottom w:val="none" w:sz="0" w:space="0" w:color="auto"/>
                    <w:right w:val="none" w:sz="0" w:space="0" w:color="auto"/>
                  </w:divBdr>
                </w:div>
              </w:divsChild>
            </w:div>
            <w:div w:id="921525033">
              <w:marLeft w:val="0"/>
              <w:marRight w:val="0"/>
              <w:marTop w:val="0"/>
              <w:marBottom w:val="0"/>
              <w:divBdr>
                <w:top w:val="none" w:sz="0" w:space="0" w:color="auto"/>
                <w:left w:val="none" w:sz="0" w:space="0" w:color="auto"/>
                <w:bottom w:val="none" w:sz="0" w:space="0" w:color="auto"/>
                <w:right w:val="none" w:sz="0" w:space="0" w:color="auto"/>
              </w:divBdr>
            </w:div>
            <w:div w:id="1492483004">
              <w:marLeft w:val="0"/>
              <w:marRight w:val="0"/>
              <w:marTop w:val="0"/>
              <w:marBottom w:val="0"/>
              <w:divBdr>
                <w:top w:val="none" w:sz="0" w:space="0" w:color="auto"/>
                <w:left w:val="none" w:sz="0" w:space="0" w:color="auto"/>
                <w:bottom w:val="none" w:sz="0" w:space="0" w:color="auto"/>
                <w:right w:val="none" w:sz="0" w:space="0" w:color="auto"/>
              </w:divBdr>
            </w:div>
            <w:div w:id="7872072">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nlinelibrary.wiley.com/doi/full/10.1002/anie.201804337" TargetMode="External"/><Relationship Id="rId18" Type="http://schemas.openxmlformats.org/officeDocument/2006/relationships/hyperlink" Target="https://onlinelibrary.wiley.com/doi/full/10.1002/anie.201804337" TargetMode="External"/><Relationship Id="rId26" Type="http://schemas.openxmlformats.org/officeDocument/2006/relationships/hyperlink" Target="https://onlinelibrary.wiley.com/doi/full/10.1002/anie.201804337" TargetMode="External"/><Relationship Id="rId39" Type="http://schemas.openxmlformats.org/officeDocument/2006/relationships/hyperlink" Target="https://onlinelibrary.wiley.com/doi/full/10.1002/anie.201804337" TargetMode="External"/><Relationship Id="rId21" Type="http://schemas.openxmlformats.org/officeDocument/2006/relationships/hyperlink" Target="https://onlinelibrary.wiley.com/doi/full/10.1002/anie.201804337" TargetMode="External"/><Relationship Id="rId34" Type="http://schemas.openxmlformats.org/officeDocument/2006/relationships/hyperlink" Target="https://onlinelibrary.wiley.com/doi/full/10.1002/anie.201804337" TargetMode="External"/><Relationship Id="rId42" Type="http://schemas.openxmlformats.org/officeDocument/2006/relationships/hyperlink" Target="https://onlinelibrary.wiley.com/doi/full/10.1002/anie.201804337" TargetMode="External"/><Relationship Id="rId47" Type="http://schemas.openxmlformats.org/officeDocument/2006/relationships/hyperlink" Target="https://onlinelibrary.wiley.com/doi/full/10.1002/anie.201804337" TargetMode="External"/><Relationship Id="rId50" Type="http://schemas.openxmlformats.org/officeDocument/2006/relationships/image" Target="media/image5.png"/><Relationship Id="rId55" Type="http://schemas.openxmlformats.org/officeDocument/2006/relationships/hyperlink" Target="https://onlinelibrary.wiley.com/doi/full/10.1002/anie.201804337"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onlinelibrary.wiley.com/doi/full/10.1002/anie.201804337" TargetMode="External"/><Relationship Id="rId29" Type="http://schemas.openxmlformats.org/officeDocument/2006/relationships/image" Target="media/image1.png"/><Relationship Id="rId11" Type="http://schemas.openxmlformats.org/officeDocument/2006/relationships/hyperlink" Target="https://onlinelibrary.wiley.com/doi/full/10.1002/anie.201804337" TargetMode="External"/><Relationship Id="rId24" Type="http://schemas.openxmlformats.org/officeDocument/2006/relationships/hyperlink" Target="https://onlinelibrary.wiley.com/doi/full/10.1002/anie.201804337" TargetMode="External"/><Relationship Id="rId32" Type="http://schemas.openxmlformats.org/officeDocument/2006/relationships/hyperlink" Target="https://onlinelibrary.wiley.com/doi/full/10.1002/anie.201804337" TargetMode="External"/><Relationship Id="rId37" Type="http://schemas.openxmlformats.org/officeDocument/2006/relationships/image" Target="media/image2.png"/><Relationship Id="rId40" Type="http://schemas.openxmlformats.org/officeDocument/2006/relationships/hyperlink" Target="https://onlinelibrary.wiley.com/doi/full/10.1002/anie.201804337" TargetMode="External"/><Relationship Id="rId45" Type="http://schemas.openxmlformats.org/officeDocument/2006/relationships/image" Target="media/image4.png"/><Relationship Id="rId53" Type="http://schemas.openxmlformats.org/officeDocument/2006/relationships/hyperlink" Target="https://onlinelibrary.wiley.com/doi/full/10.1002/anie.201804337" TargetMode="External"/><Relationship Id="rId58" Type="http://schemas.openxmlformats.org/officeDocument/2006/relationships/hyperlink" Target="https://onlinelibrary.wiley.com/doi/full/10.1002/anie.201804337" TargetMode="External"/><Relationship Id="rId5" Type="http://schemas.openxmlformats.org/officeDocument/2006/relationships/styles" Target="styles.xml"/><Relationship Id="rId61" Type="http://schemas.openxmlformats.org/officeDocument/2006/relationships/theme" Target="theme/theme1.xml"/><Relationship Id="rId19" Type="http://schemas.openxmlformats.org/officeDocument/2006/relationships/hyperlink" Target="https://onlinelibrary.wiley.com/doi/full/10.1002/anie.201804337" TargetMode="External"/><Relationship Id="rId14" Type="http://schemas.openxmlformats.org/officeDocument/2006/relationships/hyperlink" Target="https://onlinelibrary.wiley.com/doi/full/10.1002/anie.201804337" TargetMode="External"/><Relationship Id="rId22" Type="http://schemas.openxmlformats.org/officeDocument/2006/relationships/hyperlink" Target="https://onlinelibrary.wiley.com/doi/full/10.1002/anie.201804337" TargetMode="External"/><Relationship Id="rId27" Type="http://schemas.openxmlformats.org/officeDocument/2006/relationships/hyperlink" Target="https://onlinelibrary.wiley.com/doi/full/10.1002/anie.201804337" TargetMode="External"/><Relationship Id="rId30" Type="http://schemas.openxmlformats.org/officeDocument/2006/relationships/hyperlink" Target="https://onlinelibrary.wiley.com/doi/full/10.1002/anie.201804337" TargetMode="External"/><Relationship Id="rId35" Type="http://schemas.openxmlformats.org/officeDocument/2006/relationships/hyperlink" Target="https://onlinelibrary.wiley.com/doi/full/10.1002/anie.201804337" TargetMode="External"/><Relationship Id="rId43" Type="http://schemas.openxmlformats.org/officeDocument/2006/relationships/hyperlink" Target="https://onlinelibrary.wiley.com/doi/full/10.1002/anie.201804337" TargetMode="External"/><Relationship Id="rId48" Type="http://schemas.openxmlformats.org/officeDocument/2006/relationships/hyperlink" Target="https://onlinelibrary.wiley.com/doi/full/10.1002/anie.201804337" TargetMode="External"/><Relationship Id="rId56" Type="http://schemas.openxmlformats.org/officeDocument/2006/relationships/hyperlink" Target="https://onlinelibrary.wiley.com/doi/full/10.1002/anie.201804337" TargetMode="External"/><Relationship Id="rId8" Type="http://schemas.openxmlformats.org/officeDocument/2006/relationships/hyperlink" Target="https://doi.org/10.1002/anie.201804337" TargetMode="External"/><Relationship Id="rId51" Type="http://schemas.openxmlformats.org/officeDocument/2006/relationships/hyperlink" Target="https://onlinelibrary.wiley.com/doi/full/10.1002/anie.201804337" TargetMode="External"/><Relationship Id="rId3" Type="http://schemas.openxmlformats.org/officeDocument/2006/relationships/customXml" Target="../customXml/item3.xml"/><Relationship Id="rId12" Type="http://schemas.openxmlformats.org/officeDocument/2006/relationships/hyperlink" Target="https://onlinelibrary.wiley.com/doi/full/10.1002/anie.201804337" TargetMode="External"/><Relationship Id="rId17" Type="http://schemas.openxmlformats.org/officeDocument/2006/relationships/hyperlink" Target="https://onlinelibrary.wiley.com/doi/full/10.1002/anie.201804337" TargetMode="External"/><Relationship Id="rId25" Type="http://schemas.openxmlformats.org/officeDocument/2006/relationships/hyperlink" Target="https://onlinelibrary.wiley.com/doi/full/10.1002/anie.201804337" TargetMode="External"/><Relationship Id="rId33" Type="http://schemas.openxmlformats.org/officeDocument/2006/relationships/hyperlink" Target="https://onlinelibrary.wiley.com/doi/full/10.1002/anie.201804337" TargetMode="External"/><Relationship Id="rId38" Type="http://schemas.openxmlformats.org/officeDocument/2006/relationships/image" Target="media/image3.png"/><Relationship Id="rId46" Type="http://schemas.openxmlformats.org/officeDocument/2006/relationships/hyperlink" Target="https://onlinelibrary.wiley.com/doi/full/10.1002/anie.201804337" TargetMode="External"/><Relationship Id="rId59" Type="http://schemas.openxmlformats.org/officeDocument/2006/relationships/image" Target="media/image6.png"/><Relationship Id="rId20" Type="http://schemas.openxmlformats.org/officeDocument/2006/relationships/hyperlink" Target="https://onlinelibrary.wiley.com/doi/full/10.1002/anie.201804337" TargetMode="External"/><Relationship Id="rId41" Type="http://schemas.openxmlformats.org/officeDocument/2006/relationships/hyperlink" Target="https://onlinelibrary.wiley.com/doi/full/10.1002/anie.201804337" TargetMode="External"/><Relationship Id="rId54" Type="http://schemas.openxmlformats.org/officeDocument/2006/relationships/hyperlink" Target="https://onlinelibrary.wiley.com/doi/full/10.1002/anie.201804337"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onlinelibrary.wiley.com/doi/full/10.1002/anie.201804337" TargetMode="External"/><Relationship Id="rId23" Type="http://schemas.openxmlformats.org/officeDocument/2006/relationships/hyperlink" Target="https://onlinelibrary.wiley.com/doi/full/10.1002/anie.201804337" TargetMode="External"/><Relationship Id="rId28" Type="http://schemas.openxmlformats.org/officeDocument/2006/relationships/hyperlink" Target="https://onlinelibrary.wiley.com/doi/full/10.1002/anie.201804337" TargetMode="External"/><Relationship Id="rId36" Type="http://schemas.openxmlformats.org/officeDocument/2006/relationships/hyperlink" Target="https://onlinelibrary.wiley.com/doi/full/10.1002/anie.201804337" TargetMode="External"/><Relationship Id="rId49" Type="http://schemas.openxmlformats.org/officeDocument/2006/relationships/hyperlink" Target="https://onlinelibrary.wiley.com/doi/full/10.1002/anie.201804337" TargetMode="External"/><Relationship Id="rId57" Type="http://schemas.openxmlformats.org/officeDocument/2006/relationships/hyperlink" Target="https://onlinelibrary.wiley.com/doi/full/10.1002/anie.201804337" TargetMode="External"/><Relationship Id="rId10" Type="http://schemas.openxmlformats.org/officeDocument/2006/relationships/hyperlink" Target="https://onlinelibrary.wiley.com/doi/full/10.1002/anie.201804337" TargetMode="External"/><Relationship Id="rId31" Type="http://schemas.openxmlformats.org/officeDocument/2006/relationships/hyperlink" Target="https://onlinelibrary.wiley.com/doi/full/10.1002/anie.201804337" TargetMode="External"/><Relationship Id="rId44" Type="http://schemas.openxmlformats.org/officeDocument/2006/relationships/hyperlink" Target="https://onlinelibrary.wiley.com/doi/full/10.1002/anie.201804337" TargetMode="External"/><Relationship Id="rId52" Type="http://schemas.openxmlformats.org/officeDocument/2006/relationships/hyperlink" Target="https://onlinelibrary.wiley.com/doi/full/10.1002/anie.201804337" TargetMode="External"/><Relationship Id="rId6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2BC09C-7141-46CC-A84D-BADFD1447B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7DCF1A-F0AE-4BEF-9BC0-3F96CE7CFDA9}">
  <ds:schemaRefs>
    <ds:schemaRef ds:uri="http://schemas.microsoft.com/sharepoint/v3/contenttype/forms"/>
  </ds:schemaRefs>
</ds:datastoreItem>
</file>

<file path=customXml/itemProps3.xml><?xml version="1.0" encoding="utf-8"?>
<ds:datastoreItem xmlns:ds="http://schemas.openxmlformats.org/officeDocument/2006/customXml" ds:itemID="{5A5FAAF1-D081-4163-9CD1-DAC6DB40C2B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3561</Words>
  <Characters>19836</Characters>
  <Application>Microsoft Office Word</Application>
  <DocSecurity>8</DocSecurity>
  <Lines>291</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20</cp:revision>
  <dcterms:created xsi:type="dcterms:W3CDTF">2019-09-27T16:18:00Z</dcterms:created>
  <dcterms:modified xsi:type="dcterms:W3CDTF">2019-10-14T19:11:00Z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