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25334E"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25334E"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25334E">
        <w:rPr>
          <w:rFonts w:cstheme="minorHAnsi"/>
          <w:b/>
          <w:bCs/>
          <w:color w:val="316192"/>
          <w:sz w:val="28"/>
          <w:szCs w:val="26"/>
        </w:rPr>
        <w:t>Marquette University</w:t>
      </w:r>
    </w:p>
    <w:p w14:paraId="158D4B9F" w14:textId="77777777" w:rsidR="000A7622" w:rsidRPr="0025334E" w:rsidRDefault="000A7622" w:rsidP="00D14423">
      <w:pPr>
        <w:autoSpaceDE w:val="0"/>
        <w:autoSpaceDN w:val="0"/>
        <w:adjustRightInd w:val="0"/>
        <w:rPr>
          <w:rFonts w:cstheme="minorHAnsi"/>
          <w:b/>
          <w:bCs/>
          <w:color w:val="316192"/>
          <w:sz w:val="40"/>
          <w:szCs w:val="36"/>
        </w:rPr>
      </w:pPr>
      <w:proofErr w:type="spellStart"/>
      <w:r w:rsidRPr="0025334E">
        <w:rPr>
          <w:rFonts w:cstheme="minorHAnsi"/>
          <w:b/>
          <w:bCs/>
          <w:color w:val="316192"/>
          <w:sz w:val="40"/>
          <w:szCs w:val="36"/>
        </w:rPr>
        <w:t>e-Publications@Marquette</w:t>
      </w:r>
      <w:proofErr w:type="spellEnd"/>
    </w:p>
    <w:p w14:paraId="689ACF87" w14:textId="77777777" w:rsidR="000A7622" w:rsidRPr="0025334E" w:rsidRDefault="000A7622" w:rsidP="00D14423">
      <w:pPr>
        <w:autoSpaceDE w:val="0"/>
        <w:autoSpaceDN w:val="0"/>
        <w:adjustRightInd w:val="0"/>
        <w:rPr>
          <w:rFonts w:cstheme="minorHAnsi"/>
          <w:b/>
          <w:bCs/>
          <w:i/>
          <w:iCs/>
        </w:rPr>
      </w:pPr>
    </w:p>
    <w:p w14:paraId="161853CC" w14:textId="467E71CA" w:rsidR="000A7622" w:rsidRPr="0025334E" w:rsidRDefault="004A28C1" w:rsidP="00D14423">
      <w:pPr>
        <w:autoSpaceDE w:val="0"/>
        <w:autoSpaceDN w:val="0"/>
        <w:adjustRightInd w:val="0"/>
        <w:rPr>
          <w:rFonts w:cstheme="minorHAnsi"/>
          <w:b/>
          <w:bCs/>
          <w:i/>
          <w:iCs/>
          <w:sz w:val="32"/>
          <w:szCs w:val="32"/>
        </w:rPr>
      </w:pPr>
      <w:r w:rsidRPr="0025334E">
        <w:rPr>
          <w:rFonts w:cstheme="minorHAnsi"/>
          <w:b/>
          <w:bCs/>
          <w:i/>
          <w:iCs/>
          <w:sz w:val="32"/>
          <w:szCs w:val="32"/>
        </w:rPr>
        <w:t xml:space="preserve">Chemistry </w:t>
      </w:r>
      <w:r w:rsidR="000A7622" w:rsidRPr="0025334E">
        <w:rPr>
          <w:rFonts w:cstheme="minorHAnsi"/>
          <w:b/>
          <w:bCs/>
          <w:i/>
          <w:iCs/>
          <w:sz w:val="32"/>
          <w:szCs w:val="32"/>
        </w:rPr>
        <w:t>Faculty Research and Publications/</w:t>
      </w:r>
      <w:r w:rsidR="009732A9" w:rsidRPr="0025334E">
        <w:rPr>
          <w:rFonts w:cstheme="minorHAnsi"/>
          <w:b/>
          <w:bCs/>
          <w:i/>
          <w:iCs/>
          <w:sz w:val="32"/>
          <w:szCs w:val="32"/>
        </w:rPr>
        <w:t xml:space="preserve">College of </w:t>
      </w:r>
      <w:r w:rsidRPr="0025334E">
        <w:rPr>
          <w:rFonts w:cstheme="minorHAnsi"/>
          <w:b/>
          <w:bCs/>
          <w:i/>
          <w:iCs/>
          <w:sz w:val="32"/>
          <w:szCs w:val="32"/>
        </w:rPr>
        <w:t>Arts and Sciences</w:t>
      </w:r>
    </w:p>
    <w:bookmarkEnd w:id="1"/>
    <w:p w14:paraId="3E538636" w14:textId="77777777" w:rsidR="000A7622" w:rsidRPr="0025334E" w:rsidRDefault="000A7622" w:rsidP="00D14423">
      <w:pPr>
        <w:jc w:val="center"/>
        <w:rPr>
          <w:rFonts w:cstheme="minorHAnsi"/>
          <w:b/>
          <w:bCs/>
          <w:i/>
          <w:iCs/>
        </w:rPr>
      </w:pPr>
    </w:p>
    <w:p w14:paraId="25509BF0" w14:textId="3FC0B04E" w:rsidR="000A7622" w:rsidRPr="0025334E" w:rsidRDefault="000A7622" w:rsidP="00D14423">
      <w:pPr>
        <w:jc w:val="center"/>
        <w:rPr>
          <w:rFonts w:cstheme="minorHAnsi"/>
          <w:sz w:val="24"/>
          <w:szCs w:val="24"/>
        </w:rPr>
      </w:pPr>
      <w:r w:rsidRPr="0025334E">
        <w:rPr>
          <w:rFonts w:cstheme="minorHAnsi"/>
          <w:b/>
          <w:bCs/>
          <w:i/>
          <w:iCs/>
          <w:sz w:val="24"/>
          <w:szCs w:val="24"/>
        </w:rPr>
        <w:t xml:space="preserve">This paper is NOT THE PUBLISHED VERSION; </w:t>
      </w:r>
      <w:r w:rsidRPr="0025334E">
        <w:rPr>
          <w:rFonts w:cstheme="minorHAnsi"/>
          <w:b/>
          <w:bCs/>
          <w:sz w:val="24"/>
          <w:szCs w:val="24"/>
        </w:rPr>
        <w:t xml:space="preserve">but the author’s final, peer-reviewed manuscript. </w:t>
      </w:r>
      <w:r w:rsidRPr="0025334E">
        <w:rPr>
          <w:rFonts w:cstheme="minorHAnsi"/>
          <w:sz w:val="24"/>
          <w:szCs w:val="24"/>
        </w:rPr>
        <w:t xml:space="preserve">The published version may be accessed by following the link in </w:t>
      </w:r>
      <w:proofErr w:type="spellStart"/>
      <w:r w:rsidRPr="0025334E">
        <w:rPr>
          <w:rFonts w:cstheme="minorHAnsi"/>
          <w:sz w:val="24"/>
          <w:szCs w:val="24"/>
        </w:rPr>
        <w:t>th</w:t>
      </w:r>
      <w:proofErr w:type="spellEnd"/>
      <w:r w:rsidRPr="0025334E">
        <w:rPr>
          <w:rFonts w:cstheme="minorHAnsi"/>
          <w:sz w:val="24"/>
          <w:szCs w:val="24"/>
        </w:rPr>
        <w:t xml:space="preserve"> citation below.</w:t>
      </w:r>
    </w:p>
    <w:p w14:paraId="207B0342" w14:textId="77777777" w:rsidR="000A7622" w:rsidRPr="0025334E" w:rsidRDefault="000A7622" w:rsidP="00D14423">
      <w:pPr>
        <w:jc w:val="center"/>
        <w:rPr>
          <w:rFonts w:cstheme="minorHAnsi"/>
          <w:sz w:val="24"/>
          <w:szCs w:val="24"/>
        </w:rPr>
      </w:pPr>
    </w:p>
    <w:p w14:paraId="2A38AFE1" w14:textId="4A0A364A" w:rsidR="000A7622" w:rsidRPr="0025334E" w:rsidRDefault="00F51D4B" w:rsidP="00D14423">
      <w:pPr>
        <w:rPr>
          <w:rFonts w:cstheme="minorHAnsi"/>
          <w:sz w:val="24"/>
          <w:szCs w:val="24"/>
        </w:rPr>
      </w:pPr>
      <w:r>
        <w:rPr>
          <w:rFonts w:cstheme="minorHAnsi"/>
          <w:i/>
          <w:sz w:val="24"/>
          <w:szCs w:val="24"/>
          <w:lang w:val="fr-FR"/>
        </w:rPr>
        <w:t xml:space="preserve">Physical Chemistry Chemical </w:t>
      </w:r>
      <w:proofErr w:type="spellStart"/>
      <w:r>
        <w:rPr>
          <w:rFonts w:cstheme="minorHAnsi"/>
          <w:i/>
          <w:sz w:val="24"/>
          <w:szCs w:val="24"/>
          <w:lang w:val="fr-FR"/>
        </w:rPr>
        <w:t>Physics</w:t>
      </w:r>
      <w:proofErr w:type="spellEnd"/>
      <w:r w:rsidR="000A7622" w:rsidRPr="0025334E">
        <w:rPr>
          <w:rFonts w:cstheme="minorHAnsi"/>
          <w:sz w:val="24"/>
          <w:szCs w:val="24"/>
          <w:lang w:val="fr-FR"/>
        </w:rPr>
        <w:t xml:space="preserve">, Vol. </w:t>
      </w:r>
      <w:r w:rsidR="0063003B">
        <w:rPr>
          <w:rFonts w:cstheme="minorHAnsi"/>
          <w:sz w:val="24"/>
          <w:szCs w:val="24"/>
          <w:lang w:val="fr-FR"/>
        </w:rPr>
        <w:t>20</w:t>
      </w:r>
      <w:r w:rsidR="000A7622" w:rsidRPr="0025334E">
        <w:rPr>
          <w:rFonts w:cstheme="minorHAnsi"/>
          <w:sz w:val="24"/>
          <w:szCs w:val="24"/>
          <w:lang w:val="fr-FR"/>
        </w:rPr>
        <w:t xml:space="preserve">, No. </w:t>
      </w:r>
      <w:r w:rsidR="0063003B">
        <w:rPr>
          <w:rFonts w:cstheme="minorHAnsi"/>
          <w:sz w:val="24"/>
          <w:szCs w:val="24"/>
          <w:lang w:val="fr-FR"/>
        </w:rPr>
        <w:t>40</w:t>
      </w:r>
      <w:r w:rsidR="000A7622" w:rsidRPr="0025334E">
        <w:rPr>
          <w:rFonts w:cstheme="minorHAnsi"/>
          <w:sz w:val="24"/>
          <w:szCs w:val="24"/>
          <w:lang w:val="fr-FR"/>
        </w:rPr>
        <w:t xml:space="preserve"> (</w:t>
      </w:r>
      <w:proofErr w:type="spellStart"/>
      <w:r w:rsidR="0063003B">
        <w:rPr>
          <w:rFonts w:cstheme="minorHAnsi"/>
          <w:sz w:val="24"/>
          <w:szCs w:val="24"/>
          <w:lang w:val="fr-FR"/>
        </w:rPr>
        <w:t>September</w:t>
      </w:r>
      <w:proofErr w:type="spellEnd"/>
      <w:r w:rsidR="0063003B">
        <w:rPr>
          <w:rFonts w:cstheme="minorHAnsi"/>
          <w:sz w:val="24"/>
          <w:szCs w:val="24"/>
          <w:lang w:val="fr-FR"/>
        </w:rPr>
        <w:t xml:space="preserve"> 2018</w:t>
      </w:r>
      <w:proofErr w:type="gramStart"/>
      <w:r w:rsidR="000A7622" w:rsidRPr="0025334E">
        <w:rPr>
          <w:rFonts w:cstheme="minorHAnsi"/>
          <w:sz w:val="24"/>
          <w:szCs w:val="24"/>
          <w:lang w:val="fr-FR"/>
        </w:rPr>
        <w:t>):</w:t>
      </w:r>
      <w:proofErr w:type="gramEnd"/>
      <w:r w:rsidR="000A7622" w:rsidRPr="0025334E">
        <w:rPr>
          <w:rFonts w:cstheme="minorHAnsi"/>
          <w:sz w:val="24"/>
          <w:szCs w:val="24"/>
          <w:lang w:val="fr-FR"/>
        </w:rPr>
        <w:t xml:space="preserve"> </w:t>
      </w:r>
      <w:r w:rsidR="008E0057" w:rsidRPr="008E0057">
        <w:rPr>
          <w:rFonts w:cstheme="minorHAnsi"/>
          <w:sz w:val="24"/>
          <w:szCs w:val="24"/>
          <w:lang w:val="fr-FR"/>
        </w:rPr>
        <w:t>25615-25622</w:t>
      </w:r>
      <w:r w:rsidR="000A7622" w:rsidRPr="0025334E">
        <w:rPr>
          <w:rFonts w:cstheme="minorHAnsi"/>
          <w:sz w:val="24"/>
          <w:szCs w:val="24"/>
          <w:lang w:val="fr-FR"/>
        </w:rPr>
        <w:t xml:space="preserve">. </w:t>
      </w:r>
      <w:hyperlink r:id="rId8" w:history="1">
        <w:r w:rsidR="000A7622" w:rsidRPr="0025334E">
          <w:rPr>
            <w:rFonts w:cstheme="minorHAnsi"/>
            <w:color w:val="0563C1" w:themeColor="hyperlink"/>
            <w:sz w:val="24"/>
            <w:szCs w:val="24"/>
            <w:u w:val="single"/>
            <w:lang w:val="fr-FR"/>
          </w:rPr>
          <w:t>DOI</w:t>
        </w:r>
      </w:hyperlink>
      <w:r w:rsidR="000A7622" w:rsidRPr="0025334E">
        <w:rPr>
          <w:rFonts w:cstheme="minorHAnsi"/>
          <w:sz w:val="24"/>
          <w:szCs w:val="24"/>
          <w:lang w:val="fr-FR"/>
        </w:rPr>
        <w:t xml:space="preserve">. </w:t>
      </w:r>
      <w:r w:rsidR="000A7622" w:rsidRPr="0025334E">
        <w:rPr>
          <w:rFonts w:cstheme="minorHAnsi"/>
          <w:sz w:val="24"/>
          <w:szCs w:val="24"/>
        </w:rPr>
        <w:t xml:space="preserve">This article is © </w:t>
      </w:r>
      <w:r w:rsidR="00F64E64">
        <w:rPr>
          <w:rFonts w:cstheme="minorHAnsi"/>
          <w:sz w:val="24"/>
          <w:szCs w:val="24"/>
        </w:rPr>
        <w:t>Royal Society of Chemistry</w:t>
      </w:r>
      <w:r w:rsidR="000A7622" w:rsidRPr="0025334E">
        <w:rPr>
          <w:rFonts w:cstheme="minorHAnsi"/>
          <w:sz w:val="24"/>
          <w:szCs w:val="24"/>
        </w:rPr>
        <w:t xml:space="preserve"> and permission has been granted for this version to appear in </w:t>
      </w:r>
      <w:hyperlink r:id="rId9" w:history="1">
        <w:proofErr w:type="spellStart"/>
        <w:r w:rsidR="000A7622" w:rsidRPr="0025334E">
          <w:rPr>
            <w:rFonts w:cstheme="minorHAnsi"/>
            <w:color w:val="0563C1" w:themeColor="hyperlink"/>
            <w:sz w:val="24"/>
            <w:szCs w:val="24"/>
            <w:u w:val="single"/>
          </w:rPr>
          <w:t>e-Publications@Marquette</w:t>
        </w:r>
        <w:proofErr w:type="spellEnd"/>
      </w:hyperlink>
      <w:r w:rsidR="000A7622" w:rsidRPr="0025334E">
        <w:rPr>
          <w:rFonts w:cstheme="minorHAnsi"/>
          <w:sz w:val="24"/>
          <w:szCs w:val="24"/>
        </w:rPr>
        <w:t xml:space="preserve">. </w:t>
      </w:r>
      <w:r w:rsidR="00F64E64">
        <w:rPr>
          <w:rFonts w:cstheme="minorHAnsi"/>
          <w:sz w:val="24"/>
          <w:szCs w:val="24"/>
        </w:rPr>
        <w:t>Royal Society of Chemistry</w:t>
      </w:r>
      <w:r w:rsidR="000A7622" w:rsidRPr="0025334E">
        <w:rPr>
          <w:rFonts w:cstheme="minorHAnsi"/>
          <w:sz w:val="24"/>
          <w:szCs w:val="24"/>
        </w:rPr>
        <w:t xml:space="preserve"> does not grant permission for this article to be further copied/distributed or hosted elsewhere without the express permission from </w:t>
      </w:r>
      <w:r w:rsidR="00F64E64">
        <w:rPr>
          <w:rFonts w:cstheme="minorHAnsi"/>
          <w:sz w:val="24"/>
          <w:szCs w:val="24"/>
        </w:rPr>
        <w:t>Royal Society of Chemistry</w:t>
      </w:r>
      <w:r w:rsidR="000A7622" w:rsidRPr="0025334E">
        <w:rPr>
          <w:rFonts w:cstheme="minorHAnsi"/>
          <w:sz w:val="24"/>
          <w:szCs w:val="24"/>
        </w:rPr>
        <w:t xml:space="preserve">. </w:t>
      </w:r>
    </w:p>
    <w:p w14:paraId="63270BB4" w14:textId="6B481E58" w:rsidR="004A28C1" w:rsidRPr="0025334E" w:rsidRDefault="004A28C1" w:rsidP="00D14423">
      <w:pPr>
        <w:rPr>
          <w:rFonts w:cstheme="minorHAnsi"/>
          <w:sz w:val="24"/>
          <w:szCs w:val="24"/>
        </w:rPr>
      </w:pPr>
    </w:p>
    <w:p w14:paraId="21FC5D52" w14:textId="37D7BB4C" w:rsidR="00B24BE0" w:rsidRPr="0025334E" w:rsidRDefault="00B24BE0" w:rsidP="007961A9">
      <w:pPr>
        <w:pStyle w:val="Title"/>
        <w:rPr>
          <w:rFonts w:asciiTheme="minorHAnsi" w:hAnsiTheme="minorHAnsi" w:cstheme="minorHAnsi"/>
        </w:rPr>
      </w:pPr>
      <w:r w:rsidRPr="0025334E">
        <w:rPr>
          <w:rFonts w:asciiTheme="minorHAnsi" w:hAnsiTheme="minorHAnsi" w:cstheme="minorHAnsi"/>
        </w:rPr>
        <w:t>Vertical </w:t>
      </w:r>
      <w:r w:rsidR="0025334E" w:rsidRPr="0025334E">
        <w:rPr>
          <w:rFonts w:asciiTheme="minorHAnsi" w:hAnsiTheme="minorHAnsi" w:cstheme="minorHAnsi"/>
          <w:i/>
          <w:iCs/>
        </w:rPr>
        <w:t>v</w:t>
      </w:r>
      <w:r w:rsidR="007961A9" w:rsidRPr="0025334E">
        <w:rPr>
          <w:rFonts w:asciiTheme="minorHAnsi" w:hAnsiTheme="minorHAnsi" w:cstheme="minorHAnsi"/>
          <w:i/>
          <w:iCs/>
        </w:rPr>
        <w:t>s.</w:t>
      </w:r>
      <w:r w:rsidR="007961A9" w:rsidRPr="0025334E">
        <w:rPr>
          <w:rFonts w:asciiTheme="minorHAnsi" w:hAnsiTheme="minorHAnsi" w:cstheme="minorHAnsi"/>
        </w:rPr>
        <w:t xml:space="preserve"> Adiabatic Ionization Energies </w:t>
      </w:r>
      <w:r w:rsidR="0025334E" w:rsidRPr="0025334E">
        <w:rPr>
          <w:rFonts w:asciiTheme="minorHAnsi" w:hAnsiTheme="minorHAnsi" w:cstheme="minorHAnsi"/>
        </w:rPr>
        <w:t>in</w:t>
      </w:r>
      <w:r w:rsidR="007961A9" w:rsidRPr="0025334E">
        <w:rPr>
          <w:rFonts w:asciiTheme="minorHAnsi" w:hAnsiTheme="minorHAnsi" w:cstheme="minorHAnsi"/>
        </w:rPr>
        <w:t xml:space="preserve"> Solution </w:t>
      </w:r>
      <w:r w:rsidR="0025334E" w:rsidRPr="0025334E">
        <w:rPr>
          <w:rFonts w:asciiTheme="minorHAnsi" w:hAnsiTheme="minorHAnsi" w:cstheme="minorHAnsi"/>
        </w:rPr>
        <w:t>and</w:t>
      </w:r>
      <w:r w:rsidR="007961A9" w:rsidRPr="0025334E">
        <w:rPr>
          <w:rFonts w:asciiTheme="minorHAnsi" w:hAnsiTheme="minorHAnsi" w:cstheme="minorHAnsi"/>
        </w:rPr>
        <w:t xml:space="preserve"> Gas-Phase: Probing Ionization-Induced Reorganization </w:t>
      </w:r>
      <w:r w:rsidR="0025334E" w:rsidRPr="0025334E">
        <w:rPr>
          <w:rFonts w:asciiTheme="minorHAnsi" w:hAnsiTheme="minorHAnsi" w:cstheme="minorHAnsi"/>
        </w:rPr>
        <w:t>in</w:t>
      </w:r>
      <w:r w:rsidR="007961A9" w:rsidRPr="0025334E">
        <w:rPr>
          <w:rFonts w:asciiTheme="minorHAnsi" w:hAnsiTheme="minorHAnsi" w:cstheme="minorHAnsi"/>
        </w:rPr>
        <w:t xml:space="preserve"> Conformationally-Mobile Bichromophoric Actuators Using Photoelectron Spectroscopy, Electrochemistry </w:t>
      </w:r>
      <w:r w:rsidR="0025334E" w:rsidRPr="0025334E">
        <w:rPr>
          <w:rFonts w:asciiTheme="minorHAnsi" w:hAnsiTheme="minorHAnsi" w:cstheme="minorHAnsi"/>
        </w:rPr>
        <w:t>and</w:t>
      </w:r>
      <w:r w:rsidR="007961A9" w:rsidRPr="0025334E">
        <w:rPr>
          <w:rFonts w:asciiTheme="minorHAnsi" w:hAnsiTheme="minorHAnsi" w:cstheme="minorHAnsi"/>
        </w:rPr>
        <w:t xml:space="preserve"> Theory</w:t>
      </w:r>
    </w:p>
    <w:p w14:paraId="48C10CE1" w14:textId="6994E6DB" w:rsidR="004A28C1" w:rsidRPr="0025334E" w:rsidRDefault="004A28C1" w:rsidP="00D14423">
      <w:pPr>
        <w:rPr>
          <w:rFonts w:cstheme="minorHAnsi"/>
          <w:sz w:val="24"/>
          <w:szCs w:val="24"/>
        </w:rPr>
      </w:pPr>
    </w:p>
    <w:p w14:paraId="6A63A6A6" w14:textId="77777777" w:rsidR="00E00710" w:rsidRPr="0025334E" w:rsidRDefault="00E00710" w:rsidP="007961A9">
      <w:pPr>
        <w:pStyle w:val="NoSpacing"/>
        <w:rPr>
          <w:rFonts w:cstheme="minorHAnsi"/>
          <w:sz w:val="32"/>
          <w:szCs w:val="32"/>
        </w:rPr>
      </w:pPr>
      <w:r w:rsidRPr="0025334E">
        <w:rPr>
          <w:rFonts w:cstheme="minorHAnsi"/>
          <w:sz w:val="32"/>
          <w:szCs w:val="32"/>
        </w:rPr>
        <w:t>Maxim V. Ivanov</w:t>
      </w:r>
    </w:p>
    <w:p w14:paraId="362E875E" w14:textId="77777777" w:rsidR="007961A9" w:rsidRPr="0025334E" w:rsidRDefault="007961A9" w:rsidP="007961A9">
      <w:pPr>
        <w:pStyle w:val="NoSpacing"/>
        <w:rPr>
          <w:rFonts w:cstheme="minorHAnsi"/>
          <w:sz w:val="24"/>
          <w:szCs w:val="24"/>
        </w:rPr>
      </w:pPr>
      <w:r w:rsidRPr="0025334E">
        <w:rPr>
          <w:rFonts w:cstheme="minorHAnsi"/>
          <w:sz w:val="24"/>
          <w:szCs w:val="24"/>
        </w:rPr>
        <w:t>Department of Chemistry, Marquette University, Milwaukee, WI</w:t>
      </w:r>
    </w:p>
    <w:p w14:paraId="41885CC1" w14:textId="77777777" w:rsidR="007961A9" w:rsidRPr="0025334E" w:rsidRDefault="00E00710" w:rsidP="007961A9">
      <w:pPr>
        <w:pStyle w:val="NoSpacing"/>
        <w:rPr>
          <w:rFonts w:cstheme="minorHAnsi"/>
          <w:sz w:val="32"/>
          <w:szCs w:val="32"/>
        </w:rPr>
      </w:pPr>
      <w:proofErr w:type="spellStart"/>
      <w:r w:rsidRPr="0025334E">
        <w:rPr>
          <w:rFonts w:cstheme="minorHAnsi"/>
          <w:sz w:val="32"/>
          <w:szCs w:val="32"/>
        </w:rPr>
        <w:t>Denan</w:t>
      </w:r>
      <w:proofErr w:type="spellEnd"/>
      <w:r w:rsidRPr="0025334E">
        <w:rPr>
          <w:rFonts w:cstheme="minorHAnsi"/>
          <w:sz w:val="32"/>
          <w:szCs w:val="32"/>
        </w:rPr>
        <w:t xml:space="preserve"> Wang</w:t>
      </w:r>
    </w:p>
    <w:p w14:paraId="7BA576A1" w14:textId="15C4FF71" w:rsidR="007961A9" w:rsidRPr="0025334E" w:rsidRDefault="007961A9" w:rsidP="007961A9">
      <w:pPr>
        <w:pStyle w:val="NoSpacing"/>
        <w:rPr>
          <w:rFonts w:cstheme="minorHAnsi"/>
          <w:spacing w:val="-4"/>
          <w:sz w:val="24"/>
          <w:szCs w:val="24"/>
          <w:shd w:val="clear" w:color="auto" w:fill="FFFFFF"/>
        </w:rPr>
      </w:pPr>
      <w:r w:rsidRPr="0025334E">
        <w:rPr>
          <w:rFonts w:cstheme="minorHAnsi"/>
          <w:spacing w:val="-4"/>
          <w:sz w:val="24"/>
          <w:szCs w:val="24"/>
          <w:shd w:val="clear" w:color="auto" w:fill="FFFFFF"/>
        </w:rPr>
        <w:t>Department of Chemistry, Marquette University, Milwaukee, WI</w:t>
      </w:r>
    </w:p>
    <w:p w14:paraId="50303BB9" w14:textId="77777777" w:rsidR="007961A9" w:rsidRPr="0025334E" w:rsidRDefault="00E00710" w:rsidP="007961A9">
      <w:pPr>
        <w:pStyle w:val="NoSpacing"/>
        <w:rPr>
          <w:rFonts w:cstheme="minorHAnsi"/>
          <w:sz w:val="32"/>
          <w:szCs w:val="32"/>
        </w:rPr>
      </w:pPr>
      <w:proofErr w:type="spellStart"/>
      <w:r w:rsidRPr="0025334E">
        <w:rPr>
          <w:rFonts w:cstheme="minorHAnsi"/>
          <w:sz w:val="32"/>
          <w:szCs w:val="32"/>
        </w:rPr>
        <w:t>Depeng</w:t>
      </w:r>
      <w:proofErr w:type="spellEnd"/>
      <w:r w:rsidRPr="0025334E">
        <w:rPr>
          <w:rFonts w:cstheme="minorHAnsi"/>
          <w:sz w:val="32"/>
          <w:szCs w:val="32"/>
        </w:rPr>
        <w:t xml:space="preserve"> Zhang</w:t>
      </w:r>
    </w:p>
    <w:p w14:paraId="08FAA70F" w14:textId="77777777" w:rsidR="007961A9" w:rsidRPr="0025334E" w:rsidRDefault="007961A9" w:rsidP="007961A9">
      <w:pPr>
        <w:pStyle w:val="NoSpacing"/>
        <w:rPr>
          <w:rFonts w:cstheme="minorHAnsi"/>
          <w:spacing w:val="-4"/>
          <w:sz w:val="24"/>
          <w:szCs w:val="24"/>
          <w:shd w:val="clear" w:color="auto" w:fill="FFFFFF"/>
        </w:rPr>
      </w:pPr>
      <w:r w:rsidRPr="0025334E">
        <w:rPr>
          <w:rFonts w:cstheme="minorHAnsi"/>
          <w:spacing w:val="-4"/>
          <w:sz w:val="24"/>
          <w:szCs w:val="24"/>
          <w:shd w:val="clear" w:color="auto" w:fill="FFFFFF"/>
        </w:rPr>
        <w:t>Department of Chemistry, Marquette University, Milwaukee, WI</w:t>
      </w:r>
    </w:p>
    <w:p w14:paraId="1AB73459" w14:textId="77777777" w:rsidR="007961A9" w:rsidRPr="0025334E" w:rsidRDefault="00E00710" w:rsidP="007961A9">
      <w:pPr>
        <w:pStyle w:val="NoSpacing"/>
        <w:rPr>
          <w:rFonts w:cstheme="minorHAnsi"/>
          <w:sz w:val="32"/>
          <w:szCs w:val="32"/>
        </w:rPr>
      </w:pPr>
      <w:r w:rsidRPr="0025334E">
        <w:rPr>
          <w:rFonts w:cstheme="minorHAnsi"/>
          <w:sz w:val="32"/>
          <w:szCs w:val="32"/>
        </w:rPr>
        <w:t>Rajendra Rathore</w:t>
      </w:r>
    </w:p>
    <w:p w14:paraId="076F5D33" w14:textId="77777777" w:rsidR="007961A9" w:rsidRPr="0025334E" w:rsidRDefault="007961A9" w:rsidP="007961A9">
      <w:pPr>
        <w:pStyle w:val="NoSpacing"/>
        <w:rPr>
          <w:rFonts w:cstheme="minorHAnsi"/>
          <w:spacing w:val="-4"/>
          <w:sz w:val="24"/>
          <w:szCs w:val="24"/>
          <w:shd w:val="clear" w:color="auto" w:fill="FFFFFF"/>
        </w:rPr>
      </w:pPr>
      <w:r w:rsidRPr="0025334E">
        <w:rPr>
          <w:rFonts w:cstheme="minorHAnsi"/>
          <w:spacing w:val="-4"/>
          <w:sz w:val="24"/>
          <w:szCs w:val="24"/>
          <w:shd w:val="clear" w:color="auto" w:fill="FFFFFF"/>
        </w:rPr>
        <w:lastRenderedPageBreak/>
        <w:t>Department of Chemistry, Marquette University, Milwaukee, WI</w:t>
      </w:r>
    </w:p>
    <w:p w14:paraId="1069581F" w14:textId="0887819E" w:rsidR="00B24BE0" w:rsidRPr="0025334E" w:rsidRDefault="00E00710" w:rsidP="007961A9">
      <w:pPr>
        <w:pStyle w:val="NoSpacing"/>
        <w:rPr>
          <w:rFonts w:cstheme="minorHAnsi"/>
          <w:sz w:val="32"/>
          <w:szCs w:val="32"/>
        </w:rPr>
      </w:pPr>
      <w:r w:rsidRPr="0025334E">
        <w:rPr>
          <w:rFonts w:cstheme="minorHAnsi"/>
          <w:sz w:val="32"/>
          <w:szCs w:val="32"/>
        </w:rPr>
        <w:t>Scott A. Reid</w:t>
      </w:r>
    </w:p>
    <w:p w14:paraId="5184401F" w14:textId="413CB280" w:rsidR="007961A9" w:rsidRPr="0025334E" w:rsidRDefault="007961A9" w:rsidP="007961A9">
      <w:pPr>
        <w:pStyle w:val="NoSpacing"/>
        <w:rPr>
          <w:rFonts w:cstheme="minorHAnsi"/>
          <w:sz w:val="24"/>
          <w:szCs w:val="24"/>
        </w:rPr>
      </w:pPr>
      <w:r w:rsidRPr="0025334E">
        <w:rPr>
          <w:rFonts w:cstheme="minorHAnsi"/>
          <w:spacing w:val="-4"/>
          <w:sz w:val="24"/>
          <w:szCs w:val="24"/>
          <w:shd w:val="clear" w:color="auto" w:fill="FFFFFF"/>
        </w:rPr>
        <w:t>Department of Chemistry, Marquette University, Milwaukee, WI</w:t>
      </w:r>
    </w:p>
    <w:bookmarkEnd w:id="2"/>
    <w:p w14:paraId="5BC0075B" w14:textId="5451AE7C" w:rsidR="000A7622" w:rsidRPr="0025334E" w:rsidRDefault="000A7622" w:rsidP="000A7622">
      <w:pPr>
        <w:rPr>
          <w:rFonts w:cstheme="minorHAnsi"/>
        </w:rPr>
      </w:pPr>
    </w:p>
    <w:p w14:paraId="698449B6" w14:textId="77777777" w:rsidR="004B0BFF" w:rsidRPr="0025334E" w:rsidRDefault="004B0BFF" w:rsidP="0025334E">
      <w:pPr>
        <w:pStyle w:val="Heading1"/>
        <w:rPr>
          <w:rFonts w:asciiTheme="minorHAnsi" w:hAnsiTheme="minorHAnsi" w:cstheme="minorHAnsi"/>
        </w:rPr>
      </w:pPr>
      <w:r w:rsidRPr="0025334E">
        <w:rPr>
          <w:rFonts w:asciiTheme="minorHAnsi" w:hAnsiTheme="minorHAnsi" w:cstheme="minorHAnsi"/>
        </w:rPr>
        <w:t>Abstract</w:t>
      </w:r>
    </w:p>
    <w:p w14:paraId="130CB6DE" w14:textId="77777777" w:rsidR="004B0BFF" w:rsidRPr="0025334E" w:rsidRDefault="004B0BFF" w:rsidP="004B0BFF">
      <w:pPr>
        <w:pStyle w:val="NormalWeb"/>
        <w:shd w:val="clear" w:color="auto" w:fill="FFFFFF"/>
        <w:spacing w:before="0" w:beforeAutospacing="0"/>
        <w:rPr>
          <w:rFonts w:asciiTheme="minorHAnsi" w:hAnsiTheme="minorHAnsi" w:cstheme="minorHAnsi"/>
          <w:spacing w:val="-5"/>
        </w:rPr>
      </w:pPr>
      <w:r w:rsidRPr="0025334E">
        <w:rPr>
          <w:rFonts w:asciiTheme="minorHAnsi" w:hAnsiTheme="minorHAnsi" w:cstheme="minorHAnsi"/>
          <w:spacing w:val="-5"/>
        </w:rPr>
        <w:t xml:space="preserve">Ionization-induced structural and conformational reorganization in various π-stacked dimers and covalently linked </w:t>
      </w:r>
      <w:proofErr w:type="spellStart"/>
      <w:r w:rsidRPr="0025334E">
        <w:rPr>
          <w:rFonts w:asciiTheme="minorHAnsi" w:hAnsiTheme="minorHAnsi" w:cstheme="minorHAnsi"/>
          <w:spacing w:val="-5"/>
        </w:rPr>
        <w:t>bichromophores</w:t>
      </w:r>
      <w:proofErr w:type="spellEnd"/>
      <w:r w:rsidRPr="0025334E">
        <w:rPr>
          <w:rFonts w:asciiTheme="minorHAnsi" w:hAnsiTheme="minorHAnsi" w:cstheme="minorHAnsi"/>
          <w:spacing w:val="-5"/>
        </w:rPr>
        <w:t xml:space="preserve"> is relevant to many processes in biological systems and functional materials. In this work, we examine the role of structural, conformational, and solvent reorganization in a set of conformationally mobile bichromophoric donors, using a combination of gas-phase photoelectron spectroscopy, solution-phase electrochemistry, and density functional theory (DFT) calculations. Photoelectron spectral analysis yields both adiabatic and vertical ionization energies (AIE/VIE), which are compared with measured (adiabatic) solution-phase oxidation potentials (</w:t>
      </w:r>
      <w:proofErr w:type="spellStart"/>
      <w:r w:rsidRPr="0025334E">
        <w:rPr>
          <w:rStyle w:val="Emphasis"/>
          <w:rFonts w:asciiTheme="minorHAnsi" w:eastAsiaTheme="majorEastAsia" w:hAnsiTheme="minorHAnsi" w:cstheme="minorHAnsi"/>
          <w:spacing w:val="-5"/>
        </w:rPr>
        <w:t>E</w:t>
      </w:r>
      <w:r w:rsidRPr="0025334E">
        <w:rPr>
          <w:rFonts w:asciiTheme="minorHAnsi" w:hAnsiTheme="minorHAnsi" w:cstheme="minorHAnsi"/>
          <w:spacing w:val="-5"/>
          <w:sz w:val="20"/>
          <w:szCs w:val="20"/>
          <w:vertAlign w:val="subscript"/>
        </w:rPr>
        <w:t>ox</w:t>
      </w:r>
      <w:proofErr w:type="spellEnd"/>
      <w:r w:rsidRPr="0025334E">
        <w:rPr>
          <w:rFonts w:asciiTheme="minorHAnsi" w:hAnsiTheme="minorHAnsi" w:cstheme="minorHAnsi"/>
          <w:spacing w:val="-5"/>
        </w:rPr>
        <w:t>). Importantly, we find a strong correlation of </w:t>
      </w:r>
      <w:proofErr w:type="spellStart"/>
      <w:r w:rsidRPr="0025334E">
        <w:rPr>
          <w:rStyle w:val="Emphasis"/>
          <w:rFonts w:asciiTheme="minorHAnsi" w:eastAsiaTheme="majorEastAsia" w:hAnsiTheme="minorHAnsi" w:cstheme="minorHAnsi"/>
          <w:spacing w:val="-5"/>
        </w:rPr>
        <w:t>E</w:t>
      </w:r>
      <w:r w:rsidRPr="0025334E">
        <w:rPr>
          <w:rFonts w:asciiTheme="minorHAnsi" w:hAnsiTheme="minorHAnsi" w:cstheme="minorHAnsi"/>
          <w:spacing w:val="-5"/>
          <w:sz w:val="20"/>
          <w:szCs w:val="20"/>
          <w:vertAlign w:val="subscript"/>
        </w:rPr>
        <w:t>ox</w:t>
      </w:r>
      <w:proofErr w:type="spellEnd"/>
      <w:r w:rsidRPr="0025334E">
        <w:rPr>
          <w:rFonts w:asciiTheme="minorHAnsi" w:hAnsiTheme="minorHAnsi" w:cstheme="minorHAnsi"/>
          <w:spacing w:val="-5"/>
        </w:rPr>
        <w:t> with AIE, but not VIE, reflecting variations in the attendant structural/conformational reorganization upon ionization. A careful comparison of the experimental data with the DFT calculations allowed us to probe the extent of charge stabilization in the gas phase and solution and to parse the reorganizational energy into its various components. This study highlights the importance of a synergistic approach of experiment and theory to study ionization-induced structural and conformational reorganization.</w:t>
      </w:r>
    </w:p>
    <w:p w14:paraId="69D01DC4" w14:textId="191C5D6D" w:rsidR="004B0BFF" w:rsidRPr="0025334E" w:rsidRDefault="004B0BFF" w:rsidP="004B0BFF">
      <w:pPr>
        <w:shd w:val="clear" w:color="auto" w:fill="FFFFFF"/>
        <w:jc w:val="center"/>
        <w:rPr>
          <w:rFonts w:cstheme="minorHAnsi"/>
          <w:spacing w:val="-5"/>
        </w:rPr>
      </w:pPr>
      <w:r w:rsidRPr="0025334E">
        <w:rPr>
          <w:rFonts w:cstheme="minorHAnsi"/>
          <w:noProof/>
          <w:spacing w:val="-5"/>
        </w:rPr>
        <w:drawing>
          <wp:inline distT="0" distB="0" distL="0" distR="0" wp14:anchorId="55C30E83" wp14:editId="0B020358">
            <wp:extent cx="2743200" cy="1042416"/>
            <wp:effectExtent l="0" t="0" r="0" b="5715"/>
            <wp:docPr id="53" name="Picture 5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abstract: Vertical vs. adiabatic ionization energies in solution and gas-phase: probing ionization-induced reorganization in conformationally-mobile bichromophoric actuators using photoelectron spectroscopy, electrochemistry and theor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1042416"/>
                    </a:xfrm>
                    <a:prstGeom prst="rect">
                      <a:avLst/>
                    </a:prstGeom>
                    <a:noFill/>
                    <a:ln>
                      <a:noFill/>
                    </a:ln>
                  </pic:spPr>
                </pic:pic>
              </a:graphicData>
            </a:graphic>
          </wp:inline>
        </w:drawing>
      </w:r>
    </w:p>
    <w:p w14:paraId="1C79BCD9" w14:textId="77777777" w:rsidR="004B0BFF" w:rsidRPr="0025334E" w:rsidRDefault="004B0BFF" w:rsidP="0025334E">
      <w:pPr>
        <w:pStyle w:val="Heading1"/>
      </w:pPr>
      <w:r w:rsidRPr="0025334E">
        <w:rPr>
          <w:rStyle w:val="section-title"/>
          <w:rFonts w:asciiTheme="minorHAnsi" w:hAnsiTheme="minorHAnsi" w:cstheme="minorHAnsi"/>
          <w:color w:val="191919"/>
          <w:spacing w:val="-7"/>
          <w:sz w:val="33"/>
          <w:szCs w:val="33"/>
        </w:rPr>
        <w:t>Introduction</w:t>
      </w:r>
    </w:p>
    <w:p w14:paraId="054E9EFC" w14:textId="77777777" w:rsidR="004B0BFF" w:rsidRPr="0025334E" w:rsidRDefault="004B0BFF" w:rsidP="004B0BFF">
      <w:pPr>
        <w:pStyle w:val="NormalWeb"/>
        <w:shd w:val="clear" w:color="auto" w:fill="FFFFFF"/>
        <w:spacing w:after="0" w:afterAutospacing="0"/>
        <w:rPr>
          <w:rFonts w:asciiTheme="minorHAnsi" w:hAnsiTheme="minorHAnsi" w:cstheme="minorHAnsi"/>
          <w:spacing w:val="-5"/>
        </w:rPr>
      </w:pPr>
      <w:r w:rsidRPr="0025334E">
        <w:rPr>
          <w:rFonts w:asciiTheme="minorHAnsi" w:hAnsiTheme="minorHAnsi" w:cstheme="minorHAnsi"/>
          <w:spacing w:val="-5"/>
        </w:rPr>
        <w:t>Charge and energy delocalization across π-stacked assemblies is of critical importance in a variety of biological systems and functional materials.</w:t>
      </w:r>
      <w:hyperlink r:id="rId11" w:anchor="cit1" w:history="1">
        <w:r w:rsidRPr="0025334E">
          <w:rPr>
            <w:rStyle w:val="Hyperlink"/>
            <w:rFonts w:asciiTheme="minorHAnsi" w:eastAsiaTheme="majorEastAsia" w:hAnsiTheme="minorHAnsi" w:cstheme="minorHAnsi"/>
            <w:color w:val="991E66"/>
            <w:spacing w:val="-5"/>
            <w:vertAlign w:val="superscript"/>
          </w:rPr>
          <w:t>1–5</w:t>
        </w:r>
      </w:hyperlink>
      <w:r w:rsidRPr="0025334E">
        <w:rPr>
          <w:rFonts w:asciiTheme="minorHAnsi" w:hAnsiTheme="minorHAnsi" w:cstheme="minorHAnsi"/>
          <w:spacing w:val="-5"/>
        </w:rPr>
        <w:t xml:space="preserve"> Various π-stacked dimers and covalently linked </w:t>
      </w:r>
      <w:proofErr w:type="spellStart"/>
      <w:r w:rsidRPr="0025334E">
        <w:rPr>
          <w:rFonts w:asciiTheme="minorHAnsi" w:hAnsiTheme="minorHAnsi" w:cstheme="minorHAnsi"/>
          <w:spacing w:val="-5"/>
        </w:rPr>
        <w:t>bichromophores</w:t>
      </w:r>
      <w:proofErr w:type="spellEnd"/>
      <w:r w:rsidRPr="0025334E">
        <w:rPr>
          <w:rFonts w:asciiTheme="minorHAnsi" w:hAnsiTheme="minorHAnsi" w:cstheme="minorHAnsi"/>
          <w:spacing w:val="-5"/>
        </w:rPr>
        <w:t xml:space="preserve"> undergo appreciable ionization-induced structural (</w:t>
      </w:r>
      <w:r w:rsidRPr="0025334E">
        <w:rPr>
          <w:rStyle w:val="Emphasis"/>
          <w:rFonts w:asciiTheme="minorHAnsi" w:eastAsiaTheme="majorEastAsia" w:hAnsiTheme="minorHAnsi" w:cstheme="minorHAnsi"/>
          <w:spacing w:val="-5"/>
        </w:rPr>
        <w:t>e.g.</w:t>
      </w:r>
      <w:r w:rsidRPr="0025334E">
        <w:rPr>
          <w:rFonts w:asciiTheme="minorHAnsi" w:hAnsiTheme="minorHAnsi" w:cstheme="minorHAnsi"/>
          <w:spacing w:val="-5"/>
        </w:rPr>
        <w:t>, bond length) changes, as well as conformational reorganization, driven by charge-resonance interactions.</w:t>
      </w:r>
      <w:hyperlink r:id="rId12" w:anchor="cit6" w:history="1">
        <w:r w:rsidRPr="0025334E">
          <w:rPr>
            <w:rStyle w:val="Hyperlink"/>
            <w:rFonts w:asciiTheme="minorHAnsi" w:eastAsiaTheme="majorEastAsia" w:hAnsiTheme="minorHAnsi" w:cstheme="minorHAnsi"/>
            <w:color w:val="991E66"/>
            <w:spacing w:val="-5"/>
            <w:vertAlign w:val="superscript"/>
          </w:rPr>
          <w:t>6–9</w:t>
        </w:r>
      </w:hyperlink>
      <w:r w:rsidRPr="0025334E">
        <w:rPr>
          <w:rFonts w:asciiTheme="minorHAnsi" w:hAnsiTheme="minorHAnsi" w:cstheme="minorHAnsi"/>
          <w:spacing w:val="-5"/>
        </w:rPr>
        <w:t xml:space="preserve"> Past studies have established that upon ionization, π-stacked assemblies adopt a </w:t>
      </w:r>
      <w:proofErr w:type="spellStart"/>
      <w:r w:rsidRPr="0025334E">
        <w:rPr>
          <w:rFonts w:asciiTheme="minorHAnsi" w:hAnsiTheme="minorHAnsi" w:cstheme="minorHAnsi"/>
          <w:spacing w:val="-5"/>
        </w:rPr>
        <w:t>cofacial</w:t>
      </w:r>
      <w:proofErr w:type="spellEnd"/>
      <w:r w:rsidRPr="0025334E">
        <w:rPr>
          <w:rFonts w:asciiTheme="minorHAnsi" w:hAnsiTheme="minorHAnsi" w:cstheme="minorHAnsi"/>
          <w:spacing w:val="-5"/>
        </w:rPr>
        <w:t xml:space="preserve"> arrangement, where through-space orbital overlap and interchromophoric electronic coupling are maximal. While the enthalpy gain of a complete </w:t>
      </w:r>
      <w:proofErr w:type="spellStart"/>
      <w:r w:rsidRPr="0025334E">
        <w:rPr>
          <w:rFonts w:asciiTheme="minorHAnsi" w:hAnsiTheme="minorHAnsi" w:cstheme="minorHAnsi"/>
          <w:spacing w:val="-5"/>
        </w:rPr>
        <w:t>cofacial</w:t>
      </w:r>
      <w:proofErr w:type="spellEnd"/>
      <w:r w:rsidRPr="0025334E">
        <w:rPr>
          <w:rFonts w:asciiTheme="minorHAnsi" w:hAnsiTheme="minorHAnsi" w:cstheme="minorHAnsi"/>
          <w:spacing w:val="-5"/>
        </w:rPr>
        <w:t xml:space="preserve"> approach of two aromatic systems may reach </w:t>
      </w:r>
      <w:r w:rsidRPr="0025334E">
        <w:rPr>
          <w:rFonts w:ascii="Cambria Math" w:hAnsi="Cambria Math" w:cs="Cambria Math"/>
          <w:spacing w:val="-5"/>
        </w:rPr>
        <w:t>∼</w:t>
      </w:r>
      <w:r w:rsidRPr="0025334E">
        <w:rPr>
          <w:rFonts w:asciiTheme="minorHAnsi" w:hAnsiTheme="minorHAnsi" w:cstheme="minorHAnsi"/>
          <w:spacing w:val="-5"/>
        </w:rPr>
        <w:t>0.35 V,</w:t>
      </w:r>
      <w:hyperlink r:id="rId13" w:anchor="cit7" w:history="1">
        <w:r w:rsidRPr="0025334E">
          <w:rPr>
            <w:rStyle w:val="Hyperlink"/>
            <w:rFonts w:asciiTheme="minorHAnsi" w:eastAsiaTheme="majorEastAsia" w:hAnsiTheme="minorHAnsi" w:cstheme="minorHAnsi"/>
            <w:color w:val="991E66"/>
            <w:spacing w:val="-5"/>
            <w:vertAlign w:val="superscript"/>
          </w:rPr>
          <w:t>7</w:t>
        </w:r>
      </w:hyperlink>
      <w:r w:rsidRPr="0025334E">
        <w:rPr>
          <w:rFonts w:asciiTheme="minorHAnsi" w:hAnsiTheme="minorHAnsi" w:cstheme="minorHAnsi"/>
          <w:spacing w:val="-5"/>
        </w:rPr>
        <w:t> the overall free energy gain depends significantly on the linker connecting the two chromophores as well as the surrounding environment (</w:t>
      </w:r>
      <w:r w:rsidRPr="0025334E">
        <w:rPr>
          <w:rStyle w:val="Emphasis"/>
          <w:rFonts w:asciiTheme="minorHAnsi" w:eastAsiaTheme="majorEastAsia" w:hAnsiTheme="minorHAnsi" w:cstheme="minorHAnsi"/>
          <w:spacing w:val="-5"/>
        </w:rPr>
        <w:t>i.e.</w:t>
      </w:r>
      <w:r w:rsidRPr="0025334E">
        <w:rPr>
          <w:rFonts w:asciiTheme="minorHAnsi" w:hAnsiTheme="minorHAnsi" w:cstheme="minorHAnsi"/>
          <w:spacing w:val="-5"/>
        </w:rPr>
        <w:t>, solvent). In this context, an oxidation-induced molecular actuation,</w:t>
      </w:r>
      <w:hyperlink r:id="rId14" w:anchor="cit10" w:history="1">
        <w:r w:rsidRPr="0025334E">
          <w:rPr>
            <w:rStyle w:val="Hyperlink"/>
            <w:rFonts w:asciiTheme="minorHAnsi" w:eastAsiaTheme="majorEastAsia" w:hAnsiTheme="minorHAnsi" w:cstheme="minorHAnsi"/>
            <w:color w:val="991E66"/>
            <w:spacing w:val="-5"/>
            <w:vertAlign w:val="superscript"/>
          </w:rPr>
          <w:t>10–12</w:t>
        </w:r>
      </w:hyperlink>
      <w:r w:rsidRPr="0025334E">
        <w:rPr>
          <w:rStyle w:val="Emphasis"/>
          <w:rFonts w:asciiTheme="minorHAnsi" w:eastAsiaTheme="majorEastAsia" w:hAnsiTheme="minorHAnsi" w:cstheme="minorHAnsi"/>
          <w:spacing w:val="-5"/>
        </w:rPr>
        <w:t>i.e.</w:t>
      </w:r>
      <w:r w:rsidRPr="0025334E">
        <w:rPr>
          <w:rFonts w:asciiTheme="minorHAnsi" w:hAnsiTheme="minorHAnsi" w:cstheme="minorHAnsi"/>
          <w:spacing w:val="-5"/>
        </w:rPr>
        <w:t>, reversible change in structure, conformation and/or physical properties in response to external stimuli,</w:t>
      </w:r>
      <w:hyperlink r:id="rId15" w:anchor="cit13" w:history="1">
        <w:r w:rsidRPr="0025334E">
          <w:rPr>
            <w:rStyle w:val="Hyperlink"/>
            <w:rFonts w:asciiTheme="minorHAnsi" w:eastAsiaTheme="majorEastAsia" w:hAnsiTheme="minorHAnsi" w:cstheme="minorHAnsi"/>
            <w:color w:val="991E66"/>
            <w:spacing w:val="-5"/>
            <w:vertAlign w:val="superscript"/>
          </w:rPr>
          <w:t>13–15</w:t>
        </w:r>
      </w:hyperlink>
      <w:r w:rsidRPr="0025334E">
        <w:rPr>
          <w:rFonts w:asciiTheme="minorHAnsi" w:hAnsiTheme="minorHAnsi" w:cstheme="minorHAnsi"/>
          <w:spacing w:val="-5"/>
        </w:rPr>
        <w:t> represents an ideal case to probe the extent of cationic charge (</w:t>
      </w:r>
      <w:r w:rsidRPr="0025334E">
        <w:rPr>
          <w:rStyle w:val="Emphasis"/>
          <w:rFonts w:asciiTheme="minorHAnsi" w:eastAsiaTheme="majorEastAsia" w:hAnsiTheme="minorHAnsi" w:cstheme="minorHAnsi"/>
          <w:spacing w:val="-5"/>
        </w:rPr>
        <w:t>i.e.</w:t>
      </w:r>
      <w:r w:rsidRPr="0025334E">
        <w:rPr>
          <w:rFonts w:asciiTheme="minorHAnsi" w:hAnsiTheme="minorHAnsi" w:cstheme="minorHAnsi"/>
          <w:spacing w:val="-5"/>
        </w:rPr>
        <w:t>, hole) stabilization and structural/conformational reorganization in a set of model bichromophoric electron donors.</w:t>
      </w:r>
    </w:p>
    <w:p w14:paraId="3435EE55" w14:textId="019EE475" w:rsidR="004B0BFF" w:rsidRDefault="004B0BFF" w:rsidP="004B0BFF">
      <w:pPr>
        <w:pStyle w:val="NormalWeb"/>
        <w:shd w:val="clear" w:color="auto" w:fill="FFFFFF"/>
        <w:spacing w:before="0" w:beforeAutospacing="0" w:after="0" w:afterAutospacing="0"/>
        <w:ind w:firstLine="240"/>
        <w:rPr>
          <w:rFonts w:asciiTheme="minorHAnsi" w:hAnsiTheme="minorHAnsi" w:cstheme="minorHAnsi"/>
          <w:spacing w:val="-5"/>
        </w:rPr>
      </w:pPr>
      <w:r w:rsidRPr="0025334E">
        <w:rPr>
          <w:rFonts w:asciiTheme="minorHAnsi" w:hAnsiTheme="minorHAnsi" w:cstheme="minorHAnsi"/>
          <w:spacing w:val="-5"/>
        </w:rPr>
        <w:t>As illustrated with a model “clam-like” donor in </w:t>
      </w:r>
      <w:hyperlink r:id="rId16" w:anchor="fig1" w:history="1">
        <w:r w:rsidRPr="0025334E">
          <w:rPr>
            <w:rStyle w:val="Hyperlink"/>
            <w:rFonts w:asciiTheme="minorHAnsi" w:eastAsiaTheme="majorEastAsia" w:hAnsiTheme="minorHAnsi" w:cstheme="minorHAnsi"/>
            <w:color w:val="991E66"/>
            <w:spacing w:val="-5"/>
          </w:rPr>
          <w:t>Fig. 1</w:t>
        </w:r>
      </w:hyperlink>
      <w:r w:rsidRPr="0025334E">
        <w:rPr>
          <w:rFonts w:asciiTheme="minorHAnsi" w:hAnsiTheme="minorHAnsi" w:cstheme="minorHAnsi"/>
          <w:spacing w:val="-5"/>
        </w:rPr>
        <w:t>, following Koopman's theorem and the Franck–Condon principle, initial vertical ionization from the HOMO occurs rapidly on the timescale of nuclear motion, producing a highly vibrationally excited cation radical in the D</w:t>
      </w:r>
      <w:r w:rsidRPr="0025334E">
        <w:rPr>
          <w:rFonts w:asciiTheme="minorHAnsi" w:hAnsiTheme="minorHAnsi" w:cstheme="minorHAnsi"/>
          <w:spacing w:val="-5"/>
          <w:vertAlign w:val="subscript"/>
        </w:rPr>
        <w:t>0</w:t>
      </w:r>
      <w:r w:rsidRPr="0025334E">
        <w:rPr>
          <w:rFonts w:asciiTheme="minorHAnsi" w:hAnsiTheme="minorHAnsi" w:cstheme="minorHAnsi"/>
          <w:spacing w:val="-5"/>
        </w:rPr>
        <w:t xml:space="preserve"> state, which reorganizes on a timescale of </w:t>
      </w:r>
      <w:proofErr w:type="spellStart"/>
      <w:r w:rsidRPr="0025334E">
        <w:rPr>
          <w:rFonts w:asciiTheme="minorHAnsi" w:hAnsiTheme="minorHAnsi" w:cstheme="minorHAnsi"/>
          <w:spacing w:val="-5"/>
        </w:rPr>
        <w:t>ps</w:t>
      </w:r>
      <w:proofErr w:type="spellEnd"/>
      <w:r w:rsidRPr="0025334E">
        <w:rPr>
          <w:rFonts w:asciiTheme="minorHAnsi" w:hAnsiTheme="minorHAnsi" w:cstheme="minorHAnsi"/>
          <w:spacing w:val="-5"/>
        </w:rPr>
        <w:t>–μs.</w:t>
      </w:r>
      <w:hyperlink r:id="rId17" w:anchor="cit10" w:history="1">
        <w:r w:rsidRPr="0025334E">
          <w:rPr>
            <w:rStyle w:val="Hyperlink"/>
            <w:rFonts w:asciiTheme="minorHAnsi" w:eastAsiaTheme="majorEastAsia" w:hAnsiTheme="minorHAnsi" w:cstheme="minorHAnsi"/>
            <w:color w:val="991E66"/>
            <w:spacing w:val="-5"/>
            <w:vertAlign w:val="superscript"/>
          </w:rPr>
          <w:t>10</w:t>
        </w:r>
      </w:hyperlink>
      <w:r w:rsidRPr="0025334E">
        <w:rPr>
          <w:rFonts w:asciiTheme="minorHAnsi" w:hAnsiTheme="minorHAnsi" w:cstheme="minorHAnsi"/>
          <w:spacing w:val="-5"/>
        </w:rPr>
        <w:t xml:space="preserve"> In solution, the solvent serves as a sink of the initial vibrational excitation, and reorganizes to accommodate the relaxed solute. Fundamentally, we seek to understand the dynamics of </w:t>
      </w:r>
      <w:r w:rsidRPr="0025334E">
        <w:rPr>
          <w:rFonts w:asciiTheme="minorHAnsi" w:hAnsiTheme="minorHAnsi" w:cstheme="minorHAnsi"/>
          <w:spacing w:val="-5"/>
        </w:rPr>
        <w:lastRenderedPageBreak/>
        <w:t xml:space="preserve">structural, conformational, and solvent reorganization, which accompanies ionization in a set of </w:t>
      </w:r>
      <w:proofErr w:type="gramStart"/>
      <w:r w:rsidRPr="0025334E">
        <w:rPr>
          <w:rFonts w:asciiTheme="minorHAnsi" w:hAnsiTheme="minorHAnsi" w:cstheme="minorHAnsi"/>
          <w:spacing w:val="-5"/>
        </w:rPr>
        <w:t>model</w:t>
      </w:r>
      <w:proofErr w:type="gramEnd"/>
      <w:r w:rsidRPr="0025334E">
        <w:rPr>
          <w:rFonts w:asciiTheme="minorHAnsi" w:hAnsiTheme="minorHAnsi" w:cstheme="minorHAnsi"/>
          <w:spacing w:val="-5"/>
        </w:rPr>
        <w:t xml:space="preserve"> bichromophoric electron donors.</w:t>
      </w:r>
    </w:p>
    <w:p w14:paraId="47AF0052" w14:textId="77777777" w:rsidR="00632AFE" w:rsidRPr="0025334E" w:rsidRDefault="00632AFE" w:rsidP="004B0BFF">
      <w:pPr>
        <w:pStyle w:val="NormalWeb"/>
        <w:shd w:val="clear" w:color="auto" w:fill="FFFFFF"/>
        <w:spacing w:before="0" w:beforeAutospacing="0" w:after="0" w:afterAutospacing="0"/>
        <w:ind w:firstLine="240"/>
        <w:rPr>
          <w:rFonts w:asciiTheme="minorHAnsi" w:hAnsiTheme="minorHAnsi" w:cstheme="minorHAnsi"/>
          <w:spacing w:val="-5"/>
        </w:rPr>
      </w:pPr>
    </w:p>
    <w:p w14:paraId="678BEFA6" w14:textId="102B3972" w:rsidR="00B62673" w:rsidRDefault="00632AFE" w:rsidP="00632AFE">
      <w:pPr>
        <w:shd w:val="clear" w:color="auto" w:fill="FFFFFF"/>
        <w:spacing w:after="0"/>
        <w:rPr>
          <w:rStyle w:val="h--heading4"/>
          <w:rFonts w:cstheme="minorHAnsi"/>
          <w:b/>
          <w:bCs/>
          <w:color w:val="191919"/>
          <w:spacing w:val="-7"/>
        </w:rPr>
      </w:pPr>
      <w:r>
        <w:rPr>
          <w:noProof/>
        </w:rPr>
        <w:drawing>
          <wp:inline distT="0" distB="0" distL="0" distR="0" wp14:anchorId="654778F1" wp14:editId="3B8893E7">
            <wp:extent cx="3591560" cy="1373505"/>
            <wp:effectExtent l="0" t="0" r="8890" b="0"/>
            <wp:docPr id="59" name="Picture 59" descr="Fig. 1 Illustration of the actuation in a model bichromophoric donor initiated by ionization. The panel at right illustrates the ground (S0) and ionized (D0) potential energy surfa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91560" cy="1373505"/>
                    </a:xfrm>
                    <a:prstGeom prst="rect">
                      <a:avLst/>
                    </a:prstGeom>
                    <a:noFill/>
                    <a:ln>
                      <a:noFill/>
                    </a:ln>
                  </pic:spPr>
                </pic:pic>
              </a:graphicData>
            </a:graphic>
          </wp:inline>
        </w:drawing>
      </w:r>
    </w:p>
    <w:p w14:paraId="140502FB" w14:textId="3FC444B0" w:rsidR="004B0BFF" w:rsidRPr="0025334E" w:rsidRDefault="004B0BFF" w:rsidP="004B0BFF">
      <w:pPr>
        <w:shd w:val="clear" w:color="auto" w:fill="FFFFFF"/>
        <w:rPr>
          <w:rFonts w:cstheme="minorHAnsi"/>
          <w:spacing w:val="-5"/>
        </w:rPr>
      </w:pPr>
      <w:r w:rsidRPr="0025334E">
        <w:rPr>
          <w:rStyle w:val="h--heading4"/>
          <w:rFonts w:cstheme="minorHAnsi"/>
          <w:b/>
          <w:bCs/>
          <w:color w:val="191919"/>
          <w:spacing w:val="-7"/>
        </w:rPr>
        <w:t>Fig. 1</w:t>
      </w:r>
      <w:r w:rsidRPr="0025334E">
        <w:rPr>
          <w:rFonts w:cstheme="minorHAnsi"/>
          <w:spacing w:val="-5"/>
        </w:rPr>
        <w:t> Illustration of the actuation in a model bichromophoric donor initiated by ionization. The panel at right illustrates the ground (S</w:t>
      </w:r>
      <w:r w:rsidRPr="0025334E">
        <w:rPr>
          <w:rFonts w:cstheme="minorHAnsi"/>
          <w:spacing w:val="-5"/>
          <w:vertAlign w:val="subscript"/>
        </w:rPr>
        <w:t>0</w:t>
      </w:r>
      <w:r w:rsidRPr="0025334E">
        <w:rPr>
          <w:rFonts w:cstheme="minorHAnsi"/>
          <w:spacing w:val="-5"/>
        </w:rPr>
        <w:t>) and ionized (D</w:t>
      </w:r>
      <w:r w:rsidRPr="0025334E">
        <w:rPr>
          <w:rFonts w:cstheme="minorHAnsi"/>
          <w:spacing w:val="-5"/>
          <w:vertAlign w:val="subscript"/>
        </w:rPr>
        <w:t>0</w:t>
      </w:r>
      <w:r w:rsidRPr="0025334E">
        <w:rPr>
          <w:rFonts w:cstheme="minorHAnsi"/>
          <w:spacing w:val="-5"/>
        </w:rPr>
        <w:t>) potential energy surfaces.</w:t>
      </w:r>
    </w:p>
    <w:p w14:paraId="1F501155" w14:textId="77777777" w:rsidR="004B0BFF" w:rsidRPr="0025334E" w:rsidRDefault="004B0BFF" w:rsidP="004B0BFF">
      <w:pPr>
        <w:pStyle w:val="NormalWeb"/>
        <w:shd w:val="clear" w:color="auto" w:fill="FFFFFF"/>
        <w:spacing w:after="0" w:afterAutospacing="0"/>
        <w:rPr>
          <w:rFonts w:asciiTheme="minorHAnsi" w:hAnsiTheme="minorHAnsi" w:cstheme="minorHAnsi"/>
          <w:spacing w:val="-5"/>
        </w:rPr>
      </w:pPr>
      <w:r w:rsidRPr="0025334E">
        <w:rPr>
          <w:rFonts w:asciiTheme="minorHAnsi" w:hAnsiTheme="minorHAnsi" w:cstheme="minorHAnsi"/>
          <w:spacing w:val="-5"/>
        </w:rPr>
        <w:t>The solution phase oxidation potential (</w:t>
      </w:r>
      <w:proofErr w:type="spellStart"/>
      <w:r w:rsidRPr="0025334E">
        <w:rPr>
          <w:rStyle w:val="Emphasis"/>
          <w:rFonts w:asciiTheme="minorHAnsi" w:eastAsiaTheme="majorEastAsia" w:hAnsiTheme="minorHAnsi" w:cstheme="minorHAnsi"/>
          <w:spacing w:val="-5"/>
        </w:rPr>
        <w:t>E</w:t>
      </w:r>
      <w:r w:rsidRPr="0025334E">
        <w:rPr>
          <w:rFonts w:asciiTheme="minorHAnsi" w:hAnsiTheme="minorHAnsi" w:cstheme="minorHAnsi"/>
          <w:spacing w:val="-5"/>
          <w:vertAlign w:val="subscript"/>
        </w:rPr>
        <w:t>ox</w:t>
      </w:r>
      <w:proofErr w:type="spellEnd"/>
      <w:r w:rsidRPr="0025334E">
        <w:rPr>
          <w:rFonts w:asciiTheme="minorHAnsi" w:hAnsiTheme="minorHAnsi" w:cstheme="minorHAnsi"/>
          <w:spacing w:val="-5"/>
        </w:rPr>
        <w:t>) and gas-phase adiabatic ionization energy (AIE) are expected to linearly correlate with the gas-phase vertical ionization energy (VIE) in a set of structurally similar molecules, bearing similar ionization-induced reorganization.</w:t>
      </w:r>
      <w:hyperlink r:id="rId19" w:anchor="cit16" w:history="1">
        <w:r w:rsidRPr="0025334E">
          <w:rPr>
            <w:rStyle w:val="Hyperlink"/>
            <w:rFonts w:asciiTheme="minorHAnsi" w:eastAsiaTheme="majorEastAsia" w:hAnsiTheme="minorHAnsi" w:cstheme="minorHAnsi"/>
            <w:color w:val="991E66"/>
            <w:spacing w:val="-5"/>
            <w:vertAlign w:val="superscript"/>
          </w:rPr>
          <w:t>16–18</w:t>
        </w:r>
      </w:hyperlink>
      <w:r w:rsidRPr="0025334E">
        <w:rPr>
          <w:rFonts w:asciiTheme="minorHAnsi" w:hAnsiTheme="minorHAnsi" w:cstheme="minorHAnsi"/>
          <w:spacing w:val="-5"/>
        </w:rPr>
        <w:t> A linear correlation with near-unity slope further evidences a similar degree of solvent reorganization.</w:t>
      </w:r>
      <w:hyperlink r:id="rId20" w:anchor="cit16" w:history="1">
        <w:r w:rsidRPr="0025334E">
          <w:rPr>
            <w:rStyle w:val="Hyperlink"/>
            <w:rFonts w:asciiTheme="minorHAnsi" w:eastAsiaTheme="majorEastAsia" w:hAnsiTheme="minorHAnsi" w:cstheme="minorHAnsi"/>
            <w:color w:val="991E66"/>
            <w:spacing w:val="-5"/>
            <w:vertAlign w:val="superscript"/>
          </w:rPr>
          <w:t>16,17</w:t>
        </w:r>
      </w:hyperlink>
      <w:r w:rsidRPr="0025334E">
        <w:rPr>
          <w:rFonts w:asciiTheme="minorHAnsi" w:hAnsiTheme="minorHAnsi" w:cstheme="minorHAnsi"/>
          <w:spacing w:val="-5"/>
        </w:rPr>
        <w:t> However, in cases of significant structural and/or conformational reorganization, one cannot </w:t>
      </w:r>
      <w:r w:rsidRPr="0025334E">
        <w:rPr>
          <w:rStyle w:val="Emphasis"/>
          <w:rFonts w:asciiTheme="minorHAnsi" w:eastAsiaTheme="majorEastAsia" w:hAnsiTheme="minorHAnsi" w:cstheme="minorHAnsi"/>
          <w:spacing w:val="-5"/>
        </w:rPr>
        <w:t>a priori</w:t>
      </w:r>
      <w:r w:rsidRPr="0025334E">
        <w:rPr>
          <w:rFonts w:asciiTheme="minorHAnsi" w:hAnsiTheme="minorHAnsi" w:cstheme="minorHAnsi"/>
          <w:spacing w:val="-5"/>
        </w:rPr>
        <w:t> expect a linear relationship between these variables – indeed, it is not obvious how these will correlate.</w:t>
      </w:r>
    </w:p>
    <w:p w14:paraId="5DB59B8E" w14:textId="77777777" w:rsidR="004B0BFF" w:rsidRPr="0025334E" w:rsidRDefault="004B0BFF" w:rsidP="004B0BFF">
      <w:pPr>
        <w:pStyle w:val="NormalWeb"/>
        <w:shd w:val="clear" w:color="auto" w:fill="FFFFFF"/>
        <w:spacing w:before="0" w:beforeAutospacing="0" w:after="0" w:afterAutospacing="0"/>
        <w:ind w:firstLine="240"/>
        <w:rPr>
          <w:rFonts w:asciiTheme="minorHAnsi" w:hAnsiTheme="minorHAnsi" w:cstheme="minorHAnsi"/>
          <w:spacing w:val="-5"/>
        </w:rPr>
      </w:pPr>
      <w:r w:rsidRPr="0025334E">
        <w:rPr>
          <w:rFonts w:asciiTheme="minorHAnsi" w:hAnsiTheme="minorHAnsi" w:cstheme="minorHAnsi"/>
          <w:spacing w:val="-5"/>
        </w:rPr>
        <w:t>In this manuscript, we examine a set of bichromophoric actuators and their model compounds using photoelectron spectroscopy, electrochemistry, and DFT calculations, to probe the correlation between adiabatic and vertical IEs measured in the gas-phase and adiabatic </w:t>
      </w:r>
      <w:proofErr w:type="spellStart"/>
      <w:r w:rsidRPr="0025334E">
        <w:rPr>
          <w:rStyle w:val="Emphasis"/>
          <w:rFonts w:asciiTheme="minorHAnsi" w:eastAsiaTheme="majorEastAsia" w:hAnsiTheme="minorHAnsi" w:cstheme="minorHAnsi"/>
          <w:spacing w:val="-5"/>
        </w:rPr>
        <w:t>E</w:t>
      </w:r>
      <w:r w:rsidRPr="0025334E">
        <w:rPr>
          <w:rFonts w:asciiTheme="minorHAnsi" w:hAnsiTheme="minorHAnsi" w:cstheme="minorHAnsi"/>
          <w:spacing w:val="-5"/>
          <w:vertAlign w:val="subscript"/>
        </w:rPr>
        <w:t>ox</w:t>
      </w:r>
      <w:proofErr w:type="spellEnd"/>
      <w:r w:rsidRPr="0025334E">
        <w:rPr>
          <w:rFonts w:asciiTheme="minorHAnsi" w:hAnsiTheme="minorHAnsi" w:cstheme="minorHAnsi"/>
          <w:spacing w:val="-5"/>
        </w:rPr>
        <w:t> in solution. Importantly, we find that the AIEs are linearly correlated with </w:t>
      </w:r>
      <w:proofErr w:type="spellStart"/>
      <w:r w:rsidRPr="0025334E">
        <w:rPr>
          <w:rStyle w:val="Emphasis"/>
          <w:rFonts w:asciiTheme="minorHAnsi" w:eastAsiaTheme="majorEastAsia" w:hAnsiTheme="minorHAnsi" w:cstheme="minorHAnsi"/>
          <w:spacing w:val="-5"/>
        </w:rPr>
        <w:t>E</w:t>
      </w:r>
      <w:r w:rsidRPr="0025334E">
        <w:rPr>
          <w:rFonts w:asciiTheme="minorHAnsi" w:hAnsiTheme="minorHAnsi" w:cstheme="minorHAnsi"/>
          <w:spacing w:val="-5"/>
          <w:vertAlign w:val="subscript"/>
        </w:rPr>
        <w:t>ox</w:t>
      </w:r>
      <w:proofErr w:type="spellEnd"/>
      <w:r w:rsidRPr="0025334E">
        <w:rPr>
          <w:rFonts w:asciiTheme="minorHAnsi" w:hAnsiTheme="minorHAnsi" w:cstheme="minorHAnsi"/>
          <w:spacing w:val="-5"/>
        </w:rPr>
        <w:t>, while the VIEs are not well correlated, as the reorganization energy is species dependent. The variety of donors employed allows us to parse the reorganization energy into its various components, providing deeper insight into the mechanisms of actuation in these prototypical systems.</w:t>
      </w:r>
    </w:p>
    <w:p w14:paraId="1B1D80D6" w14:textId="77777777" w:rsidR="004B0BFF" w:rsidRPr="0025334E" w:rsidRDefault="004B0BFF" w:rsidP="00632AFE">
      <w:pPr>
        <w:pStyle w:val="Heading1"/>
      </w:pPr>
      <w:r w:rsidRPr="0025334E">
        <w:rPr>
          <w:rStyle w:val="section-title"/>
          <w:rFonts w:asciiTheme="minorHAnsi" w:hAnsiTheme="minorHAnsi" w:cstheme="minorHAnsi"/>
          <w:color w:val="191919"/>
          <w:spacing w:val="-7"/>
          <w:sz w:val="33"/>
          <w:szCs w:val="33"/>
        </w:rPr>
        <w:t>Results and discussion</w:t>
      </w:r>
    </w:p>
    <w:p w14:paraId="55E45AF2" w14:textId="77777777" w:rsidR="004B0BFF" w:rsidRPr="0025334E" w:rsidRDefault="004B0BFF" w:rsidP="00E2347D">
      <w:pPr>
        <w:pStyle w:val="Heading2"/>
        <w:rPr>
          <w:sz w:val="27"/>
          <w:szCs w:val="27"/>
        </w:rPr>
      </w:pPr>
      <w:r w:rsidRPr="0025334E">
        <w:rPr>
          <w:rStyle w:val="section-title"/>
          <w:rFonts w:asciiTheme="minorHAnsi" w:hAnsiTheme="minorHAnsi" w:cstheme="minorHAnsi"/>
          <w:color w:val="191919"/>
          <w:spacing w:val="-7"/>
        </w:rPr>
        <w:t>Synthesis</w:t>
      </w:r>
    </w:p>
    <w:p w14:paraId="3481E183" w14:textId="133E0EF3" w:rsidR="004B0BFF" w:rsidRDefault="004B0BFF" w:rsidP="004B0BFF">
      <w:pPr>
        <w:pStyle w:val="NormalWeb"/>
        <w:shd w:val="clear" w:color="auto" w:fill="FFFFFF"/>
        <w:spacing w:after="0" w:afterAutospacing="0"/>
        <w:rPr>
          <w:rFonts w:asciiTheme="minorHAnsi" w:hAnsiTheme="minorHAnsi" w:cstheme="minorHAnsi"/>
          <w:spacing w:val="-5"/>
        </w:rPr>
      </w:pPr>
      <w:r w:rsidRPr="0025334E">
        <w:rPr>
          <w:rFonts w:asciiTheme="minorHAnsi" w:hAnsiTheme="minorHAnsi" w:cstheme="minorHAnsi"/>
          <w:spacing w:val="-5"/>
        </w:rPr>
        <w:t>A series of similar veratrole- and acetal-based actuator molecules (</w:t>
      </w:r>
      <w:r w:rsidRPr="0025334E">
        <w:rPr>
          <w:rStyle w:val="Strong"/>
          <w:rFonts w:asciiTheme="minorHAnsi" w:hAnsiTheme="minorHAnsi" w:cstheme="minorHAnsi"/>
          <w:spacing w:val="-5"/>
        </w:rPr>
        <w:t>V2</w:t>
      </w:r>
      <w:r w:rsidRPr="0025334E">
        <w:rPr>
          <w:rFonts w:asciiTheme="minorHAnsi" w:hAnsiTheme="minorHAnsi" w:cstheme="minorHAnsi"/>
          <w:spacing w:val="-5"/>
        </w:rPr>
        <w:t>, </w:t>
      </w:r>
      <w:r w:rsidRPr="0025334E">
        <w:rPr>
          <w:rStyle w:val="Strong"/>
          <w:rFonts w:asciiTheme="minorHAnsi" w:hAnsiTheme="minorHAnsi" w:cstheme="minorHAnsi"/>
          <w:spacing w:val="-5"/>
        </w:rPr>
        <w:t>V2</w:t>
      </w:r>
      <w:r w:rsidRPr="0025334E">
        <w:rPr>
          <w:rFonts w:asciiTheme="minorHAnsi" w:hAnsiTheme="minorHAnsi" w:cstheme="minorHAnsi"/>
          <w:spacing w:val="-5"/>
        </w:rPr>
        <w:t>-locked, </w:t>
      </w:r>
      <w:r w:rsidRPr="0025334E">
        <w:rPr>
          <w:rStyle w:val="Strong"/>
          <w:rFonts w:asciiTheme="minorHAnsi" w:hAnsiTheme="minorHAnsi" w:cstheme="minorHAnsi"/>
          <w:spacing w:val="-5"/>
        </w:rPr>
        <w:t>Ac2</w:t>
      </w:r>
      <w:r w:rsidRPr="0025334E">
        <w:rPr>
          <w:rFonts w:asciiTheme="minorHAnsi" w:hAnsiTheme="minorHAnsi" w:cstheme="minorHAnsi"/>
          <w:spacing w:val="-5"/>
        </w:rPr>
        <w:t>-C2H4, </w:t>
      </w:r>
      <w:r w:rsidRPr="0025334E">
        <w:rPr>
          <w:rStyle w:val="Strong"/>
          <w:rFonts w:asciiTheme="minorHAnsi" w:hAnsiTheme="minorHAnsi" w:cstheme="minorHAnsi"/>
          <w:spacing w:val="-5"/>
        </w:rPr>
        <w:t>Ac2</w:t>
      </w:r>
      <w:r w:rsidRPr="0025334E">
        <w:rPr>
          <w:rFonts w:asciiTheme="minorHAnsi" w:hAnsiTheme="minorHAnsi" w:cstheme="minorHAnsi"/>
          <w:spacing w:val="-5"/>
        </w:rPr>
        <w:t>-CH2) and model compound </w:t>
      </w:r>
      <w:r w:rsidRPr="0025334E">
        <w:rPr>
          <w:rStyle w:val="Strong"/>
          <w:rFonts w:asciiTheme="minorHAnsi" w:hAnsiTheme="minorHAnsi" w:cstheme="minorHAnsi"/>
          <w:spacing w:val="-5"/>
        </w:rPr>
        <w:t>V1</w:t>
      </w:r>
      <w:r w:rsidRPr="0025334E">
        <w:rPr>
          <w:rFonts w:asciiTheme="minorHAnsi" w:hAnsiTheme="minorHAnsi" w:cstheme="minorHAnsi"/>
          <w:spacing w:val="-5"/>
        </w:rPr>
        <w:t> were synthesized from previously reported procedures</w:t>
      </w:r>
      <w:hyperlink r:id="rId21" w:anchor="cit10" w:history="1">
        <w:r w:rsidRPr="0025334E">
          <w:rPr>
            <w:rStyle w:val="Hyperlink"/>
            <w:rFonts w:asciiTheme="minorHAnsi" w:eastAsiaTheme="majorEastAsia" w:hAnsiTheme="minorHAnsi" w:cstheme="minorHAnsi"/>
            <w:color w:val="991E66"/>
            <w:spacing w:val="-5"/>
            <w:vertAlign w:val="superscript"/>
          </w:rPr>
          <w:t>10–12</w:t>
        </w:r>
      </w:hyperlink>
      <w:r w:rsidRPr="0025334E">
        <w:rPr>
          <w:rFonts w:asciiTheme="minorHAnsi" w:hAnsiTheme="minorHAnsi" w:cstheme="minorHAnsi"/>
          <w:spacing w:val="-5"/>
        </w:rPr>
        <w:t> and were fully characterized by </w:t>
      </w:r>
      <w:r w:rsidRPr="0025334E">
        <w:rPr>
          <w:rFonts w:asciiTheme="minorHAnsi" w:hAnsiTheme="minorHAnsi" w:cstheme="minorHAnsi"/>
          <w:spacing w:val="-5"/>
          <w:vertAlign w:val="superscript"/>
        </w:rPr>
        <w:t>1</w:t>
      </w:r>
      <w:r w:rsidRPr="0025334E">
        <w:rPr>
          <w:rFonts w:asciiTheme="minorHAnsi" w:hAnsiTheme="minorHAnsi" w:cstheme="minorHAnsi"/>
          <w:spacing w:val="-5"/>
        </w:rPr>
        <w:t>H/</w:t>
      </w:r>
      <w:r w:rsidRPr="0025334E">
        <w:rPr>
          <w:rFonts w:asciiTheme="minorHAnsi" w:hAnsiTheme="minorHAnsi" w:cstheme="minorHAnsi"/>
          <w:spacing w:val="-5"/>
          <w:vertAlign w:val="superscript"/>
        </w:rPr>
        <w:t>13</w:t>
      </w:r>
      <w:r w:rsidRPr="0025334E">
        <w:rPr>
          <w:rFonts w:asciiTheme="minorHAnsi" w:hAnsiTheme="minorHAnsi" w:cstheme="minorHAnsi"/>
          <w:spacing w:val="-5"/>
        </w:rPr>
        <w:t>C NMR spectroscopy. Gas-phase photoelectron spectra of all compounds were recorded at the Center for Gas-Phase Electron Spectroscopy at The University of Arizona.</w:t>
      </w:r>
    </w:p>
    <w:p w14:paraId="4ED04835" w14:textId="77777777" w:rsidR="00E2347D" w:rsidRPr="0025334E" w:rsidRDefault="00E2347D" w:rsidP="004B0BFF">
      <w:pPr>
        <w:pStyle w:val="NormalWeb"/>
        <w:shd w:val="clear" w:color="auto" w:fill="FFFFFF"/>
        <w:spacing w:after="0" w:afterAutospacing="0"/>
        <w:rPr>
          <w:rFonts w:asciiTheme="minorHAnsi" w:hAnsiTheme="minorHAnsi" w:cstheme="minorHAnsi"/>
          <w:spacing w:val="-5"/>
        </w:rPr>
      </w:pPr>
    </w:p>
    <w:p w14:paraId="75B53222" w14:textId="77777777" w:rsidR="004B0BFF" w:rsidRPr="0025334E" w:rsidRDefault="004B0BFF" w:rsidP="00E2347D">
      <w:pPr>
        <w:pStyle w:val="Heading2"/>
      </w:pPr>
      <w:r w:rsidRPr="0025334E">
        <w:rPr>
          <w:rStyle w:val="section-title"/>
          <w:rFonts w:asciiTheme="minorHAnsi" w:hAnsiTheme="minorHAnsi" w:cstheme="minorHAnsi"/>
          <w:color w:val="191919"/>
          <w:spacing w:val="-7"/>
        </w:rPr>
        <w:t>Adiabatic ionization in solution</w:t>
      </w:r>
    </w:p>
    <w:p w14:paraId="4351307F" w14:textId="276F017B" w:rsidR="004B0BFF" w:rsidRDefault="004B0BFF" w:rsidP="004B0BFF">
      <w:pPr>
        <w:pStyle w:val="NormalWeb"/>
        <w:shd w:val="clear" w:color="auto" w:fill="FFFFFF"/>
        <w:spacing w:after="0" w:afterAutospacing="0"/>
        <w:rPr>
          <w:rFonts w:asciiTheme="minorHAnsi" w:hAnsiTheme="minorHAnsi" w:cstheme="minorHAnsi"/>
          <w:spacing w:val="-5"/>
        </w:rPr>
      </w:pPr>
      <w:r w:rsidRPr="0025334E">
        <w:rPr>
          <w:rFonts w:asciiTheme="minorHAnsi" w:hAnsiTheme="minorHAnsi" w:cstheme="minorHAnsi"/>
          <w:spacing w:val="-5"/>
        </w:rPr>
        <w:t>A detailed investigation of the ionization-induced actuation of </w:t>
      </w:r>
      <w:r w:rsidRPr="0025334E">
        <w:rPr>
          <w:rStyle w:val="Strong"/>
          <w:rFonts w:asciiTheme="minorHAnsi" w:hAnsiTheme="minorHAnsi" w:cstheme="minorHAnsi"/>
          <w:spacing w:val="-5"/>
        </w:rPr>
        <w:t>V2</w:t>
      </w:r>
      <w:r w:rsidRPr="0025334E">
        <w:rPr>
          <w:rFonts w:asciiTheme="minorHAnsi" w:hAnsiTheme="minorHAnsi" w:cstheme="minorHAnsi"/>
          <w:spacing w:val="-5"/>
        </w:rPr>
        <w:t>, </w:t>
      </w:r>
      <w:r w:rsidRPr="0025334E">
        <w:rPr>
          <w:rStyle w:val="Strong"/>
          <w:rFonts w:asciiTheme="minorHAnsi" w:hAnsiTheme="minorHAnsi" w:cstheme="minorHAnsi"/>
          <w:spacing w:val="-5"/>
        </w:rPr>
        <w:t>V2</w:t>
      </w:r>
      <w:r w:rsidRPr="0025334E">
        <w:rPr>
          <w:rFonts w:asciiTheme="minorHAnsi" w:hAnsiTheme="minorHAnsi" w:cstheme="minorHAnsi"/>
          <w:spacing w:val="-5"/>
        </w:rPr>
        <w:t>-locked, </w:t>
      </w:r>
      <w:r w:rsidRPr="0025334E">
        <w:rPr>
          <w:rStyle w:val="Strong"/>
          <w:rFonts w:asciiTheme="minorHAnsi" w:hAnsiTheme="minorHAnsi" w:cstheme="minorHAnsi"/>
          <w:spacing w:val="-5"/>
        </w:rPr>
        <w:t>Ac2</w:t>
      </w:r>
      <w:r w:rsidRPr="0025334E">
        <w:rPr>
          <w:rFonts w:asciiTheme="minorHAnsi" w:hAnsiTheme="minorHAnsi" w:cstheme="minorHAnsi"/>
          <w:spacing w:val="-5"/>
        </w:rPr>
        <w:t>-C2H4 and </w:t>
      </w:r>
      <w:r w:rsidRPr="0025334E">
        <w:rPr>
          <w:rStyle w:val="Strong"/>
          <w:rFonts w:asciiTheme="minorHAnsi" w:hAnsiTheme="minorHAnsi" w:cstheme="minorHAnsi"/>
          <w:spacing w:val="-5"/>
        </w:rPr>
        <w:t>Ac2</w:t>
      </w:r>
      <w:r w:rsidRPr="0025334E">
        <w:rPr>
          <w:rFonts w:asciiTheme="minorHAnsi" w:hAnsiTheme="minorHAnsi" w:cstheme="minorHAnsi"/>
          <w:spacing w:val="-5"/>
        </w:rPr>
        <w:t xml:space="preserve">-CH2 </w:t>
      </w:r>
      <w:proofErr w:type="spellStart"/>
      <w:r w:rsidRPr="0025334E">
        <w:rPr>
          <w:rFonts w:asciiTheme="minorHAnsi" w:hAnsiTheme="minorHAnsi" w:cstheme="minorHAnsi"/>
          <w:spacing w:val="-5"/>
        </w:rPr>
        <w:t>bichromophores</w:t>
      </w:r>
      <w:proofErr w:type="spellEnd"/>
      <w:r w:rsidRPr="0025334E">
        <w:rPr>
          <w:rFonts w:asciiTheme="minorHAnsi" w:hAnsiTheme="minorHAnsi" w:cstheme="minorHAnsi"/>
          <w:spacing w:val="-5"/>
        </w:rPr>
        <w:t xml:space="preserve"> in CH</w:t>
      </w:r>
      <w:r w:rsidRPr="0025334E">
        <w:rPr>
          <w:rFonts w:asciiTheme="minorHAnsi" w:hAnsiTheme="minorHAnsi" w:cstheme="minorHAnsi"/>
          <w:spacing w:val="-5"/>
          <w:vertAlign w:val="subscript"/>
        </w:rPr>
        <w:t>2</w:t>
      </w:r>
      <w:r w:rsidRPr="0025334E">
        <w:rPr>
          <w:rFonts w:asciiTheme="minorHAnsi" w:hAnsiTheme="minorHAnsi" w:cstheme="minorHAnsi"/>
          <w:spacing w:val="-5"/>
        </w:rPr>
        <w:t>Cl</w:t>
      </w:r>
      <w:r w:rsidRPr="0025334E">
        <w:rPr>
          <w:rFonts w:asciiTheme="minorHAnsi" w:hAnsiTheme="minorHAnsi" w:cstheme="minorHAnsi"/>
          <w:spacing w:val="-5"/>
          <w:vertAlign w:val="subscript"/>
        </w:rPr>
        <w:t>2</w:t>
      </w:r>
      <w:r w:rsidRPr="0025334E">
        <w:rPr>
          <w:rFonts w:asciiTheme="minorHAnsi" w:hAnsiTheme="minorHAnsi" w:cstheme="minorHAnsi"/>
          <w:spacing w:val="-5"/>
        </w:rPr>
        <w:t> solution has been established in previous studies,</w:t>
      </w:r>
      <w:hyperlink r:id="rId22" w:anchor="cit10" w:history="1">
        <w:r w:rsidRPr="0025334E">
          <w:rPr>
            <w:rStyle w:val="Hyperlink"/>
            <w:rFonts w:asciiTheme="minorHAnsi" w:eastAsiaTheme="majorEastAsia" w:hAnsiTheme="minorHAnsi" w:cstheme="minorHAnsi"/>
            <w:color w:val="991E66"/>
            <w:spacing w:val="-5"/>
            <w:vertAlign w:val="superscript"/>
          </w:rPr>
          <w:t>10–12</w:t>
        </w:r>
      </w:hyperlink>
      <w:r w:rsidRPr="0025334E">
        <w:rPr>
          <w:rFonts w:asciiTheme="minorHAnsi" w:hAnsiTheme="minorHAnsi" w:cstheme="minorHAnsi"/>
          <w:spacing w:val="-5"/>
        </w:rPr>
        <w:t> which showed that </w:t>
      </w:r>
      <w:r w:rsidRPr="0025334E">
        <w:rPr>
          <w:rStyle w:val="Strong"/>
          <w:rFonts w:asciiTheme="minorHAnsi" w:hAnsiTheme="minorHAnsi" w:cstheme="minorHAnsi"/>
          <w:spacing w:val="-5"/>
        </w:rPr>
        <w:t>V2</w:t>
      </w:r>
      <w:r w:rsidRPr="0025334E">
        <w:rPr>
          <w:rFonts w:asciiTheme="minorHAnsi" w:hAnsiTheme="minorHAnsi" w:cstheme="minorHAnsi"/>
          <w:spacing w:val="-5"/>
        </w:rPr>
        <w:t xml:space="preserve"> in solution exists in an open conformation and undergoes ionization-induced folding into a closed conformation on a </w:t>
      </w:r>
      <w:proofErr w:type="spellStart"/>
      <w:r w:rsidRPr="0025334E">
        <w:rPr>
          <w:rFonts w:asciiTheme="minorHAnsi" w:hAnsiTheme="minorHAnsi" w:cstheme="minorHAnsi"/>
          <w:spacing w:val="-5"/>
        </w:rPr>
        <w:t>μs</w:t>
      </w:r>
      <w:proofErr w:type="spellEnd"/>
      <w:r w:rsidRPr="0025334E">
        <w:rPr>
          <w:rFonts w:asciiTheme="minorHAnsi" w:hAnsiTheme="minorHAnsi" w:cstheme="minorHAnsi"/>
          <w:spacing w:val="-5"/>
        </w:rPr>
        <w:t xml:space="preserve"> timescale (</w:t>
      </w:r>
      <w:hyperlink r:id="rId23" w:anchor="fig2" w:history="1">
        <w:r w:rsidRPr="0025334E">
          <w:rPr>
            <w:rStyle w:val="Hyperlink"/>
            <w:rFonts w:asciiTheme="minorHAnsi" w:eastAsiaTheme="majorEastAsia" w:hAnsiTheme="minorHAnsi" w:cstheme="minorHAnsi"/>
            <w:color w:val="991E66"/>
            <w:spacing w:val="-5"/>
          </w:rPr>
          <w:t>Fig. 2</w:t>
        </w:r>
      </w:hyperlink>
      <w:r w:rsidRPr="0025334E">
        <w:rPr>
          <w:rFonts w:asciiTheme="minorHAnsi" w:hAnsiTheme="minorHAnsi" w:cstheme="minorHAnsi"/>
          <w:spacing w:val="-5"/>
        </w:rPr>
        <w:t>).</w:t>
      </w:r>
      <w:hyperlink r:id="rId24" w:anchor="cit10" w:history="1">
        <w:r w:rsidRPr="0025334E">
          <w:rPr>
            <w:rStyle w:val="Hyperlink"/>
            <w:rFonts w:asciiTheme="minorHAnsi" w:eastAsiaTheme="majorEastAsia" w:hAnsiTheme="minorHAnsi" w:cstheme="minorHAnsi"/>
            <w:color w:val="991E66"/>
            <w:spacing w:val="-5"/>
            <w:vertAlign w:val="superscript"/>
          </w:rPr>
          <w:t>10,11</w:t>
        </w:r>
      </w:hyperlink>
      <w:r w:rsidRPr="0025334E">
        <w:rPr>
          <w:rFonts w:asciiTheme="minorHAnsi" w:hAnsiTheme="minorHAnsi" w:cstheme="minorHAnsi"/>
          <w:spacing w:val="-5"/>
        </w:rPr>
        <w:t xml:space="preserve"> Electrochemical analysis showed that a </w:t>
      </w:r>
      <w:proofErr w:type="spellStart"/>
      <w:r w:rsidRPr="0025334E">
        <w:rPr>
          <w:rFonts w:asciiTheme="minorHAnsi" w:hAnsiTheme="minorHAnsi" w:cstheme="minorHAnsi"/>
          <w:spacing w:val="-5"/>
        </w:rPr>
        <w:t>cofacial</w:t>
      </w:r>
      <w:proofErr w:type="spellEnd"/>
      <w:r w:rsidRPr="0025334E">
        <w:rPr>
          <w:rFonts w:asciiTheme="minorHAnsi" w:hAnsiTheme="minorHAnsi" w:cstheme="minorHAnsi"/>
          <w:spacing w:val="-5"/>
        </w:rPr>
        <w:t xml:space="preserve"> arrangement of veratroles in the closed conformation effectively stabilizes cationic charge (</w:t>
      </w:r>
      <w:r w:rsidRPr="0025334E">
        <w:rPr>
          <w:rStyle w:val="Emphasis"/>
          <w:rFonts w:asciiTheme="minorHAnsi" w:eastAsiaTheme="majorEastAsia" w:hAnsiTheme="minorHAnsi" w:cstheme="minorHAnsi"/>
          <w:spacing w:val="-5"/>
        </w:rPr>
        <w:t>i.e.</w:t>
      </w:r>
      <w:r w:rsidRPr="0025334E">
        <w:rPr>
          <w:rFonts w:asciiTheme="minorHAnsi" w:hAnsiTheme="minorHAnsi" w:cstheme="minorHAnsi"/>
          <w:spacing w:val="-5"/>
        </w:rPr>
        <w:t>, hole), as evidenced by a significant (</w:t>
      </w:r>
      <w:proofErr w:type="spellStart"/>
      <w:r w:rsidRPr="0025334E">
        <w:rPr>
          <w:rFonts w:asciiTheme="minorHAnsi" w:hAnsiTheme="minorHAnsi" w:cstheme="minorHAnsi"/>
          <w:spacing w:val="-5"/>
        </w:rPr>
        <w:t>Δ</w:t>
      </w:r>
      <w:r w:rsidRPr="0025334E">
        <w:rPr>
          <w:rStyle w:val="Emphasis"/>
          <w:rFonts w:asciiTheme="minorHAnsi" w:eastAsiaTheme="majorEastAsia" w:hAnsiTheme="minorHAnsi" w:cstheme="minorHAnsi"/>
          <w:spacing w:val="-5"/>
        </w:rPr>
        <w:t>E</w:t>
      </w:r>
      <w:r w:rsidRPr="0025334E">
        <w:rPr>
          <w:rFonts w:asciiTheme="minorHAnsi" w:hAnsiTheme="minorHAnsi" w:cstheme="minorHAnsi"/>
          <w:spacing w:val="-5"/>
          <w:vertAlign w:val="subscript"/>
        </w:rPr>
        <w:t>ox</w:t>
      </w:r>
      <w:proofErr w:type="spellEnd"/>
      <w:r w:rsidRPr="0025334E">
        <w:rPr>
          <w:rFonts w:asciiTheme="minorHAnsi" w:hAnsiTheme="minorHAnsi" w:cstheme="minorHAnsi"/>
          <w:spacing w:val="-5"/>
        </w:rPr>
        <w:t> = −0.26 V) lowering of its first oxidation potential (</w:t>
      </w:r>
      <w:proofErr w:type="spellStart"/>
      <w:r w:rsidRPr="0025334E">
        <w:rPr>
          <w:rStyle w:val="Emphasis"/>
          <w:rFonts w:asciiTheme="minorHAnsi" w:eastAsiaTheme="majorEastAsia" w:hAnsiTheme="minorHAnsi" w:cstheme="minorHAnsi"/>
          <w:spacing w:val="-5"/>
        </w:rPr>
        <w:t>E</w:t>
      </w:r>
      <w:r w:rsidRPr="0025334E">
        <w:rPr>
          <w:rFonts w:asciiTheme="minorHAnsi" w:hAnsiTheme="minorHAnsi" w:cstheme="minorHAnsi"/>
          <w:spacing w:val="-5"/>
          <w:vertAlign w:val="subscript"/>
        </w:rPr>
        <w:t>ox</w:t>
      </w:r>
      <w:proofErr w:type="spellEnd"/>
      <w:r w:rsidRPr="0025334E">
        <w:rPr>
          <w:rFonts w:asciiTheme="minorHAnsi" w:hAnsiTheme="minorHAnsi" w:cstheme="minorHAnsi"/>
          <w:spacing w:val="-5"/>
        </w:rPr>
        <w:t xml:space="preserve">) in comparison with the </w:t>
      </w:r>
      <w:proofErr w:type="spellStart"/>
      <w:r w:rsidRPr="0025334E">
        <w:rPr>
          <w:rFonts w:asciiTheme="minorHAnsi" w:hAnsiTheme="minorHAnsi" w:cstheme="minorHAnsi"/>
          <w:spacing w:val="-5"/>
        </w:rPr>
        <w:t>monochromophoric</w:t>
      </w:r>
      <w:proofErr w:type="spellEnd"/>
      <w:r w:rsidRPr="0025334E">
        <w:rPr>
          <w:rFonts w:asciiTheme="minorHAnsi" w:hAnsiTheme="minorHAnsi" w:cstheme="minorHAnsi"/>
          <w:spacing w:val="-5"/>
        </w:rPr>
        <w:t> </w:t>
      </w:r>
      <w:r w:rsidRPr="0025334E">
        <w:rPr>
          <w:rStyle w:val="Strong"/>
          <w:rFonts w:asciiTheme="minorHAnsi" w:hAnsiTheme="minorHAnsi" w:cstheme="minorHAnsi"/>
          <w:spacing w:val="-5"/>
        </w:rPr>
        <w:t>V1</w:t>
      </w:r>
      <w:r w:rsidRPr="0025334E">
        <w:rPr>
          <w:rFonts w:asciiTheme="minorHAnsi" w:hAnsiTheme="minorHAnsi" w:cstheme="minorHAnsi"/>
          <w:spacing w:val="-5"/>
        </w:rPr>
        <w:t> (</w:t>
      </w:r>
      <w:hyperlink r:id="rId25" w:anchor="fig2" w:history="1">
        <w:r w:rsidRPr="0025334E">
          <w:rPr>
            <w:rStyle w:val="Hyperlink"/>
            <w:rFonts w:asciiTheme="minorHAnsi" w:eastAsiaTheme="majorEastAsia" w:hAnsiTheme="minorHAnsi" w:cstheme="minorHAnsi"/>
            <w:color w:val="991E66"/>
            <w:spacing w:val="-5"/>
          </w:rPr>
          <w:t>Fig. 2</w:t>
        </w:r>
      </w:hyperlink>
      <w:r w:rsidRPr="0025334E">
        <w:rPr>
          <w:rFonts w:asciiTheme="minorHAnsi" w:hAnsiTheme="minorHAnsi" w:cstheme="minorHAnsi"/>
          <w:spacing w:val="-5"/>
        </w:rPr>
        <w:t>). Furthermore, analysis of the X-ray structures of neutral </w:t>
      </w:r>
      <w:r w:rsidRPr="0025334E">
        <w:rPr>
          <w:rStyle w:val="Strong"/>
          <w:rFonts w:asciiTheme="minorHAnsi" w:hAnsiTheme="minorHAnsi" w:cstheme="minorHAnsi"/>
          <w:spacing w:val="-5"/>
        </w:rPr>
        <w:t>V2</w:t>
      </w:r>
      <w:r w:rsidRPr="0025334E">
        <w:rPr>
          <w:rFonts w:asciiTheme="minorHAnsi" w:hAnsiTheme="minorHAnsi" w:cstheme="minorHAnsi"/>
          <w:spacing w:val="-5"/>
        </w:rPr>
        <w:t xml:space="preserve"> and its cation </w:t>
      </w:r>
      <w:r w:rsidRPr="0025334E">
        <w:rPr>
          <w:rFonts w:asciiTheme="minorHAnsi" w:hAnsiTheme="minorHAnsi" w:cstheme="minorHAnsi"/>
          <w:spacing w:val="-5"/>
        </w:rPr>
        <w:lastRenderedPageBreak/>
        <w:t>radical salt [</w:t>
      </w:r>
      <w:r w:rsidRPr="0025334E">
        <w:rPr>
          <w:rStyle w:val="Strong"/>
          <w:rFonts w:asciiTheme="minorHAnsi" w:hAnsiTheme="minorHAnsi" w:cstheme="minorHAnsi"/>
          <w:spacing w:val="-5"/>
        </w:rPr>
        <w:t>V2</w:t>
      </w:r>
      <w:r w:rsidRPr="0025334E">
        <w:rPr>
          <w:rFonts w:asciiTheme="minorHAnsi" w:hAnsiTheme="minorHAnsi" w:cstheme="minorHAnsi"/>
          <w:spacing w:val="-5"/>
          <w:vertAlign w:val="superscript"/>
        </w:rPr>
        <w:t>+</w:t>
      </w:r>
      <w:r w:rsidRPr="0025334E">
        <w:rPr>
          <w:rFonts w:asciiTheme="minorHAnsi" w:hAnsiTheme="minorHAnsi" w:cstheme="minorHAnsi"/>
          <w:spacing w:val="-5"/>
        </w:rPr>
        <w:t>˙SbCl</w:t>
      </w:r>
      <w:r w:rsidRPr="0025334E">
        <w:rPr>
          <w:rFonts w:asciiTheme="minorHAnsi" w:hAnsiTheme="minorHAnsi" w:cstheme="minorHAnsi"/>
          <w:spacing w:val="-5"/>
          <w:vertAlign w:val="subscript"/>
        </w:rPr>
        <w:t>6</w:t>
      </w:r>
      <w:r w:rsidRPr="0025334E">
        <w:rPr>
          <w:rFonts w:asciiTheme="minorHAnsi" w:hAnsiTheme="minorHAnsi" w:cstheme="minorHAnsi"/>
          <w:spacing w:val="-5"/>
          <w:vertAlign w:val="superscript"/>
        </w:rPr>
        <w:t>−</w:t>
      </w:r>
      <w:r w:rsidRPr="0025334E">
        <w:rPr>
          <w:rFonts w:asciiTheme="minorHAnsi" w:hAnsiTheme="minorHAnsi" w:cstheme="minorHAnsi"/>
          <w:spacing w:val="-5"/>
        </w:rPr>
        <w:t>] showed that in addition to the ionization-induced conformational reorganization, structural reorganization occurs in the form of the contraction and elongation of the bond lengths, and this structural reorganization is evenly distributed over both veratrole moieties. Although the relative energetic contributions of structural and conformational reorganizations may not be </w:t>
      </w:r>
      <w:r w:rsidRPr="0025334E">
        <w:rPr>
          <w:rStyle w:val="Emphasis"/>
          <w:rFonts w:asciiTheme="minorHAnsi" w:eastAsiaTheme="majorEastAsia" w:hAnsiTheme="minorHAnsi" w:cstheme="minorHAnsi"/>
          <w:spacing w:val="-5"/>
        </w:rPr>
        <w:t>a priori</w:t>
      </w:r>
      <w:r w:rsidRPr="0025334E">
        <w:rPr>
          <w:rFonts w:asciiTheme="minorHAnsi" w:hAnsiTheme="minorHAnsi" w:cstheme="minorHAnsi"/>
          <w:spacing w:val="-5"/>
        </w:rPr>
        <w:t> apparent, both contribute toward the observed lowering of the oxidation potential.</w:t>
      </w:r>
    </w:p>
    <w:p w14:paraId="6898988F" w14:textId="33E98715" w:rsidR="00E2347D" w:rsidRPr="0025334E" w:rsidRDefault="009E4643" w:rsidP="004B0BFF">
      <w:pPr>
        <w:pStyle w:val="NormalWeb"/>
        <w:shd w:val="clear" w:color="auto" w:fill="FFFFFF"/>
        <w:spacing w:after="0" w:afterAutospacing="0"/>
        <w:rPr>
          <w:rFonts w:asciiTheme="minorHAnsi" w:hAnsiTheme="minorHAnsi" w:cstheme="minorHAnsi"/>
          <w:spacing w:val="-5"/>
        </w:rPr>
      </w:pPr>
      <w:r>
        <w:rPr>
          <w:noProof/>
        </w:rPr>
        <w:drawing>
          <wp:inline distT="0" distB="0" distL="0" distR="0" wp14:anchorId="20F00A8C" wp14:editId="6578B802">
            <wp:extent cx="2743200" cy="2962656"/>
            <wp:effectExtent l="0" t="0" r="0" b="9525"/>
            <wp:docPr id="60" name="Picture 60" descr="Fig. 2 Illustration of the ionization-induced reorganization in a set of bichromophores and model compound V1 in CH2Cl2 solution.10–12 Straight solid line denotes structural reorganization, circle represents additional conformational reorganization, i.e., folding in V2 and Ac2-CH2 and methoxy group rotation in V2-locked. The ΔEox = Eox[bichromophore] − Eox[V1] reflects stabilization of the cationic ch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743200" cy="2962656"/>
                    </a:xfrm>
                    <a:prstGeom prst="rect">
                      <a:avLst/>
                    </a:prstGeom>
                    <a:noFill/>
                    <a:ln>
                      <a:noFill/>
                    </a:ln>
                  </pic:spPr>
                </pic:pic>
              </a:graphicData>
            </a:graphic>
          </wp:inline>
        </w:drawing>
      </w:r>
    </w:p>
    <w:p w14:paraId="1CBE5294" w14:textId="41218DBA" w:rsidR="004B0BFF" w:rsidRPr="0025334E" w:rsidRDefault="004B0BFF" w:rsidP="004B0BFF">
      <w:pPr>
        <w:shd w:val="clear" w:color="auto" w:fill="FFFFFF"/>
        <w:rPr>
          <w:rFonts w:cstheme="minorHAnsi"/>
          <w:spacing w:val="-5"/>
        </w:rPr>
      </w:pPr>
      <w:r w:rsidRPr="0025334E">
        <w:rPr>
          <w:rStyle w:val="h--heading4"/>
          <w:rFonts w:cstheme="minorHAnsi"/>
          <w:b/>
          <w:bCs/>
          <w:color w:val="191919"/>
          <w:spacing w:val="-7"/>
        </w:rPr>
        <w:t>Fig. 2</w:t>
      </w:r>
      <w:r w:rsidRPr="0025334E">
        <w:rPr>
          <w:rFonts w:cstheme="minorHAnsi"/>
          <w:spacing w:val="-5"/>
        </w:rPr>
        <w:t xml:space="preserve"> Illustration of the ionization-induced reorganization in a set of </w:t>
      </w:r>
      <w:proofErr w:type="spellStart"/>
      <w:r w:rsidRPr="0025334E">
        <w:rPr>
          <w:rFonts w:cstheme="minorHAnsi"/>
          <w:spacing w:val="-5"/>
        </w:rPr>
        <w:t>bichromophores</w:t>
      </w:r>
      <w:proofErr w:type="spellEnd"/>
      <w:r w:rsidRPr="0025334E">
        <w:rPr>
          <w:rFonts w:cstheme="minorHAnsi"/>
          <w:spacing w:val="-5"/>
        </w:rPr>
        <w:t xml:space="preserve"> and model compound </w:t>
      </w:r>
      <w:r w:rsidRPr="0025334E">
        <w:rPr>
          <w:rStyle w:val="Strong"/>
          <w:rFonts w:cstheme="minorHAnsi"/>
          <w:spacing w:val="-5"/>
        </w:rPr>
        <w:t>V1</w:t>
      </w:r>
      <w:r w:rsidRPr="0025334E">
        <w:rPr>
          <w:rFonts w:cstheme="minorHAnsi"/>
          <w:spacing w:val="-5"/>
        </w:rPr>
        <w:t> in CH</w:t>
      </w:r>
      <w:r w:rsidRPr="0025334E">
        <w:rPr>
          <w:rFonts w:cstheme="minorHAnsi"/>
          <w:spacing w:val="-5"/>
          <w:vertAlign w:val="subscript"/>
        </w:rPr>
        <w:t>2</w:t>
      </w:r>
      <w:r w:rsidRPr="0025334E">
        <w:rPr>
          <w:rFonts w:cstheme="minorHAnsi"/>
          <w:spacing w:val="-5"/>
        </w:rPr>
        <w:t>Cl</w:t>
      </w:r>
      <w:r w:rsidRPr="0025334E">
        <w:rPr>
          <w:rFonts w:cstheme="minorHAnsi"/>
          <w:spacing w:val="-5"/>
          <w:vertAlign w:val="subscript"/>
        </w:rPr>
        <w:t>2</w:t>
      </w:r>
      <w:r w:rsidRPr="0025334E">
        <w:rPr>
          <w:rFonts w:cstheme="minorHAnsi"/>
          <w:spacing w:val="-5"/>
        </w:rPr>
        <w:t> solution.</w:t>
      </w:r>
      <w:hyperlink r:id="rId27" w:anchor="cit10" w:history="1">
        <w:r w:rsidRPr="00D55D29">
          <w:rPr>
            <w:rStyle w:val="Hyperlink"/>
            <w:rFonts w:cstheme="minorHAnsi"/>
            <w:color w:val="000000" w:themeColor="text1"/>
            <w:spacing w:val="-5"/>
            <w:vertAlign w:val="superscript"/>
          </w:rPr>
          <w:t>10–12</w:t>
        </w:r>
      </w:hyperlink>
      <w:r w:rsidRPr="0025334E">
        <w:rPr>
          <w:rFonts w:cstheme="minorHAnsi"/>
          <w:spacing w:val="-5"/>
        </w:rPr>
        <w:t> Straight solid line denotes structural reorganization, circle represents additional conformational reorganization, </w:t>
      </w:r>
      <w:r w:rsidRPr="0025334E">
        <w:rPr>
          <w:rStyle w:val="Emphasis"/>
          <w:rFonts w:cstheme="minorHAnsi"/>
          <w:spacing w:val="-5"/>
        </w:rPr>
        <w:t>i.e.</w:t>
      </w:r>
      <w:r w:rsidRPr="0025334E">
        <w:rPr>
          <w:rFonts w:cstheme="minorHAnsi"/>
          <w:spacing w:val="-5"/>
        </w:rPr>
        <w:t>, folding in </w:t>
      </w:r>
      <w:r w:rsidRPr="0025334E">
        <w:rPr>
          <w:rStyle w:val="Strong"/>
          <w:rFonts w:cstheme="minorHAnsi"/>
          <w:spacing w:val="-5"/>
        </w:rPr>
        <w:t>V2</w:t>
      </w:r>
      <w:r w:rsidRPr="0025334E">
        <w:rPr>
          <w:rFonts w:cstheme="minorHAnsi"/>
          <w:spacing w:val="-5"/>
        </w:rPr>
        <w:t> and </w:t>
      </w:r>
      <w:r w:rsidRPr="0025334E">
        <w:rPr>
          <w:rStyle w:val="Strong"/>
          <w:rFonts w:cstheme="minorHAnsi"/>
          <w:spacing w:val="-5"/>
        </w:rPr>
        <w:t>Ac2</w:t>
      </w:r>
      <w:r w:rsidRPr="0025334E">
        <w:rPr>
          <w:rFonts w:cstheme="minorHAnsi"/>
          <w:spacing w:val="-5"/>
        </w:rPr>
        <w:t>-CH2 and methoxy group rotation in </w:t>
      </w:r>
      <w:r w:rsidRPr="0025334E">
        <w:rPr>
          <w:rStyle w:val="Strong"/>
          <w:rFonts w:cstheme="minorHAnsi"/>
          <w:spacing w:val="-5"/>
        </w:rPr>
        <w:t>V2</w:t>
      </w:r>
      <w:r w:rsidRPr="0025334E">
        <w:rPr>
          <w:rFonts w:cstheme="minorHAnsi"/>
          <w:spacing w:val="-5"/>
        </w:rPr>
        <w:t xml:space="preserve">-locked. The </w:t>
      </w:r>
      <w:proofErr w:type="spellStart"/>
      <w:r w:rsidRPr="0025334E">
        <w:rPr>
          <w:rFonts w:cstheme="minorHAnsi"/>
          <w:spacing w:val="-5"/>
        </w:rPr>
        <w:t>Δ</w:t>
      </w:r>
      <w:r w:rsidRPr="0025334E">
        <w:rPr>
          <w:rStyle w:val="Emphasis"/>
          <w:rFonts w:cstheme="minorHAnsi"/>
          <w:spacing w:val="-5"/>
        </w:rPr>
        <w:t>E</w:t>
      </w:r>
      <w:r w:rsidRPr="0025334E">
        <w:rPr>
          <w:rFonts w:cstheme="minorHAnsi"/>
          <w:spacing w:val="-5"/>
          <w:vertAlign w:val="subscript"/>
        </w:rPr>
        <w:t>ox</w:t>
      </w:r>
      <w:proofErr w:type="spellEnd"/>
      <w:r w:rsidRPr="0025334E">
        <w:rPr>
          <w:rFonts w:cstheme="minorHAnsi"/>
          <w:spacing w:val="-5"/>
        </w:rPr>
        <w:t> = </w:t>
      </w:r>
      <w:proofErr w:type="spellStart"/>
      <w:r w:rsidRPr="0025334E">
        <w:rPr>
          <w:rStyle w:val="Emphasis"/>
          <w:rFonts w:cstheme="minorHAnsi"/>
          <w:spacing w:val="-5"/>
        </w:rPr>
        <w:t>E</w:t>
      </w:r>
      <w:r w:rsidRPr="0025334E">
        <w:rPr>
          <w:rFonts w:cstheme="minorHAnsi"/>
          <w:spacing w:val="-5"/>
          <w:vertAlign w:val="subscript"/>
        </w:rPr>
        <w:t>ox</w:t>
      </w:r>
      <w:proofErr w:type="spellEnd"/>
      <w:r w:rsidRPr="0025334E">
        <w:rPr>
          <w:rFonts w:cstheme="minorHAnsi"/>
          <w:spacing w:val="-5"/>
        </w:rPr>
        <w:t>[</w:t>
      </w:r>
      <w:proofErr w:type="spellStart"/>
      <w:r w:rsidRPr="0025334E">
        <w:rPr>
          <w:rFonts w:cstheme="minorHAnsi"/>
          <w:spacing w:val="-5"/>
        </w:rPr>
        <w:t>bichromophore</w:t>
      </w:r>
      <w:proofErr w:type="spellEnd"/>
      <w:r w:rsidRPr="0025334E">
        <w:rPr>
          <w:rFonts w:cstheme="minorHAnsi"/>
          <w:spacing w:val="-5"/>
        </w:rPr>
        <w:t>] − </w:t>
      </w:r>
      <w:proofErr w:type="spellStart"/>
      <w:r w:rsidRPr="0025334E">
        <w:rPr>
          <w:rStyle w:val="Emphasis"/>
          <w:rFonts w:cstheme="minorHAnsi"/>
          <w:spacing w:val="-5"/>
        </w:rPr>
        <w:t>E</w:t>
      </w:r>
      <w:r w:rsidRPr="0025334E">
        <w:rPr>
          <w:rFonts w:cstheme="minorHAnsi"/>
          <w:spacing w:val="-5"/>
          <w:vertAlign w:val="subscript"/>
        </w:rPr>
        <w:t>ox</w:t>
      </w:r>
      <w:proofErr w:type="spellEnd"/>
      <w:r w:rsidRPr="0025334E">
        <w:rPr>
          <w:rFonts w:cstheme="minorHAnsi"/>
          <w:spacing w:val="-5"/>
        </w:rPr>
        <w:t>[</w:t>
      </w:r>
      <w:r w:rsidRPr="0025334E">
        <w:rPr>
          <w:rStyle w:val="Strong"/>
          <w:rFonts w:cstheme="minorHAnsi"/>
          <w:spacing w:val="-5"/>
        </w:rPr>
        <w:t>V1</w:t>
      </w:r>
      <w:r w:rsidRPr="0025334E">
        <w:rPr>
          <w:rFonts w:cstheme="minorHAnsi"/>
          <w:spacing w:val="-5"/>
        </w:rPr>
        <w:t>] reflects stabilization of the cationic charge.</w:t>
      </w:r>
    </w:p>
    <w:p w14:paraId="4C72B475" w14:textId="3F6363D9" w:rsidR="004B0BFF" w:rsidRDefault="004B0BFF" w:rsidP="004B0BFF">
      <w:pPr>
        <w:pStyle w:val="NormalWeb"/>
        <w:shd w:val="clear" w:color="auto" w:fill="FFFFFF"/>
        <w:spacing w:after="0" w:afterAutospacing="0"/>
        <w:rPr>
          <w:rStyle w:val="Hyperlink"/>
          <w:rFonts w:asciiTheme="minorHAnsi" w:eastAsiaTheme="majorEastAsia" w:hAnsiTheme="minorHAnsi" w:cstheme="minorHAnsi"/>
          <w:color w:val="991E66"/>
          <w:spacing w:val="-5"/>
          <w:vertAlign w:val="superscript"/>
        </w:rPr>
      </w:pPr>
      <w:r w:rsidRPr="0025334E">
        <w:rPr>
          <w:rFonts w:asciiTheme="minorHAnsi" w:hAnsiTheme="minorHAnsi" w:cstheme="minorHAnsi"/>
          <w:spacing w:val="-5"/>
        </w:rPr>
        <w:t xml:space="preserve">In contrast, the </w:t>
      </w:r>
      <w:proofErr w:type="spellStart"/>
      <w:r w:rsidRPr="0025334E">
        <w:rPr>
          <w:rFonts w:asciiTheme="minorHAnsi" w:hAnsiTheme="minorHAnsi" w:cstheme="minorHAnsi"/>
          <w:spacing w:val="-5"/>
        </w:rPr>
        <w:t>bichromophore</w:t>
      </w:r>
      <w:proofErr w:type="spellEnd"/>
      <w:r w:rsidRPr="0025334E">
        <w:rPr>
          <w:rFonts w:asciiTheme="minorHAnsi" w:hAnsiTheme="minorHAnsi" w:cstheme="minorHAnsi"/>
          <w:spacing w:val="-5"/>
        </w:rPr>
        <w:t> </w:t>
      </w:r>
      <w:r w:rsidRPr="0025334E">
        <w:rPr>
          <w:rStyle w:val="Strong"/>
          <w:rFonts w:asciiTheme="minorHAnsi" w:hAnsiTheme="minorHAnsi" w:cstheme="minorHAnsi"/>
          <w:spacing w:val="-5"/>
        </w:rPr>
        <w:t>V2</w:t>
      </w:r>
      <w:r w:rsidRPr="0025334E">
        <w:rPr>
          <w:rFonts w:asciiTheme="minorHAnsi" w:hAnsiTheme="minorHAnsi" w:cstheme="minorHAnsi"/>
          <w:spacing w:val="-5"/>
        </w:rPr>
        <w:t>-locked (</w:t>
      </w:r>
      <w:hyperlink r:id="rId28" w:anchor="fig2" w:history="1">
        <w:r w:rsidRPr="0025334E">
          <w:rPr>
            <w:rStyle w:val="Hyperlink"/>
            <w:rFonts w:asciiTheme="minorHAnsi" w:eastAsiaTheme="majorEastAsia" w:hAnsiTheme="minorHAnsi" w:cstheme="minorHAnsi"/>
            <w:color w:val="991E66"/>
            <w:spacing w:val="-5"/>
          </w:rPr>
          <w:t>Fig. 2</w:t>
        </w:r>
      </w:hyperlink>
      <w:r w:rsidRPr="0025334E">
        <w:rPr>
          <w:rFonts w:asciiTheme="minorHAnsi" w:hAnsiTheme="minorHAnsi" w:cstheme="minorHAnsi"/>
          <w:spacing w:val="-5"/>
        </w:rPr>
        <w:t xml:space="preserve">) is a rigid structure that exists in a (closed) </w:t>
      </w:r>
      <w:proofErr w:type="spellStart"/>
      <w:r w:rsidRPr="0025334E">
        <w:rPr>
          <w:rFonts w:asciiTheme="minorHAnsi" w:hAnsiTheme="minorHAnsi" w:cstheme="minorHAnsi"/>
          <w:spacing w:val="-5"/>
        </w:rPr>
        <w:t>cofacial</w:t>
      </w:r>
      <w:proofErr w:type="spellEnd"/>
      <w:r w:rsidRPr="0025334E">
        <w:rPr>
          <w:rFonts w:asciiTheme="minorHAnsi" w:hAnsiTheme="minorHAnsi" w:cstheme="minorHAnsi"/>
          <w:spacing w:val="-5"/>
        </w:rPr>
        <w:t xml:space="preserve"> arrangement in both neutral and cation radical states. Interestingly, the X-ray structure of neutral </w:t>
      </w:r>
      <w:r w:rsidRPr="0025334E">
        <w:rPr>
          <w:rStyle w:val="Strong"/>
          <w:rFonts w:asciiTheme="minorHAnsi" w:hAnsiTheme="minorHAnsi" w:cstheme="minorHAnsi"/>
          <w:spacing w:val="-5"/>
        </w:rPr>
        <w:t>V2</w:t>
      </w:r>
      <w:r w:rsidRPr="0025334E">
        <w:rPr>
          <w:rFonts w:asciiTheme="minorHAnsi" w:hAnsiTheme="minorHAnsi" w:cstheme="minorHAnsi"/>
          <w:spacing w:val="-5"/>
        </w:rPr>
        <w:t>-locked showed that one of the methoxy groups exists in an out-of-plane arrangement (C–O–</w:t>
      </w:r>
      <w:proofErr w:type="spellStart"/>
      <w:r w:rsidRPr="0025334E">
        <w:rPr>
          <w:rFonts w:asciiTheme="minorHAnsi" w:hAnsiTheme="minorHAnsi" w:cstheme="minorHAnsi"/>
          <w:spacing w:val="-5"/>
        </w:rPr>
        <w:t>C</w:t>
      </w:r>
      <w:r w:rsidRPr="0025334E">
        <w:rPr>
          <w:rFonts w:asciiTheme="minorHAnsi" w:hAnsiTheme="minorHAnsi" w:cstheme="minorHAnsi"/>
          <w:spacing w:val="-5"/>
          <w:vertAlign w:val="subscript"/>
        </w:rPr>
        <w:t>Ar</w:t>
      </w:r>
      <w:proofErr w:type="spellEnd"/>
      <w:r w:rsidRPr="0025334E">
        <w:rPr>
          <w:rFonts w:asciiTheme="minorHAnsi" w:hAnsiTheme="minorHAnsi" w:cstheme="minorHAnsi"/>
          <w:spacing w:val="-5"/>
        </w:rPr>
        <w:t>–</w:t>
      </w:r>
      <w:proofErr w:type="spellStart"/>
      <w:r w:rsidRPr="0025334E">
        <w:rPr>
          <w:rFonts w:asciiTheme="minorHAnsi" w:hAnsiTheme="minorHAnsi" w:cstheme="minorHAnsi"/>
          <w:spacing w:val="-5"/>
        </w:rPr>
        <w:t>C</w:t>
      </w:r>
      <w:r w:rsidRPr="0025334E">
        <w:rPr>
          <w:rFonts w:asciiTheme="minorHAnsi" w:hAnsiTheme="minorHAnsi" w:cstheme="minorHAnsi"/>
          <w:spacing w:val="-5"/>
          <w:vertAlign w:val="subscript"/>
        </w:rPr>
        <w:t>Ar</w:t>
      </w:r>
      <w:proofErr w:type="spellEnd"/>
      <w:r w:rsidRPr="0025334E">
        <w:rPr>
          <w:rFonts w:asciiTheme="minorHAnsi" w:hAnsiTheme="minorHAnsi" w:cstheme="minorHAnsi"/>
          <w:spacing w:val="-5"/>
        </w:rPr>
        <w:t> dihedral angle </w:t>
      </w:r>
      <w:r w:rsidRPr="0025334E">
        <w:rPr>
          <w:rStyle w:val="Emphasis"/>
          <w:rFonts w:asciiTheme="minorHAnsi" w:eastAsiaTheme="majorEastAsia" w:hAnsiTheme="minorHAnsi" w:cstheme="minorHAnsi"/>
          <w:spacing w:val="-5"/>
        </w:rPr>
        <w:t>ϕ</w:t>
      </w:r>
      <w:r w:rsidRPr="0025334E">
        <w:rPr>
          <w:rFonts w:asciiTheme="minorHAnsi" w:hAnsiTheme="minorHAnsi" w:cstheme="minorHAnsi"/>
          <w:spacing w:val="-5"/>
        </w:rPr>
        <w:t> = 66.9) stabilized by intramolecular hydrogen bond interactions. It is then expected that upon ionization of </w:t>
      </w:r>
      <w:r w:rsidRPr="0025334E">
        <w:rPr>
          <w:rStyle w:val="Strong"/>
          <w:rFonts w:asciiTheme="minorHAnsi" w:hAnsiTheme="minorHAnsi" w:cstheme="minorHAnsi"/>
          <w:spacing w:val="-5"/>
        </w:rPr>
        <w:t>V2</w:t>
      </w:r>
      <w:r w:rsidRPr="0025334E">
        <w:rPr>
          <w:rFonts w:asciiTheme="minorHAnsi" w:hAnsiTheme="minorHAnsi" w:cstheme="minorHAnsi"/>
          <w:spacing w:val="-5"/>
        </w:rPr>
        <w:t>-locked in solution, in addition to the structural reorganization in the form of bond length changes, the planarization of the methoxy group will also occur.</w:t>
      </w:r>
      <w:hyperlink r:id="rId29" w:anchor="cit18" w:history="1">
        <w:r w:rsidRPr="0025334E">
          <w:rPr>
            <w:rStyle w:val="Hyperlink"/>
            <w:rFonts w:asciiTheme="minorHAnsi" w:eastAsiaTheme="majorEastAsia" w:hAnsiTheme="minorHAnsi" w:cstheme="minorHAnsi"/>
            <w:color w:val="991E66"/>
            <w:spacing w:val="-5"/>
            <w:vertAlign w:val="superscript"/>
          </w:rPr>
          <w:t>18,19</w:t>
        </w:r>
      </w:hyperlink>
      <w:r w:rsidRPr="0025334E">
        <w:rPr>
          <w:rFonts w:asciiTheme="minorHAnsi" w:hAnsiTheme="minorHAnsi" w:cstheme="minorHAnsi"/>
          <w:spacing w:val="-5"/>
        </w:rPr>
        <w:t> We note that the methoxy-group orientation in the neutral state of veratrole-containing species is occasionally found out of the aromatic plane. For example, analysis of crystal structures from the CCDC database</w:t>
      </w:r>
      <w:hyperlink r:id="rId30" w:anchor="cit20" w:history="1">
        <w:r w:rsidRPr="0025334E">
          <w:rPr>
            <w:rStyle w:val="Hyperlink"/>
            <w:rFonts w:asciiTheme="minorHAnsi" w:eastAsiaTheme="majorEastAsia" w:hAnsiTheme="minorHAnsi" w:cstheme="minorHAnsi"/>
            <w:color w:val="991E66"/>
            <w:spacing w:val="-5"/>
            <w:vertAlign w:val="superscript"/>
          </w:rPr>
          <w:t>20</w:t>
        </w:r>
      </w:hyperlink>
      <w:r w:rsidRPr="0025334E">
        <w:rPr>
          <w:rFonts w:asciiTheme="minorHAnsi" w:hAnsiTheme="minorHAnsi" w:cstheme="minorHAnsi"/>
          <w:spacing w:val="-5"/>
        </w:rPr>
        <w:t> revealed that among 2774 structures containing the veratrole moiety, 44 structures (or 1.6%) have a C–O–</w:t>
      </w:r>
      <w:proofErr w:type="spellStart"/>
      <w:r w:rsidRPr="0025334E">
        <w:rPr>
          <w:rFonts w:asciiTheme="minorHAnsi" w:hAnsiTheme="minorHAnsi" w:cstheme="minorHAnsi"/>
          <w:spacing w:val="-5"/>
        </w:rPr>
        <w:t>C</w:t>
      </w:r>
      <w:r w:rsidRPr="0025334E">
        <w:rPr>
          <w:rFonts w:asciiTheme="minorHAnsi" w:hAnsiTheme="minorHAnsi" w:cstheme="minorHAnsi"/>
          <w:spacing w:val="-5"/>
          <w:vertAlign w:val="subscript"/>
        </w:rPr>
        <w:t>Ar</w:t>
      </w:r>
      <w:proofErr w:type="spellEnd"/>
      <w:r w:rsidRPr="0025334E">
        <w:rPr>
          <w:rFonts w:asciiTheme="minorHAnsi" w:hAnsiTheme="minorHAnsi" w:cstheme="minorHAnsi"/>
          <w:spacing w:val="-5"/>
        </w:rPr>
        <w:t>–</w:t>
      </w:r>
      <w:proofErr w:type="spellStart"/>
      <w:r w:rsidRPr="0025334E">
        <w:rPr>
          <w:rFonts w:asciiTheme="minorHAnsi" w:hAnsiTheme="minorHAnsi" w:cstheme="minorHAnsi"/>
          <w:spacing w:val="-5"/>
        </w:rPr>
        <w:t>C</w:t>
      </w:r>
      <w:r w:rsidRPr="0025334E">
        <w:rPr>
          <w:rFonts w:asciiTheme="minorHAnsi" w:hAnsiTheme="minorHAnsi" w:cstheme="minorHAnsi"/>
          <w:spacing w:val="-5"/>
          <w:vertAlign w:val="subscript"/>
        </w:rPr>
        <w:t>Ar</w:t>
      </w:r>
      <w:proofErr w:type="spellEnd"/>
      <w:r w:rsidRPr="0025334E">
        <w:rPr>
          <w:rFonts w:asciiTheme="minorHAnsi" w:hAnsiTheme="minorHAnsi" w:cstheme="minorHAnsi"/>
          <w:spacing w:val="-5"/>
        </w:rPr>
        <w:t> dihedral angle in the 54°–110° range (</w:t>
      </w:r>
      <w:hyperlink r:id="rId31" w:anchor="fig3" w:history="1">
        <w:r w:rsidRPr="0025334E">
          <w:rPr>
            <w:rStyle w:val="Hyperlink"/>
            <w:rFonts w:asciiTheme="minorHAnsi" w:eastAsiaTheme="majorEastAsia" w:hAnsiTheme="minorHAnsi" w:cstheme="minorHAnsi"/>
            <w:color w:val="991E66"/>
            <w:spacing w:val="-5"/>
          </w:rPr>
          <w:t>Fig. 3</w:t>
        </w:r>
      </w:hyperlink>
      <w:r w:rsidRPr="0025334E">
        <w:rPr>
          <w:rFonts w:asciiTheme="minorHAnsi" w:hAnsiTheme="minorHAnsi" w:cstheme="minorHAnsi"/>
          <w:spacing w:val="-5"/>
        </w:rPr>
        <w:t>), suggesting that in the neutral state the orientation of the methoxy group is dependent on the local environment and packing. In contrast, available crystal structures of the dimethoxybenzene-based cation radicals showed that methoxy groups exist exclusively in the in-plane arrangement.</w:t>
      </w:r>
      <w:hyperlink r:id="rId32" w:anchor="cit7" w:history="1">
        <w:r w:rsidRPr="0025334E">
          <w:rPr>
            <w:rStyle w:val="Hyperlink"/>
            <w:rFonts w:asciiTheme="minorHAnsi" w:eastAsiaTheme="majorEastAsia" w:hAnsiTheme="minorHAnsi" w:cstheme="minorHAnsi"/>
            <w:color w:val="991E66"/>
            <w:spacing w:val="-5"/>
            <w:vertAlign w:val="superscript"/>
          </w:rPr>
          <w:t>7,10,11,18,19</w:t>
        </w:r>
      </w:hyperlink>
    </w:p>
    <w:p w14:paraId="62FA61E2" w14:textId="119EE204" w:rsidR="00A44A47" w:rsidRPr="0025334E" w:rsidRDefault="00A44A47" w:rsidP="004B0BFF">
      <w:pPr>
        <w:pStyle w:val="NormalWeb"/>
        <w:shd w:val="clear" w:color="auto" w:fill="FFFFFF"/>
        <w:spacing w:after="0" w:afterAutospacing="0"/>
        <w:rPr>
          <w:rFonts w:asciiTheme="minorHAnsi" w:hAnsiTheme="minorHAnsi" w:cstheme="minorHAnsi"/>
          <w:spacing w:val="-5"/>
        </w:rPr>
      </w:pPr>
      <w:r>
        <w:rPr>
          <w:noProof/>
        </w:rPr>
        <w:lastRenderedPageBreak/>
        <w:drawing>
          <wp:inline distT="0" distB="0" distL="0" distR="0" wp14:anchorId="1751704C" wp14:editId="7901B2A4">
            <wp:extent cx="3171190" cy="2178685"/>
            <wp:effectExtent l="0" t="0" r="0" b="0"/>
            <wp:docPr id="61" name="Picture 61" descr="Fig. 3 Distribution of the C–O–CAr–CAr dihedral angle obtained from 2774 crystal structures containing veratrole moiety from CCDC database. Note that 90% of the structures have C–O–CAr–CAr dihedral angle in 167°–180° r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171190" cy="2178685"/>
                    </a:xfrm>
                    <a:prstGeom prst="rect">
                      <a:avLst/>
                    </a:prstGeom>
                    <a:noFill/>
                    <a:ln>
                      <a:noFill/>
                    </a:ln>
                  </pic:spPr>
                </pic:pic>
              </a:graphicData>
            </a:graphic>
          </wp:inline>
        </w:drawing>
      </w:r>
    </w:p>
    <w:p w14:paraId="6781CB49" w14:textId="3CAC8CDD" w:rsidR="004B0BFF" w:rsidRPr="0025334E" w:rsidRDefault="004B0BFF" w:rsidP="004B0BFF">
      <w:pPr>
        <w:shd w:val="clear" w:color="auto" w:fill="FFFFFF"/>
        <w:rPr>
          <w:rFonts w:cstheme="minorHAnsi"/>
          <w:spacing w:val="-5"/>
        </w:rPr>
      </w:pPr>
      <w:r w:rsidRPr="0025334E">
        <w:rPr>
          <w:rStyle w:val="h--heading4"/>
          <w:rFonts w:cstheme="minorHAnsi"/>
          <w:b/>
          <w:bCs/>
          <w:color w:val="191919"/>
          <w:spacing w:val="-7"/>
        </w:rPr>
        <w:t>Fig. 3</w:t>
      </w:r>
      <w:r w:rsidRPr="0025334E">
        <w:rPr>
          <w:rFonts w:cstheme="minorHAnsi"/>
          <w:spacing w:val="-5"/>
        </w:rPr>
        <w:t> Distribution of the C–O–</w:t>
      </w:r>
      <w:proofErr w:type="spellStart"/>
      <w:r w:rsidRPr="0025334E">
        <w:rPr>
          <w:rFonts w:cstheme="minorHAnsi"/>
          <w:spacing w:val="-5"/>
        </w:rPr>
        <w:t>C</w:t>
      </w:r>
      <w:r w:rsidRPr="0025334E">
        <w:rPr>
          <w:rFonts w:cstheme="minorHAnsi"/>
          <w:spacing w:val="-5"/>
          <w:vertAlign w:val="subscript"/>
        </w:rPr>
        <w:t>Ar</w:t>
      </w:r>
      <w:proofErr w:type="spellEnd"/>
      <w:r w:rsidRPr="0025334E">
        <w:rPr>
          <w:rFonts w:cstheme="minorHAnsi"/>
          <w:spacing w:val="-5"/>
        </w:rPr>
        <w:t>–</w:t>
      </w:r>
      <w:proofErr w:type="spellStart"/>
      <w:r w:rsidRPr="0025334E">
        <w:rPr>
          <w:rFonts w:cstheme="minorHAnsi"/>
          <w:spacing w:val="-5"/>
        </w:rPr>
        <w:t>C</w:t>
      </w:r>
      <w:r w:rsidRPr="0025334E">
        <w:rPr>
          <w:rFonts w:cstheme="minorHAnsi"/>
          <w:spacing w:val="-5"/>
          <w:vertAlign w:val="subscript"/>
        </w:rPr>
        <w:t>Ar</w:t>
      </w:r>
      <w:proofErr w:type="spellEnd"/>
      <w:r w:rsidRPr="0025334E">
        <w:rPr>
          <w:rFonts w:cstheme="minorHAnsi"/>
          <w:spacing w:val="-5"/>
        </w:rPr>
        <w:t> dihedral angle obtained from 2774 crystal structures containing veratrole moiety from CCDC database. Note that 90% of the structures have C–O–</w:t>
      </w:r>
      <w:proofErr w:type="spellStart"/>
      <w:r w:rsidRPr="0025334E">
        <w:rPr>
          <w:rFonts w:cstheme="minorHAnsi"/>
          <w:spacing w:val="-5"/>
        </w:rPr>
        <w:t>C</w:t>
      </w:r>
      <w:r w:rsidRPr="0025334E">
        <w:rPr>
          <w:rFonts w:cstheme="minorHAnsi"/>
          <w:spacing w:val="-5"/>
          <w:vertAlign w:val="subscript"/>
        </w:rPr>
        <w:t>Ar</w:t>
      </w:r>
      <w:proofErr w:type="spellEnd"/>
      <w:r w:rsidRPr="0025334E">
        <w:rPr>
          <w:rFonts w:cstheme="minorHAnsi"/>
          <w:spacing w:val="-5"/>
        </w:rPr>
        <w:t>–</w:t>
      </w:r>
      <w:proofErr w:type="spellStart"/>
      <w:r w:rsidRPr="0025334E">
        <w:rPr>
          <w:rFonts w:cstheme="minorHAnsi"/>
          <w:spacing w:val="-5"/>
        </w:rPr>
        <w:t>C</w:t>
      </w:r>
      <w:r w:rsidRPr="0025334E">
        <w:rPr>
          <w:rFonts w:cstheme="minorHAnsi"/>
          <w:spacing w:val="-5"/>
          <w:vertAlign w:val="subscript"/>
        </w:rPr>
        <w:t>Ar</w:t>
      </w:r>
      <w:proofErr w:type="spellEnd"/>
      <w:r w:rsidRPr="0025334E">
        <w:rPr>
          <w:rFonts w:cstheme="minorHAnsi"/>
          <w:spacing w:val="-5"/>
        </w:rPr>
        <w:t> dihedral angle in 167°–180° range.</w:t>
      </w:r>
    </w:p>
    <w:p w14:paraId="7960A71A" w14:textId="29B0B98A" w:rsidR="004B0BFF" w:rsidRDefault="004B0BFF" w:rsidP="004B0BFF">
      <w:pPr>
        <w:pStyle w:val="NormalWeb"/>
        <w:shd w:val="clear" w:color="auto" w:fill="FFFFFF"/>
        <w:spacing w:after="0" w:afterAutospacing="0"/>
        <w:rPr>
          <w:rFonts w:asciiTheme="minorHAnsi" w:hAnsiTheme="minorHAnsi" w:cstheme="minorHAnsi"/>
          <w:spacing w:val="-5"/>
        </w:rPr>
      </w:pPr>
      <w:r w:rsidRPr="0025334E">
        <w:rPr>
          <w:rFonts w:asciiTheme="minorHAnsi" w:hAnsiTheme="minorHAnsi" w:cstheme="minorHAnsi"/>
          <w:spacing w:val="-5"/>
        </w:rPr>
        <w:t xml:space="preserve">Optical spectroscopy and X-ray crystallography of the </w:t>
      </w:r>
      <w:proofErr w:type="spellStart"/>
      <w:r w:rsidRPr="0025334E">
        <w:rPr>
          <w:rFonts w:asciiTheme="minorHAnsi" w:hAnsiTheme="minorHAnsi" w:cstheme="minorHAnsi"/>
          <w:spacing w:val="-5"/>
        </w:rPr>
        <w:t>dimethylcatechol</w:t>
      </w:r>
      <w:proofErr w:type="spellEnd"/>
      <w:r w:rsidRPr="0025334E">
        <w:rPr>
          <w:rFonts w:asciiTheme="minorHAnsi" w:hAnsiTheme="minorHAnsi" w:cstheme="minorHAnsi"/>
          <w:spacing w:val="-5"/>
        </w:rPr>
        <w:t xml:space="preserve"> acetals </w:t>
      </w:r>
      <w:r w:rsidRPr="0025334E">
        <w:rPr>
          <w:rStyle w:val="Strong"/>
          <w:rFonts w:asciiTheme="minorHAnsi" w:hAnsiTheme="minorHAnsi" w:cstheme="minorHAnsi"/>
          <w:spacing w:val="-5"/>
        </w:rPr>
        <w:t>Ac2</w:t>
      </w:r>
      <w:r w:rsidRPr="0025334E">
        <w:rPr>
          <w:rFonts w:asciiTheme="minorHAnsi" w:hAnsiTheme="minorHAnsi" w:cstheme="minorHAnsi"/>
          <w:spacing w:val="-5"/>
        </w:rPr>
        <w:t>-CH2 and </w:t>
      </w:r>
      <w:r w:rsidRPr="0025334E">
        <w:rPr>
          <w:rStyle w:val="Strong"/>
          <w:rFonts w:asciiTheme="minorHAnsi" w:hAnsiTheme="minorHAnsi" w:cstheme="minorHAnsi"/>
          <w:spacing w:val="-5"/>
        </w:rPr>
        <w:t>Ac2</w:t>
      </w:r>
      <w:r w:rsidRPr="0025334E">
        <w:rPr>
          <w:rFonts w:asciiTheme="minorHAnsi" w:hAnsiTheme="minorHAnsi" w:cstheme="minorHAnsi"/>
          <w:spacing w:val="-5"/>
        </w:rPr>
        <w:t xml:space="preserve">-C2H4 revealed that both </w:t>
      </w:r>
      <w:proofErr w:type="spellStart"/>
      <w:r w:rsidRPr="0025334E">
        <w:rPr>
          <w:rFonts w:asciiTheme="minorHAnsi" w:hAnsiTheme="minorHAnsi" w:cstheme="minorHAnsi"/>
          <w:spacing w:val="-5"/>
        </w:rPr>
        <w:t>bichromophores</w:t>
      </w:r>
      <w:proofErr w:type="spellEnd"/>
      <w:r w:rsidRPr="0025334E">
        <w:rPr>
          <w:rFonts w:asciiTheme="minorHAnsi" w:hAnsiTheme="minorHAnsi" w:cstheme="minorHAnsi"/>
          <w:spacing w:val="-5"/>
        </w:rPr>
        <w:t xml:space="preserve"> exist in the open conformation in the neutral state.</w:t>
      </w:r>
      <w:hyperlink r:id="rId34" w:anchor="cit12" w:history="1">
        <w:r w:rsidRPr="0025334E">
          <w:rPr>
            <w:rStyle w:val="Hyperlink"/>
            <w:rFonts w:asciiTheme="minorHAnsi" w:eastAsiaTheme="majorEastAsia" w:hAnsiTheme="minorHAnsi" w:cstheme="minorHAnsi"/>
            <w:color w:val="991E66"/>
            <w:spacing w:val="-5"/>
            <w:vertAlign w:val="superscript"/>
          </w:rPr>
          <w:t>12</w:t>
        </w:r>
      </w:hyperlink>
      <w:r w:rsidRPr="0025334E">
        <w:rPr>
          <w:rFonts w:asciiTheme="minorHAnsi" w:hAnsiTheme="minorHAnsi" w:cstheme="minorHAnsi"/>
          <w:spacing w:val="-5"/>
        </w:rPr>
        <w:t> Only </w:t>
      </w:r>
      <w:r w:rsidRPr="0025334E">
        <w:rPr>
          <w:rStyle w:val="Strong"/>
          <w:rFonts w:asciiTheme="minorHAnsi" w:hAnsiTheme="minorHAnsi" w:cstheme="minorHAnsi"/>
          <w:spacing w:val="-5"/>
        </w:rPr>
        <w:t>Ac2</w:t>
      </w:r>
      <w:r w:rsidRPr="0025334E">
        <w:rPr>
          <w:rFonts w:asciiTheme="minorHAnsi" w:hAnsiTheme="minorHAnsi" w:cstheme="minorHAnsi"/>
          <w:spacing w:val="-5"/>
        </w:rPr>
        <w:t>-CH2 undergoes ionization-induced folding into a closed conformation, while </w:t>
      </w:r>
      <w:r w:rsidRPr="0025334E">
        <w:rPr>
          <w:rStyle w:val="Strong"/>
          <w:rFonts w:asciiTheme="minorHAnsi" w:hAnsiTheme="minorHAnsi" w:cstheme="minorHAnsi"/>
          <w:spacing w:val="-5"/>
        </w:rPr>
        <w:t>Ac2</w:t>
      </w:r>
      <w:r w:rsidRPr="0025334E">
        <w:rPr>
          <w:rFonts w:asciiTheme="minorHAnsi" w:hAnsiTheme="minorHAnsi" w:cstheme="minorHAnsi"/>
          <w:spacing w:val="-5"/>
        </w:rPr>
        <w:t>-C2H4 remains in the open conformation, as evidenced by the lowering of the oxidation potential of </w:t>
      </w:r>
      <w:r w:rsidRPr="0025334E">
        <w:rPr>
          <w:rStyle w:val="Strong"/>
          <w:rFonts w:asciiTheme="minorHAnsi" w:hAnsiTheme="minorHAnsi" w:cstheme="minorHAnsi"/>
          <w:spacing w:val="-5"/>
        </w:rPr>
        <w:t>Ac2</w:t>
      </w:r>
      <w:r w:rsidRPr="0025334E">
        <w:rPr>
          <w:rFonts w:asciiTheme="minorHAnsi" w:hAnsiTheme="minorHAnsi" w:cstheme="minorHAnsi"/>
          <w:spacing w:val="-5"/>
        </w:rPr>
        <w:t>-CH2 with respect to the model </w:t>
      </w:r>
      <w:r w:rsidRPr="0025334E">
        <w:rPr>
          <w:rStyle w:val="Strong"/>
          <w:rFonts w:asciiTheme="minorHAnsi" w:hAnsiTheme="minorHAnsi" w:cstheme="minorHAnsi"/>
          <w:spacing w:val="-5"/>
        </w:rPr>
        <w:t>V1</w:t>
      </w:r>
      <w:r w:rsidRPr="0025334E">
        <w:rPr>
          <w:rFonts w:asciiTheme="minorHAnsi" w:hAnsiTheme="minorHAnsi" w:cstheme="minorHAnsi"/>
          <w:spacing w:val="-5"/>
        </w:rPr>
        <w:t> (</w:t>
      </w:r>
      <w:proofErr w:type="spellStart"/>
      <w:r w:rsidRPr="0025334E">
        <w:rPr>
          <w:rFonts w:asciiTheme="minorHAnsi" w:hAnsiTheme="minorHAnsi" w:cstheme="minorHAnsi"/>
          <w:spacing w:val="-5"/>
        </w:rPr>
        <w:t>Δ</w:t>
      </w:r>
      <w:r w:rsidRPr="0025334E">
        <w:rPr>
          <w:rStyle w:val="Emphasis"/>
          <w:rFonts w:asciiTheme="minorHAnsi" w:eastAsiaTheme="majorEastAsia" w:hAnsiTheme="minorHAnsi" w:cstheme="minorHAnsi"/>
          <w:spacing w:val="-5"/>
        </w:rPr>
        <w:t>E</w:t>
      </w:r>
      <w:r w:rsidRPr="0025334E">
        <w:rPr>
          <w:rFonts w:asciiTheme="minorHAnsi" w:hAnsiTheme="minorHAnsi" w:cstheme="minorHAnsi"/>
          <w:spacing w:val="-5"/>
          <w:vertAlign w:val="subscript"/>
        </w:rPr>
        <w:t>ox</w:t>
      </w:r>
      <w:proofErr w:type="spellEnd"/>
      <w:r w:rsidRPr="0025334E">
        <w:rPr>
          <w:rFonts w:asciiTheme="minorHAnsi" w:hAnsiTheme="minorHAnsi" w:cstheme="minorHAnsi"/>
          <w:spacing w:val="-5"/>
        </w:rPr>
        <w:t> = −0.07 V), and by the absence of any cationic charge stabilization in </w:t>
      </w:r>
      <w:r w:rsidRPr="0025334E">
        <w:rPr>
          <w:rStyle w:val="Strong"/>
          <w:rFonts w:asciiTheme="minorHAnsi" w:hAnsiTheme="minorHAnsi" w:cstheme="minorHAnsi"/>
          <w:spacing w:val="-5"/>
        </w:rPr>
        <w:t>Ac2</w:t>
      </w:r>
      <w:r w:rsidRPr="0025334E">
        <w:rPr>
          <w:rFonts w:asciiTheme="minorHAnsi" w:hAnsiTheme="minorHAnsi" w:cstheme="minorHAnsi"/>
          <w:spacing w:val="-5"/>
        </w:rPr>
        <w:t>-C2H4 (</w:t>
      </w:r>
      <w:proofErr w:type="spellStart"/>
      <w:r w:rsidRPr="0025334E">
        <w:rPr>
          <w:rFonts w:asciiTheme="minorHAnsi" w:hAnsiTheme="minorHAnsi" w:cstheme="minorHAnsi"/>
          <w:spacing w:val="-5"/>
        </w:rPr>
        <w:t>Δ</w:t>
      </w:r>
      <w:r w:rsidRPr="0025334E">
        <w:rPr>
          <w:rStyle w:val="Emphasis"/>
          <w:rFonts w:asciiTheme="minorHAnsi" w:eastAsiaTheme="majorEastAsia" w:hAnsiTheme="minorHAnsi" w:cstheme="minorHAnsi"/>
          <w:spacing w:val="-5"/>
        </w:rPr>
        <w:t>E</w:t>
      </w:r>
      <w:r w:rsidRPr="0025334E">
        <w:rPr>
          <w:rFonts w:asciiTheme="minorHAnsi" w:hAnsiTheme="minorHAnsi" w:cstheme="minorHAnsi"/>
          <w:spacing w:val="-5"/>
          <w:vertAlign w:val="subscript"/>
        </w:rPr>
        <w:t>ox</w:t>
      </w:r>
      <w:proofErr w:type="spellEnd"/>
      <w:r w:rsidRPr="0025334E">
        <w:rPr>
          <w:rFonts w:asciiTheme="minorHAnsi" w:hAnsiTheme="minorHAnsi" w:cstheme="minorHAnsi"/>
          <w:spacing w:val="-5"/>
        </w:rPr>
        <w:t> = 0.04 V, </w:t>
      </w:r>
      <w:hyperlink r:id="rId35" w:anchor="fig2" w:history="1">
        <w:r w:rsidRPr="0025334E">
          <w:rPr>
            <w:rStyle w:val="Hyperlink"/>
            <w:rFonts w:asciiTheme="minorHAnsi" w:eastAsiaTheme="majorEastAsia" w:hAnsiTheme="minorHAnsi" w:cstheme="minorHAnsi"/>
            <w:color w:val="991E66"/>
            <w:spacing w:val="-5"/>
          </w:rPr>
          <w:t>Fig. 2</w:t>
        </w:r>
      </w:hyperlink>
      <w:r w:rsidRPr="0025334E">
        <w:rPr>
          <w:rFonts w:asciiTheme="minorHAnsi" w:hAnsiTheme="minorHAnsi" w:cstheme="minorHAnsi"/>
          <w:spacing w:val="-5"/>
        </w:rPr>
        <w:t xml:space="preserve">). Although the global minimum structures have been identified in solution, they may be different from those existing in the gas phase, especially in the cases when the conformations are nearly isoenergetic and </w:t>
      </w:r>
      <w:proofErr w:type="gramStart"/>
      <w:r w:rsidRPr="0025334E">
        <w:rPr>
          <w:rFonts w:asciiTheme="minorHAnsi" w:hAnsiTheme="minorHAnsi" w:cstheme="minorHAnsi"/>
          <w:spacing w:val="-5"/>
        </w:rPr>
        <w:t>environment-dependent</w:t>
      </w:r>
      <w:proofErr w:type="gramEnd"/>
      <w:r w:rsidRPr="0025334E">
        <w:rPr>
          <w:rFonts w:asciiTheme="minorHAnsi" w:hAnsiTheme="minorHAnsi" w:cstheme="minorHAnsi"/>
          <w:spacing w:val="-5"/>
        </w:rPr>
        <w:t>.</w:t>
      </w:r>
    </w:p>
    <w:p w14:paraId="7BCABCBE" w14:textId="77777777" w:rsidR="003C402F" w:rsidRDefault="003C402F" w:rsidP="003C402F">
      <w:pPr>
        <w:pStyle w:val="NormalWeb"/>
        <w:shd w:val="clear" w:color="auto" w:fill="FFFFFF"/>
        <w:spacing w:before="0" w:beforeAutospacing="0" w:after="0" w:afterAutospacing="0"/>
        <w:rPr>
          <w:rFonts w:asciiTheme="minorHAnsi" w:hAnsiTheme="minorHAnsi" w:cstheme="minorHAnsi"/>
          <w:spacing w:val="-5"/>
        </w:rPr>
      </w:pPr>
    </w:p>
    <w:p w14:paraId="0BF78CC1" w14:textId="77777777" w:rsidR="004B0BFF" w:rsidRPr="003C402F" w:rsidRDefault="004B0BFF" w:rsidP="003C402F">
      <w:pPr>
        <w:pStyle w:val="Heading2"/>
      </w:pPr>
      <w:r w:rsidRPr="003C402F">
        <w:rPr>
          <w:rStyle w:val="section-title"/>
        </w:rPr>
        <w:t>Vertical and adiabatic ionization energies in gas phase</w:t>
      </w:r>
    </w:p>
    <w:p w14:paraId="32DF88C7" w14:textId="0FB93CE9" w:rsidR="004B0BFF" w:rsidRDefault="004B0BFF" w:rsidP="004B0BFF">
      <w:pPr>
        <w:pStyle w:val="NormalWeb"/>
        <w:shd w:val="clear" w:color="auto" w:fill="FFFFFF"/>
        <w:spacing w:after="0" w:afterAutospacing="0"/>
        <w:rPr>
          <w:rFonts w:asciiTheme="minorHAnsi" w:hAnsiTheme="minorHAnsi" w:cstheme="minorHAnsi"/>
          <w:spacing w:val="-5"/>
        </w:rPr>
      </w:pPr>
      <w:r w:rsidRPr="0025334E">
        <w:rPr>
          <w:rFonts w:asciiTheme="minorHAnsi" w:hAnsiTheme="minorHAnsi" w:cstheme="minorHAnsi"/>
          <w:spacing w:val="-5"/>
        </w:rPr>
        <w:t>Panels A, B and C in </w:t>
      </w:r>
      <w:hyperlink r:id="rId36" w:anchor="fig4" w:history="1">
        <w:r w:rsidRPr="0025334E">
          <w:rPr>
            <w:rStyle w:val="Hyperlink"/>
            <w:rFonts w:asciiTheme="minorHAnsi" w:eastAsiaTheme="majorEastAsia" w:hAnsiTheme="minorHAnsi" w:cstheme="minorHAnsi"/>
            <w:color w:val="991E66"/>
            <w:spacing w:val="-5"/>
          </w:rPr>
          <w:t>Fig. 4</w:t>
        </w:r>
      </w:hyperlink>
      <w:r w:rsidRPr="0025334E">
        <w:rPr>
          <w:rFonts w:asciiTheme="minorHAnsi" w:hAnsiTheme="minorHAnsi" w:cstheme="minorHAnsi"/>
          <w:spacing w:val="-5"/>
        </w:rPr>
        <w:t> present a schematic of a gas-phase photoelectron experiment, illustrating the difference between vertical and adiabatic ionization energies (VIE and AIE, respectively), a point central to this work. Panel A shows potential curves for a model one-dimensional (</w:t>
      </w:r>
      <w:r w:rsidRPr="0025334E">
        <w:rPr>
          <w:rStyle w:val="Emphasis"/>
          <w:rFonts w:asciiTheme="minorHAnsi" w:eastAsiaTheme="majorEastAsia" w:hAnsiTheme="minorHAnsi" w:cstheme="minorHAnsi"/>
          <w:spacing w:val="-5"/>
        </w:rPr>
        <w:t>i.e.</w:t>
      </w:r>
      <w:r w:rsidRPr="0025334E">
        <w:rPr>
          <w:rFonts w:asciiTheme="minorHAnsi" w:hAnsiTheme="minorHAnsi" w:cstheme="minorHAnsi"/>
          <w:spacing w:val="-5"/>
        </w:rPr>
        <w:t>, diatomic) case, and transition energies associated with adiabatic and vertical ionization. In a model photoelectron spectrum, panel B, individual vibrational features are distinguished, readily affording AIE and VIE determination. A more realistic case, panel C, shows unresolved features – here, the VIE corresponds to the peak in the photoelectron spectrum, while the AIE can be estimated by linear extrapolation of the rising edge back to the baseline. As such, difference between AIE and VIE measures the extent of combined structural and conformational reorganization upon ionization.</w:t>
      </w:r>
    </w:p>
    <w:p w14:paraId="5062780E" w14:textId="132F7224" w:rsidR="00B51D60" w:rsidRPr="0025334E" w:rsidRDefault="001C1A13" w:rsidP="004B0BFF">
      <w:pPr>
        <w:pStyle w:val="NormalWeb"/>
        <w:shd w:val="clear" w:color="auto" w:fill="FFFFFF"/>
        <w:spacing w:after="0" w:afterAutospacing="0"/>
        <w:rPr>
          <w:rFonts w:asciiTheme="minorHAnsi" w:hAnsiTheme="minorHAnsi" w:cstheme="minorHAnsi"/>
          <w:spacing w:val="-5"/>
        </w:rPr>
      </w:pPr>
      <w:r>
        <w:rPr>
          <w:noProof/>
        </w:rPr>
        <w:drawing>
          <wp:inline distT="0" distB="0" distL="0" distR="0" wp14:anchorId="1E3A8B2C" wp14:editId="6A055CF0">
            <wp:extent cx="2743200" cy="1280160"/>
            <wp:effectExtent l="0" t="0" r="0" b="0"/>
            <wp:docPr id="62" name="Picture 62" descr="Fig. 4 (A) Schematic one-dimensional harmonic potential energy curves for neutral (blue) and cation radical (red) states with the energy levels corresponding to the vibrational states. The adiabatic and vertical ionization energies are shown (AIE and VIE, respectively). (B) Photoelectron spectra illustrated for a resolved case. Energies corresponding to AIE and VIE are shown. (C) Illustration of how AIE and VIE are determined for a case where vibrational structure is not resolved. (D) Gas-phase photoelectron spectra of the molecules considered in this work, with derived AIE and VIE valu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743200" cy="1280160"/>
                    </a:xfrm>
                    <a:prstGeom prst="rect">
                      <a:avLst/>
                    </a:prstGeom>
                    <a:noFill/>
                    <a:ln>
                      <a:noFill/>
                    </a:ln>
                  </pic:spPr>
                </pic:pic>
              </a:graphicData>
            </a:graphic>
          </wp:inline>
        </w:drawing>
      </w:r>
    </w:p>
    <w:p w14:paraId="448F0AC4" w14:textId="719C2EB8" w:rsidR="004B0BFF" w:rsidRPr="0025334E" w:rsidRDefault="004B0BFF" w:rsidP="004B0BFF">
      <w:pPr>
        <w:shd w:val="clear" w:color="auto" w:fill="FFFFFF"/>
        <w:rPr>
          <w:rFonts w:cstheme="minorHAnsi"/>
          <w:spacing w:val="-5"/>
        </w:rPr>
      </w:pPr>
      <w:r w:rsidRPr="0025334E">
        <w:rPr>
          <w:rStyle w:val="h--heading4"/>
          <w:rFonts w:cstheme="minorHAnsi"/>
          <w:b/>
          <w:bCs/>
          <w:color w:val="191919"/>
          <w:spacing w:val="-7"/>
        </w:rPr>
        <w:t>Fig. 4</w:t>
      </w:r>
      <w:r w:rsidRPr="0025334E">
        <w:rPr>
          <w:rFonts w:cstheme="minorHAnsi"/>
          <w:spacing w:val="-5"/>
        </w:rPr>
        <w:t xml:space="preserve"> (A) Schematic one-dimensional harmonic potential energy curves for neutral (blue) and cation radical (red) states with the energy levels corresponding to the vibrational states. The adiabatic and vertical ionization energies are shown (AIE and VIE, respectively). (B) Photoelectron spectra illustrated for a resolved case. Energies corresponding to AIE and </w:t>
      </w:r>
      <w:r w:rsidRPr="0025334E">
        <w:rPr>
          <w:rFonts w:cstheme="minorHAnsi"/>
          <w:spacing w:val="-5"/>
        </w:rPr>
        <w:lastRenderedPageBreak/>
        <w:t>VIE are shown. (C) Illustration of how AIE and VIE are determined for a case where vibrational structure is not resolved. (D) Gas-phase photoelectron spectra of the molecules considered in this work, with derived AIE and VIE values.</w:t>
      </w:r>
    </w:p>
    <w:p w14:paraId="3E9CDE31" w14:textId="6ACB5048" w:rsidR="004B0BFF" w:rsidRDefault="004B0BFF" w:rsidP="004B0BFF">
      <w:pPr>
        <w:pStyle w:val="NormalWeb"/>
        <w:shd w:val="clear" w:color="auto" w:fill="FFFFFF"/>
        <w:spacing w:after="0" w:afterAutospacing="0"/>
        <w:rPr>
          <w:rFonts w:asciiTheme="minorHAnsi" w:hAnsiTheme="minorHAnsi" w:cstheme="minorHAnsi"/>
          <w:spacing w:val="-5"/>
        </w:rPr>
      </w:pPr>
      <w:r w:rsidRPr="0025334E">
        <w:rPr>
          <w:rFonts w:asciiTheme="minorHAnsi" w:hAnsiTheme="minorHAnsi" w:cstheme="minorHAnsi"/>
          <w:spacing w:val="-5"/>
        </w:rPr>
        <w:t>Following this procedure, photoelectron spectra of the gas-phase molecules were analyzed and the values of VIE and AIE were obtained (</w:t>
      </w:r>
      <w:hyperlink r:id="rId38" w:anchor="tab1" w:history="1">
        <w:r w:rsidRPr="0025334E">
          <w:rPr>
            <w:rStyle w:val="Hyperlink"/>
            <w:rFonts w:asciiTheme="minorHAnsi" w:eastAsiaTheme="majorEastAsia" w:hAnsiTheme="minorHAnsi" w:cstheme="minorHAnsi"/>
            <w:color w:val="991E66"/>
            <w:spacing w:val="-5"/>
          </w:rPr>
          <w:t>Table 1</w:t>
        </w:r>
      </w:hyperlink>
      <w:r w:rsidRPr="0025334E">
        <w:rPr>
          <w:rFonts w:asciiTheme="minorHAnsi" w:hAnsiTheme="minorHAnsi" w:cstheme="minorHAnsi"/>
          <w:spacing w:val="-5"/>
        </w:rPr>
        <w:t>). In each case the photoelectron spectrum shows a series of broad transitions (</w:t>
      </w:r>
      <w:hyperlink r:id="rId39" w:anchor="fig4" w:history="1">
        <w:r w:rsidRPr="0025334E">
          <w:rPr>
            <w:rStyle w:val="Hyperlink"/>
            <w:rFonts w:asciiTheme="minorHAnsi" w:eastAsiaTheme="majorEastAsia" w:hAnsiTheme="minorHAnsi" w:cstheme="minorHAnsi"/>
            <w:color w:val="991E66"/>
            <w:spacing w:val="-5"/>
          </w:rPr>
          <w:t>Fig. 4D</w:t>
        </w:r>
      </w:hyperlink>
      <w:r w:rsidRPr="0025334E">
        <w:rPr>
          <w:rFonts w:asciiTheme="minorHAnsi" w:hAnsiTheme="minorHAnsi" w:cstheme="minorHAnsi"/>
          <w:spacing w:val="-5"/>
        </w:rPr>
        <w:t>) reflecting electron ejection from various molecular orbitals (MOs), or from different conformations. In particular, analysis of the photoelectron spectrum of </w:t>
      </w:r>
      <w:r w:rsidRPr="0025334E">
        <w:rPr>
          <w:rStyle w:val="Strong"/>
          <w:rFonts w:asciiTheme="minorHAnsi" w:hAnsiTheme="minorHAnsi" w:cstheme="minorHAnsi"/>
          <w:spacing w:val="-5"/>
        </w:rPr>
        <w:t>V1</w:t>
      </w:r>
      <w:r w:rsidRPr="0025334E">
        <w:rPr>
          <w:rFonts w:asciiTheme="minorHAnsi" w:hAnsiTheme="minorHAnsi" w:cstheme="minorHAnsi"/>
          <w:spacing w:val="-5"/>
        </w:rPr>
        <w:t> showed that it can be best reproduced if two Gaussian functions are centered at 7.45 and 7.77 eV corresponding to two conformations with the in-plane (</w:t>
      </w:r>
      <w:r w:rsidRPr="0025334E">
        <w:rPr>
          <w:rStyle w:val="Strong"/>
          <w:rFonts w:asciiTheme="minorHAnsi" w:hAnsiTheme="minorHAnsi" w:cstheme="minorHAnsi"/>
          <w:spacing w:val="-5"/>
        </w:rPr>
        <w:t>V1</w:t>
      </w:r>
      <w:r w:rsidRPr="0025334E">
        <w:rPr>
          <w:rFonts w:asciiTheme="minorHAnsi" w:hAnsiTheme="minorHAnsi" w:cstheme="minorHAnsi"/>
          <w:spacing w:val="-5"/>
        </w:rPr>
        <w:t>-in) and out-of-plane (</w:t>
      </w:r>
      <w:r w:rsidRPr="0025334E">
        <w:rPr>
          <w:rStyle w:val="Strong"/>
          <w:rFonts w:asciiTheme="minorHAnsi" w:hAnsiTheme="minorHAnsi" w:cstheme="minorHAnsi"/>
          <w:spacing w:val="-5"/>
        </w:rPr>
        <w:t>V1</w:t>
      </w:r>
      <w:r w:rsidRPr="0025334E">
        <w:rPr>
          <w:rFonts w:asciiTheme="minorHAnsi" w:hAnsiTheme="minorHAnsi" w:cstheme="minorHAnsi"/>
          <w:spacing w:val="-5"/>
        </w:rPr>
        <w:t>-out) orientation of the methoxy group (Fig. S17 in ESI</w:t>
      </w:r>
      <w:hyperlink r:id="rId40" w:anchor="fn1" w:tooltip="Electronic supplementary information (ESI) available: Compounds characterization data, electrochemical data, and computational details. See DOI: 10.1039/c8cp02936a" w:history="1">
        <w:r w:rsidRPr="0025334E">
          <w:rPr>
            <w:rStyle w:val="Hyperlink"/>
            <w:rFonts w:asciiTheme="minorHAnsi" w:eastAsiaTheme="majorEastAsia" w:hAnsiTheme="minorHAnsi" w:cstheme="minorHAnsi"/>
            <w:color w:val="991E66"/>
            <w:spacing w:val="-5"/>
          </w:rPr>
          <w:t>†</w:t>
        </w:r>
      </w:hyperlink>
      <w:r w:rsidRPr="0025334E">
        <w:rPr>
          <w:rFonts w:asciiTheme="minorHAnsi" w:hAnsiTheme="minorHAnsi" w:cstheme="minorHAnsi"/>
          <w:spacing w:val="-5"/>
        </w:rPr>
        <w:t>) as further supported by the DFT calculations.</w:t>
      </w:r>
    </w:p>
    <w:p w14:paraId="14D3C5FB" w14:textId="77777777" w:rsidR="001C1A13" w:rsidRPr="0025334E" w:rsidRDefault="001C1A13" w:rsidP="004B0BFF">
      <w:pPr>
        <w:pStyle w:val="NormalWeb"/>
        <w:shd w:val="clear" w:color="auto" w:fill="FFFFFF"/>
        <w:spacing w:after="0" w:afterAutospacing="0"/>
        <w:rPr>
          <w:rFonts w:asciiTheme="minorHAnsi" w:hAnsiTheme="minorHAnsi" w:cstheme="minorHAnsi"/>
          <w:spacing w:val="-5"/>
        </w:rPr>
      </w:pPr>
    </w:p>
    <w:p w14:paraId="2304C13D" w14:textId="77777777" w:rsidR="004B0BFF" w:rsidRPr="0025334E" w:rsidRDefault="004B0BFF" w:rsidP="004B0BFF">
      <w:pPr>
        <w:shd w:val="clear" w:color="auto" w:fill="FFFFFF"/>
        <w:rPr>
          <w:rFonts w:cstheme="minorHAnsi"/>
          <w:spacing w:val="-5"/>
        </w:rPr>
      </w:pPr>
      <w:r w:rsidRPr="0025334E">
        <w:rPr>
          <w:rStyle w:val="h--heading3"/>
          <w:rFonts w:cstheme="minorHAnsi"/>
          <w:b/>
          <w:bCs/>
          <w:color w:val="191919"/>
          <w:spacing w:val="-7"/>
          <w:sz w:val="27"/>
          <w:szCs w:val="27"/>
        </w:rPr>
        <w:t>Table 1</w:t>
      </w:r>
      <w:r w:rsidRPr="0025334E">
        <w:rPr>
          <w:rFonts w:cstheme="minorHAnsi"/>
          <w:spacing w:val="-5"/>
        </w:rPr>
        <w:t> Experimental adiabatic oxidation potentials (</w:t>
      </w:r>
      <w:proofErr w:type="spellStart"/>
      <w:r w:rsidRPr="0025334E">
        <w:rPr>
          <w:rStyle w:val="Emphasis"/>
          <w:rFonts w:cstheme="minorHAnsi"/>
          <w:spacing w:val="-5"/>
        </w:rPr>
        <w:t>E</w:t>
      </w:r>
      <w:r w:rsidRPr="0025334E">
        <w:rPr>
          <w:rFonts w:cstheme="minorHAnsi"/>
          <w:spacing w:val="-5"/>
          <w:vertAlign w:val="subscript"/>
        </w:rPr>
        <w:t>ox</w:t>
      </w:r>
      <w:proofErr w:type="spellEnd"/>
      <w:r w:rsidRPr="0025334E">
        <w:rPr>
          <w:rFonts w:cstheme="minorHAnsi"/>
          <w:spacing w:val="-5"/>
        </w:rPr>
        <w:t>) in CH</w:t>
      </w:r>
      <w:r w:rsidRPr="0025334E">
        <w:rPr>
          <w:rFonts w:cstheme="minorHAnsi"/>
          <w:spacing w:val="-5"/>
          <w:vertAlign w:val="subscript"/>
        </w:rPr>
        <w:t>2</w:t>
      </w:r>
      <w:r w:rsidRPr="0025334E">
        <w:rPr>
          <w:rFonts w:cstheme="minorHAnsi"/>
          <w:spacing w:val="-5"/>
        </w:rPr>
        <w:t>Cl</w:t>
      </w:r>
      <w:r w:rsidRPr="0025334E">
        <w:rPr>
          <w:rFonts w:cstheme="minorHAnsi"/>
          <w:spacing w:val="-5"/>
          <w:vertAlign w:val="subscript"/>
        </w:rPr>
        <w:t>2</w:t>
      </w:r>
      <w:r w:rsidRPr="0025334E">
        <w:rPr>
          <w:rFonts w:cstheme="minorHAnsi"/>
          <w:spacing w:val="-5"/>
        </w:rPr>
        <w:t>, vertical and adiabatic ionization energies (VIE and AIE, respectively) in the gas phase. VIE and AIE are reproducible to 0.02 and 0.04 eV, respectively</w:t>
      </w:r>
    </w:p>
    <w:tbl>
      <w:tblPr>
        <w:tblStyle w:val="TableGrid"/>
        <w:tblW w:w="0" w:type="auto"/>
        <w:tblLook w:val="04A0" w:firstRow="1" w:lastRow="0" w:firstColumn="1" w:lastColumn="0" w:noHBand="0" w:noVBand="1"/>
      </w:tblPr>
      <w:tblGrid>
        <w:gridCol w:w="1221"/>
        <w:gridCol w:w="1598"/>
        <w:gridCol w:w="860"/>
        <w:gridCol w:w="863"/>
      </w:tblGrid>
      <w:tr w:rsidR="004B0BFF" w:rsidRPr="0025334E" w14:paraId="7D3BE2CE" w14:textId="77777777" w:rsidTr="001C1A13">
        <w:tc>
          <w:tcPr>
            <w:tcW w:w="0" w:type="auto"/>
            <w:hideMark/>
          </w:tcPr>
          <w:p w14:paraId="087606EC" w14:textId="77777777" w:rsidR="004B0BFF" w:rsidRPr="0025334E" w:rsidRDefault="004B0BFF">
            <w:pPr>
              <w:rPr>
                <w:rFonts w:cstheme="minorHAnsi"/>
                <w:b/>
                <w:bCs/>
              </w:rPr>
            </w:pPr>
            <w:r w:rsidRPr="0025334E">
              <w:rPr>
                <w:rFonts w:cstheme="minorHAnsi"/>
                <w:b/>
                <w:bCs/>
              </w:rPr>
              <w:t>Compound</w:t>
            </w:r>
          </w:p>
        </w:tc>
        <w:tc>
          <w:tcPr>
            <w:tcW w:w="0" w:type="auto"/>
            <w:hideMark/>
          </w:tcPr>
          <w:p w14:paraId="32F44355" w14:textId="77777777" w:rsidR="004B0BFF" w:rsidRPr="0025334E" w:rsidRDefault="004B0BFF">
            <w:pPr>
              <w:rPr>
                <w:rFonts w:cstheme="minorHAnsi"/>
                <w:b/>
                <w:bCs/>
              </w:rPr>
            </w:pPr>
            <w:proofErr w:type="spellStart"/>
            <w:r w:rsidRPr="0025334E">
              <w:rPr>
                <w:rStyle w:val="Emphasis"/>
                <w:rFonts w:cstheme="minorHAnsi"/>
                <w:b/>
                <w:bCs/>
              </w:rPr>
              <w:t>E</w:t>
            </w:r>
            <w:r w:rsidRPr="0025334E">
              <w:rPr>
                <w:rFonts w:cstheme="minorHAnsi"/>
                <w:b/>
                <w:bCs/>
                <w:vertAlign w:val="subscript"/>
              </w:rPr>
              <w:t>ox</w:t>
            </w:r>
            <w:proofErr w:type="spellEnd"/>
            <w:r w:rsidRPr="0025334E">
              <w:rPr>
                <w:rFonts w:cstheme="minorHAnsi"/>
                <w:b/>
                <w:bCs/>
              </w:rPr>
              <w:t>, V </w:t>
            </w:r>
            <w:r w:rsidRPr="0025334E">
              <w:rPr>
                <w:rStyle w:val="Emphasis"/>
                <w:rFonts w:cstheme="minorHAnsi"/>
                <w:b/>
                <w:bCs/>
              </w:rPr>
              <w:t>vs.</w:t>
            </w:r>
            <w:r w:rsidRPr="0025334E">
              <w:rPr>
                <w:rFonts w:cstheme="minorHAnsi"/>
                <w:b/>
                <w:bCs/>
              </w:rPr>
              <w:t> Fc/Fc</w:t>
            </w:r>
            <w:r w:rsidRPr="0025334E">
              <w:rPr>
                <w:rFonts w:cstheme="minorHAnsi"/>
                <w:b/>
                <w:bCs/>
                <w:vertAlign w:val="superscript"/>
              </w:rPr>
              <w:t>+</w:t>
            </w:r>
          </w:p>
        </w:tc>
        <w:tc>
          <w:tcPr>
            <w:tcW w:w="0" w:type="auto"/>
            <w:hideMark/>
          </w:tcPr>
          <w:p w14:paraId="5FC7E52D" w14:textId="77777777" w:rsidR="004B0BFF" w:rsidRPr="0025334E" w:rsidRDefault="004B0BFF">
            <w:pPr>
              <w:rPr>
                <w:rFonts w:cstheme="minorHAnsi"/>
                <w:b/>
                <w:bCs/>
              </w:rPr>
            </w:pPr>
            <w:r w:rsidRPr="0025334E">
              <w:rPr>
                <w:rFonts w:cstheme="minorHAnsi"/>
                <w:b/>
                <w:bCs/>
              </w:rPr>
              <w:t>VIE, eV</w:t>
            </w:r>
          </w:p>
        </w:tc>
        <w:tc>
          <w:tcPr>
            <w:tcW w:w="0" w:type="auto"/>
            <w:hideMark/>
          </w:tcPr>
          <w:p w14:paraId="12AFCC43" w14:textId="77777777" w:rsidR="004B0BFF" w:rsidRPr="0025334E" w:rsidRDefault="004B0BFF">
            <w:pPr>
              <w:rPr>
                <w:rFonts w:cstheme="minorHAnsi"/>
                <w:b/>
                <w:bCs/>
              </w:rPr>
            </w:pPr>
            <w:r w:rsidRPr="0025334E">
              <w:rPr>
                <w:rFonts w:cstheme="minorHAnsi"/>
                <w:b/>
                <w:bCs/>
              </w:rPr>
              <w:t>AIE, eV</w:t>
            </w:r>
          </w:p>
        </w:tc>
      </w:tr>
      <w:tr w:rsidR="004B0BFF" w:rsidRPr="0025334E" w14:paraId="43967E90" w14:textId="77777777" w:rsidTr="001C1A13">
        <w:tc>
          <w:tcPr>
            <w:tcW w:w="0" w:type="auto"/>
            <w:hideMark/>
          </w:tcPr>
          <w:p w14:paraId="7D78E913" w14:textId="77777777" w:rsidR="004B0BFF" w:rsidRPr="0025334E" w:rsidRDefault="004B0BFF">
            <w:pPr>
              <w:rPr>
                <w:rFonts w:cstheme="minorHAnsi"/>
              </w:rPr>
            </w:pPr>
            <w:r w:rsidRPr="0025334E">
              <w:rPr>
                <w:rStyle w:val="Strong"/>
                <w:rFonts w:cstheme="minorHAnsi"/>
              </w:rPr>
              <w:t>V1</w:t>
            </w:r>
          </w:p>
        </w:tc>
        <w:tc>
          <w:tcPr>
            <w:tcW w:w="0" w:type="auto"/>
            <w:hideMark/>
          </w:tcPr>
          <w:p w14:paraId="22928201" w14:textId="77777777" w:rsidR="004B0BFF" w:rsidRPr="0025334E" w:rsidRDefault="004B0BFF">
            <w:pPr>
              <w:rPr>
                <w:rFonts w:cstheme="minorHAnsi"/>
              </w:rPr>
            </w:pPr>
            <w:r w:rsidRPr="0025334E">
              <w:rPr>
                <w:rFonts w:cstheme="minorHAnsi"/>
              </w:rPr>
              <w:t>0.77</w:t>
            </w:r>
          </w:p>
        </w:tc>
        <w:tc>
          <w:tcPr>
            <w:tcW w:w="0" w:type="auto"/>
            <w:hideMark/>
          </w:tcPr>
          <w:p w14:paraId="69921CD4" w14:textId="77777777" w:rsidR="004B0BFF" w:rsidRPr="0025334E" w:rsidRDefault="004B0BFF">
            <w:pPr>
              <w:rPr>
                <w:rFonts w:cstheme="minorHAnsi"/>
              </w:rPr>
            </w:pPr>
            <w:r w:rsidRPr="0025334E">
              <w:rPr>
                <w:rFonts w:cstheme="minorHAnsi"/>
              </w:rPr>
              <w:t>7.45</w:t>
            </w:r>
          </w:p>
        </w:tc>
        <w:tc>
          <w:tcPr>
            <w:tcW w:w="0" w:type="auto"/>
            <w:hideMark/>
          </w:tcPr>
          <w:p w14:paraId="2568E143" w14:textId="77777777" w:rsidR="004B0BFF" w:rsidRPr="0025334E" w:rsidRDefault="004B0BFF">
            <w:pPr>
              <w:rPr>
                <w:rFonts w:cstheme="minorHAnsi"/>
              </w:rPr>
            </w:pPr>
            <w:r w:rsidRPr="0025334E">
              <w:rPr>
                <w:rFonts w:cstheme="minorHAnsi"/>
              </w:rPr>
              <w:t>7.16</w:t>
            </w:r>
          </w:p>
        </w:tc>
      </w:tr>
      <w:tr w:rsidR="004B0BFF" w:rsidRPr="0025334E" w14:paraId="0F2A9FB5" w14:textId="77777777" w:rsidTr="001C1A13">
        <w:tc>
          <w:tcPr>
            <w:tcW w:w="0" w:type="auto"/>
            <w:hideMark/>
          </w:tcPr>
          <w:p w14:paraId="7F822F21" w14:textId="77777777" w:rsidR="004B0BFF" w:rsidRPr="0025334E" w:rsidRDefault="004B0BFF">
            <w:pPr>
              <w:rPr>
                <w:rFonts w:cstheme="minorHAnsi"/>
              </w:rPr>
            </w:pPr>
            <w:r w:rsidRPr="0025334E">
              <w:rPr>
                <w:rStyle w:val="Strong"/>
                <w:rFonts w:cstheme="minorHAnsi"/>
              </w:rPr>
              <w:t>V2</w:t>
            </w:r>
          </w:p>
        </w:tc>
        <w:tc>
          <w:tcPr>
            <w:tcW w:w="0" w:type="auto"/>
            <w:hideMark/>
          </w:tcPr>
          <w:p w14:paraId="4056F681" w14:textId="77777777" w:rsidR="004B0BFF" w:rsidRPr="0025334E" w:rsidRDefault="004B0BFF">
            <w:pPr>
              <w:rPr>
                <w:rFonts w:cstheme="minorHAnsi"/>
              </w:rPr>
            </w:pPr>
            <w:r w:rsidRPr="0025334E">
              <w:rPr>
                <w:rFonts w:cstheme="minorHAnsi"/>
              </w:rPr>
              <w:t>0.51</w:t>
            </w:r>
          </w:p>
        </w:tc>
        <w:tc>
          <w:tcPr>
            <w:tcW w:w="0" w:type="auto"/>
            <w:hideMark/>
          </w:tcPr>
          <w:p w14:paraId="633B93E5" w14:textId="77777777" w:rsidR="004B0BFF" w:rsidRPr="0025334E" w:rsidRDefault="004B0BFF">
            <w:pPr>
              <w:rPr>
                <w:rFonts w:cstheme="minorHAnsi"/>
              </w:rPr>
            </w:pPr>
            <w:r w:rsidRPr="0025334E">
              <w:rPr>
                <w:rFonts w:cstheme="minorHAnsi"/>
              </w:rPr>
              <w:t>7.25</w:t>
            </w:r>
          </w:p>
        </w:tc>
        <w:tc>
          <w:tcPr>
            <w:tcW w:w="0" w:type="auto"/>
            <w:hideMark/>
          </w:tcPr>
          <w:p w14:paraId="7FA59AA5" w14:textId="77777777" w:rsidR="004B0BFF" w:rsidRPr="0025334E" w:rsidRDefault="004B0BFF">
            <w:pPr>
              <w:rPr>
                <w:rFonts w:cstheme="minorHAnsi"/>
              </w:rPr>
            </w:pPr>
            <w:r w:rsidRPr="0025334E">
              <w:rPr>
                <w:rFonts w:cstheme="minorHAnsi"/>
              </w:rPr>
              <w:t>6.71</w:t>
            </w:r>
          </w:p>
        </w:tc>
      </w:tr>
      <w:tr w:rsidR="004B0BFF" w:rsidRPr="0025334E" w14:paraId="38BFF429" w14:textId="77777777" w:rsidTr="001C1A13">
        <w:tc>
          <w:tcPr>
            <w:tcW w:w="0" w:type="auto"/>
            <w:hideMark/>
          </w:tcPr>
          <w:p w14:paraId="713DAEA7" w14:textId="77777777" w:rsidR="004B0BFF" w:rsidRPr="0025334E" w:rsidRDefault="004B0BFF">
            <w:pPr>
              <w:rPr>
                <w:rFonts w:cstheme="minorHAnsi"/>
              </w:rPr>
            </w:pPr>
            <w:r w:rsidRPr="0025334E">
              <w:rPr>
                <w:rStyle w:val="Strong"/>
                <w:rFonts w:cstheme="minorHAnsi"/>
              </w:rPr>
              <w:t>V2</w:t>
            </w:r>
            <w:r w:rsidRPr="0025334E">
              <w:rPr>
                <w:rFonts w:cstheme="minorHAnsi"/>
              </w:rPr>
              <w:t>-locked</w:t>
            </w:r>
          </w:p>
        </w:tc>
        <w:tc>
          <w:tcPr>
            <w:tcW w:w="0" w:type="auto"/>
            <w:hideMark/>
          </w:tcPr>
          <w:p w14:paraId="66623CF1" w14:textId="77777777" w:rsidR="004B0BFF" w:rsidRPr="0025334E" w:rsidRDefault="004B0BFF">
            <w:pPr>
              <w:rPr>
                <w:rFonts w:cstheme="minorHAnsi"/>
              </w:rPr>
            </w:pPr>
            <w:r w:rsidRPr="0025334E">
              <w:rPr>
                <w:rFonts w:cstheme="minorHAnsi"/>
              </w:rPr>
              <w:t>0.42</w:t>
            </w:r>
          </w:p>
        </w:tc>
        <w:tc>
          <w:tcPr>
            <w:tcW w:w="0" w:type="auto"/>
            <w:hideMark/>
          </w:tcPr>
          <w:p w14:paraId="61C8E88D" w14:textId="77777777" w:rsidR="004B0BFF" w:rsidRPr="0025334E" w:rsidRDefault="004B0BFF">
            <w:pPr>
              <w:rPr>
                <w:rFonts w:cstheme="minorHAnsi"/>
              </w:rPr>
            </w:pPr>
            <w:r w:rsidRPr="0025334E">
              <w:rPr>
                <w:rFonts w:cstheme="minorHAnsi"/>
              </w:rPr>
              <w:t>7.06</w:t>
            </w:r>
          </w:p>
        </w:tc>
        <w:tc>
          <w:tcPr>
            <w:tcW w:w="0" w:type="auto"/>
            <w:hideMark/>
          </w:tcPr>
          <w:p w14:paraId="738E64DA" w14:textId="77777777" w:rsidR="004B0BFF" w:rsidRPr="0025334E" w:rsidRDefault="004B0BFF">
            <w:pPr>
              <w:rPr>
                <w:rFonts w:cstheme="minorHAnsi"/>
              </w:rPr>
            </w:pPr>
            <w:r w:rsidRPr="0025334E">
              <w:rPr>
                <w:rFonts w:cstheme="minorHAnsi"/>
              </w:rPr>
              <w:t>6.67</w:t>
            </w:r>
          </w:p>
        </w:tc>
      </w:tr>
      <w:tr w:rsidR="004B0BFF" w:rsidRPr="0025334E" w14:paraId="7EB3F1D5" w14:textId="77777777" w:rsidTr="001C1A13">
        <w:tc>
          <w:tcPr>
            <w:tcW w:w="0" w:type="auto"/>
            <w:hideMark/>
          </w:tcPr>
          <w:p w14:paraId="37069134" w14:textId="77777777" w:rsidR="004B0BFF" w:rsidRPr="0025334E" w:rsidRDefault="004B0BFF">
            <w:pPr>
              <w:rPr>
                <w:rFonts w:cstheme="minorHAnsi"/>
              </w:rPr>
            </w:pPr>
            <w:r w:rsidRPr="0025334E">
              <w:rPr>
                <w:rStyle w:val="Strong"/>
                <w:rFonts w:cstheme="minorHAnsi"/>
              </w:rPr>
              <w:t>Ac2</w:t>
            </w:r>
            <w:r w:rsidRPr="0025334E">
              <w:rPr>
                <w:rFonts w:cstheme="minorHAnsi"/>
              </w:rPr>
              <w:t>-CH2</w:t>
            </w:r>
          </w:p>
        </w:tc>
        <w:tc>
          <w:tcPr>
            <w:tcW w:w="0" w:type="auto"/>
            <w:hideMark/>
          </w:tcPr>
          <w:p w14:paraId="11FD363C" w14:textId="77777777" w:rsidR="004B0BFF" w:rsidRPr="0025334E" w:rsidRDefault="004B0BFF">
            <w:pPr>
              <w:rPr>
                <w:rFonts w:cstheme="minorHAnsi"/>
              </w:rPr>
            </w:pPr>
            <w:r w:rsidRPr="0025334E">
              <w:rPr>
                <w:rFonts w:cstheme="minorHAnsi"/>
              </w:rPr>
              <w:t>0.70</w:t>
            </w:r>
          </w:p>
        </w:tc>
        <w:tc>
          <w:tcPr>
            <w:tcW w:w="0" w:type="auto"/>
            <w:hideMark/>
          </w:tcPr>
          <w:p w14:paraId="3A165412" w14:textId="77777777" w:rsidR="004B0BFF" w:rsidRPr="0025334E" w:rsidRDefault="004B0BFF">
            <w:pPr>
              <w:rPr>
                <w:rFonts w:cstheme="minorHAnsi"/>
              </w:rPr>
            </w:pPr>
            <w:r w:rsidRPr="0025334E">
              <w:rPr>
                <w:rFonts w:cstheme="minorHAnsi"/>
              </w:rPr>
              <w:t>7.47</w:t>
            </w:r>
          </w:p>
        </w:tc>
        <w:tc>
          <w:tcPr>
            <w:tcW w:w="0" w:type="auto"/>
            <w:hideMark/>
          </w:tcPr>
          <w:p w14:paraId="05A3F9D4" w14:textId="77777777" w:rsidR="004B0BFF" w:rsidRPr="0025334E" w:rsidRDefault="004B0BFF">
            <w:pPr>
              <w:rPr>
                <w:rFonts w:cstheme="minorHAnsi"/>
              </w:rPr>
            </w:pPr>
            <w:r w:rsidRPr="0025334E">
              <w:rPr>
                <w:rFonts w:cstheme="minorHAnsi"/>
              </w:rPr>
              <w:t>6.99</w:t>
            </w:r>
          </w:p>
        </w:tc>
      </w:tr>
      <w:tr w:rsidR="004B0BFF" w:rsidRPr="0025334E" w14:paraId="1D26833B" w14:textId="77777777" w:rsidTr="001C1A13">
        <w:tc>
          <w:tcPr>
            <w:tcW w:w="0" w:type="auto"/>
            <w:hideMark/>
          </w:tcPr>
          <w:p w14:paraId="585184F1" w14:textId="77777777" w:rsidR="004B0BFF" w:rsidRPr="0025334E" w:rsidRDefault="004B0BFF">
            <w:pPr>
              <w:rPr>
                <w:rFonts w:cstheme="minorHAnsi"/>
              </w:rPr>
            </w:pPr>
            <w:r w:rsidRPr="0025334E">
              <w:rPr>
                <w:rStyle w:val="Strong"/>
                <w:rFonts w:cstheme="minorHAnsi"/>
              </w:rPr>
              <w:t>Ac2</w:t>
            </w:r>
            <w:r w:rsidRPr="0025334E">
              <w:rPr>
                <w:rFonts w:cstheme="minorHAnsi"/>
              </w:rPr>
              <w:t>-C2H4</w:t>
            </w:r>
          </w:p>
        </w:tc>
        <w:tc>
          <w:tcPr>
            <w:tcW w:w="0" w:type="auto"/>
            <w:hideMark/>
          </w:tcPr>
          <w:p w14:paraId="4A660876" w14:textId="77777777" w:rsidR="004B0BFF" w:rsidRPr="0025334E" w:rsidRDefault="004B0BFF">
            <w:pPr>
              <w:rPr>
                <w:rFonts w:cstheme="minorHAnsi"/>
              </w:rPr>
            </w:pPr>
            <w:r w:rsidRPr="0025334E">
              <w:rPr>
                <w:rFonts w:cstheme="minorHAnsi"/>
              </w:rPr>
              <w:t>0.81</w:t>
            </w:r>
          </w:p>
        </w:tc>
        <w:tc>
          <w:tcPr>
            <w:tcW w:w="0" w:type="auto"/>
            <w:hideMark/>
          </w:tcPr>
          <w:p w14:paraId="475F7AD2" w14:textId="77777777" w:rsidR="004B0BFF" w:rsidRPr="0025334E" w:rsidRDefault="004B0BFF">
            <w:pPr>
              <w:rPr>
                <w:rFonts w:cstheme="minorHAnsi"/>
              </w:rPr>
            </w:pPr>
            <w:r w:rsidRPr="0025334E">
              <w:rPr>
                <w:rFonts w:cstheme="minorHAnsi"/>
              </w:rPr>
              <w:t>7.45</w:t>
            </w:r>
          </w:p>
        </w:tc>
        <w:tc>
          <w:tcPr>
            <w:tcW w:w="0" w:type="auto"/>
            <w:hideMark/>
          </w:tcPr>
          <w:p w14:paraId="34F7AFF8" w14:textId="77777777" w:rsidR="004B0BFF" w:rsidRPr="0025334E" w:rsidRDefault="004B0BFF">
            <w:pPr>
              <w:rPr>
                <w:rFonts w:cstheme="minorHAnsi"/>
              </w:rPr>
            </w:pPr>
            <w:r w:rsidRPr="0025334E">
              <w:rPr>
                <w:rFonts w:cstheme="minorHAnsi"/>
              </w:rPr>
              <w:t>7.09</w:t>
            </w:r>
          </w:p>
        </w:tc>
      </w:tr>
    </w:tbl>
    <w:p w14:paraId="69852282" w14:textId="77ED9222" w:rsidR="004B0BFF" w:rsidRDefault="004B0BFF" w:rsidP="004B0BFF">
      <w:pPr>
        <w:pStyle w:val="NormalWeb"/>
        <w:shd w:val="clear" w:color="auto" w:fill="FFFFFF"/>
        <w:spacing w:after="0" w:afterAutospacing="0"/>
        <w:rPr>
          <w:rFonts w:asciiTheme="minorHAnsi" w:hAnsiTheme="minorHAnsi" w:cstheme="minorHAnsi"/>
          <w:spacing w:val="-5"/>
        </w:rPr>
      </w:pPr>
      <w:r w:rsidRPr="0025334E">
        <w:rPr>
          <w:rFonts w:asciiTheme="minorHAnsi" w:hAnsiTheme="minorHAnsi" w:cstheme="minorHAnsi"/>
          <w:spacing w:val="-5"/>
        </w:rPr>
        <w:t>The correlation plot between solution-phase </w:t>
      </w:r>
      <w:proofErr w:type="spellStart"/>
      <w:r w:rsidRPr="0025334E">
        <w:rPr>
          <w:rStyle w:val="Emphasis"/>
          <w:rFonts w:asciiTheme="minorHAnsi" w:eastAsiaTheme="majorEastAsia" w:hAnsiTheme="minorHAnsi" w:cstheme="minorHAnsi"/>
          <w:spacing w:val="-5"/>
        </w:rPr>
        <w:t>E</w:t>
      </w:r>
      <w:r w:rsidRPr="0025334E">
        <w:rPr>
          <w:rFonts w:asciiTheme="minorHAnsi" w:hAnsiTheme="minorHAnsi" w:cstheme="minorHAnsi"/>
          <w:spacing w:val="-5"/>
          <w:vertAlign w:val="subscript"/>
        </w:rPr>
        <w:t>ox</w:t>
      </w:r>
      <w:proofErr w:type="spellEnd"/>
      <w:r w:rsidRPr="0025334E">
        <w:rPr>
          <w:rFonts w:asciiTheme="minorHAnsi" w:hAnsiTheme="minorHAnsi" w:cstheme="minorHAnsi"/>
          <w:spacing w:val="-5"/>
        </w:rPr>
        <w:t> and gas-phase AIE shows a clear linear correlation (</w:t>
      </w:r>
      <w:r w:rsidRPr="0025334E">
        <w:rPr>
          <w:rStyle w:val="Emphasis"/>
          <w:rFonts w:asciiTheme="minorHAnsi" w:eastAsiaTheme="majorEastAsia" w:hAnsiTheme="minorHAnsi" w:cstheme="minorHAnsi"/>
          <w:spacing w:val="-5"/>
        </w:rPr>
        <w:t>R</w:t>
      </w:r>
      <w:r w:rsidRPr="0025334E">
        <w:rPr>
          <w:rFonts w:asciiTheme="minorHAnsi" w:hAnsiTheme="minorHAnsi" w:cstheme="minorHAnsi"/>
          <w:spacing w:val="-5"/>
          <w:vertAlign w:val="superscript"/>
        </w:rPr>
        <w:t>2</w:t>
      </w:r>
      <w:r w:rsidRPr="0025334E">
        <w:rPr>
          <w:rFonts w:asciiTheme="minorHAnsi" w:hAnsiTheme="minorHAnsi" w:cstheme="minorHAnsi"/>
          <w:spacing w:val="-5"/>
        </w:rPr>
        <w:t> = 0.96, red circles in </w:t>
      </w:r>
      <w:hyperlink r:id="rId41" w:anchor="fig5" w:history="1">
        <w:r w:rsidRPr="0025334E">
          <w:rPr>
            <w:rStyle w:val="Hyperlink"/>
            <w:rFonts w:asciiTheme="minorHAnsi" w:eastAsiaTheme="majorEastAsia" w:hAnsiTheme="minorHAnsi" w:cstheme="minorHAnsi"/>
            <w:color w:val="991E66"/>
            <w:spacing w:val="-5"/>
          </w:rPr>
          <w:t>Fig. 5</w:t>
        </w:r>
      </w:hyperlink>
      <w:r w:rsidRPr="0025334E">
        <w:rPr>
          <w:rFonts w:asciiTheme="minorHAnsi" w:hAnsiTheme="minorHAnsi" w:cstheme="minorHAnsi"/>
          <w:spacing w:val="-5"/>
        </w:rPr>
        <w:t>), suggesting that the combined structural and conformational reorganization in the gas phase is energetically similar to that in the solution, while a non-unity slope of 0.68 reflects some variance in solvent reorganization. In contrast, the correlation between </w:t>
      </w:r>
      <w:proofErr w:type="spellStart"/>
      <w:r w:rsidRPr="0025334E">
        <w:rPr>
          <w:rStyle w:val="Emphasis"/>
          <w:rFonts w:asciiTheme="minorHAnsi" w:eastAsiaTheme="majorEastAsia" w:hAnsiTheme="minorHAnsi" w:cstheme="minorHAnsi"/>
          <w:spacing w:val="-5"/>
        </w:rPr>
        <w:t>E</w:t>
      </w:r>
      <w:r w:rsidRPr="0025334E">
        <w:rPr>
          <w:rFonts w:asciiTheme="minorHAnsi" w:hAnsiTheme="minorHAnsi" w:cstheme="minorHAnsi"/>
          <w:spacing w:val="-5"/>
          <w:vertAlign w:val="subscript"/>
        </w:rPr>
        <w:t>ox</w:t>
      </w:r>
      <w:proofErr w:type="spellEnd"/>
      <w:r w:rsidRPr="0025334E">
        <w:rPr>
          <w:rFonts w:asciiTheme="minorHAnsi" w:hAnsiTheme="minorHAnsi" w:cstheme="minorHAnsi"/>
          <w:spacing w:val="-5"/>
        </w:rPr>
        <w:t> and VIE shows a scattered plot, which can be separated into a roughly linear trend for compounds that undergo conformational reorganization such as folding and methoxy group rotation (</w:t>
      </w:r>
      <w:r w:rsidRPr="0025334E">
        <w:rPr>
          <w:rStyle w:val="Emphasis"/>
          <w:rFonts w:asciiTheme="minorHAnsi" w:eastAsiaTheme="majorEastAsia" w:hAnsiTheme="minorHAnsi" w:cstheme="minorHAnsi"/>
          <w:spacing w:val="-5"/>
        </w:rPr>
        <w:t>i.e.</w:t>
      </w:r>
      <w:r w:rsidRPr="0025334E">
        <w:rPr>
          <w:rFonts w:asciiTheme="minorHAnsi" w:hAnsiTheme="minorHAnsi" w:cstheme="minorHAnsi"/>
          <w:spacing w:val="-5"/>
        </w:rPr>
        <w:t>, </w:t>
      </w:r>
      <w:r w:rsidRPr="0025334E">
        <w:rPr>
          <w:rStyle w:val="Strong"/>
          <w:rFonts w:asciiTheme="minorHAnsi" w:hAnsiTheme="minorHAnsi" w:cstheme="minorHAnsi"/>
          <w:spacing w:val="-5"/>
        </w:rPr>
        <w:t>V1</w:t>
      </w:r>
      <w:r w:rsidRPr="0025334E">
        <w:rPr>
          <w:rFonts w:asciiTheme="minorHAnsi" w:hAnsiTheme="minorHAnsi" w:cstheme="minorHAnsi"/>
          <w:spacing w:val="-5"/>
        </w:rPr>
        <w:t>-out, </w:t>
      </w:r>
      <w:r w:rsidRPr="0025334E">
        <w:rPr>
          <w:rStyle w:val="Strong"/>
          <w:rFonts w:asciiTheme="minorHAnsi" w:hAnsiTheme="minorHAnsi" w:cstheme="minorHAnsi"/>
          <w:spacing w:val="-5"/>
        </w:rPr>
        <w:t>V2</w:t>
      </w:r>
      <w:r w:rsidRPr="0025334E">
        <w:rPr>
          <w:rFonts w:asciiTheme="minorHAnsi" w:hAnsiTheme="minorHAnsi" w:cstheme="minorHAnsi"/>
          <w:spacing w:val="-5"/>
        </w:rPr>
        <w:t>, </w:t>
      </w:r>
      <w:r w:rsidRPr="0025334E">
        <w:rPr>
          <w:rStyle w:val="Strong"/>
          <w:rFonts w:asciiTheme="minorHAnsi" w:hAnsiTheme="minorHAnsi" w:cstheme="minorHAnsi"/>
          <w:spacing w:val="-5"/>
        </w:rPr>
        <w:t>V2</w:t>
      </w:r>
      <w:r w:rsidRPr="0025334E">
        <w:rPr>
          <w:rFonts w:asciiTheme="minorHAnsi" w:hAnsiTheme="minorHAnsi" w:cstheme="minorHAnsi"/>
          <w:spacing w:val="-5"/>
        </w:rPr>
        <w:t>-locked, and </w:t>
      </w:r>
      <w:r w:rsidRPr="0025334E">
        <w:rPr>
          <w:rStyle w:val="Strong"/>
          <w:rFonts w:asciiTheme="minorHAnsi" w:hAnsiTheme="minorHAnsi" w:cstheme="minorHAnsi"/>
          <w:spacing w:val="-5"/>
        </w:rPr>
        <w:t>Ac2</w:t>
      </w:r>
      <w:r w:rsidRPr="0025334E">
        <w:rPr>
          <w:rFonts w:asciiTheme="minorHAnsi" w:hAnsiTheme="minorHAnsi" w:cstheme="minorHAnsi"/>
          <w:spacing w:val="-5"/>
        </w:rPr>
        <w:t>-CH2, see blue circles in </w:t>
      </w:r>
      <w:hyperlink r:id="rId42" w:anchor="fig5" w:history="1">
        <w:r w:rsidRPr="0025334E">
          <w:rPr>
            <w:rStyle w:val="Hyperlink"/>
            <w:rFonts w:asciiTheme="minorHAnsi" w:eastAsiaTheme="majorEastAsia" w:hAnsiTheme="minorHAnsi" w:cstheme="minorHAnsi"/>
            <w:color w:val="991E66"/>
            <w:spacing w:val="-5"/>
          </w:rPr>
          <w:t>Fig. 5</w:t>
        </w:r>
      </w:hyperlink>
      <w:r w:rsidRPr="0025334E">
        <w:rPr>
          <w:rFonts w:asciiTheme="minorHAnsi" w:hAnsiTheme="minorHAnsi" w:cstheme="minorHAnsi"/>
          <w:spacing w:val="-5"/>
        </w:rPr>
        <w:t>), and a cluster of two molecules where ionization-induced reorganization is limited to the structural reorganization of a single aromatic moiety (</w:t>
      </w:r>
      <w:r w:rsidRPr="0025334E">
        <w:rPr>
          <w:rStyle w:val="Emphasis"/>
          <w:rFonts w:asciiTheme="minorHAnsi" w:eastAsiaTheme="majorEastAsia" w:hAnsiTheme="minorHAnsi" w:cstheme="minorHAnsi"/>
          <w:spacing w:val="-5"/>
        </w:rPr>
        <w:t>i.e.</w:t>
      </w:r>
      <w:r w:rsidRPr="0025334E">
        <w:rPr>
          <w:rFonts w:asciiTheme="minorHAnsi" w:hAnsiTheme="minorHAnsi" w:cstheme="minorHAnsi"/>
          <w:spacing w:val="-5"/>
        </w:rPr>
        <w:t>, </w:t>
      </w:r>
      <w:r w:rsidRPr="0025334E">
        <w:rPr>
          <w:rStyle w:val="Strong"/>
          <w:rFonts w:asciiTheme="minorHAnsi" w:hAnsiTheme="minorHAnsi" w:cstheme="minorHAnsi"/>
          <w:spacing w:val="-5"/>
        </w:rPr>
        <w:t>V1</w:t>
      </w:r>
      <w:r w:rsidRPr="0025334E">
        <w:rPr>
          <w:rFonts w:asciiTheme="minorHAnsi" w:hAnsiTheme="minorHAnsi" w:cstheme="minorHAnsi"/>
          <w:spacing w:val="-5"/>
        </w:rPr>
        <w:t>-in, </w:t>
      </w:r>
      <w:r w:rsidRPr="0025334E">
        <w:rPr>
          <w:rStyle w:val="Strong"/>
          <w:rFonts w:asciiTheme="minorHAnsi" w:hAnsiTheme="minorHAnsi" w:cstheme="minorHAnsi"/>
          <w:spacing w:val="-5"/>
        </w:rPr>
        <w:t>Ac2</w:t>
      </w:r>
      <w:r w:rsidRPr="0025334E">
        <w:rPr>
          <w:rFonts w:asciiTheme="minorHAnsi" w:hAnsiTheme="minorHAnsi" w:cstheme="minorHAnsi"/>
          <w:spacing w:val="-5"/>
        </w:rPr>
        <w:t>-C2H4, see blue squares in </w:t>
      </w:r>
      <w:hyperlink r:id="rId43" w:anchor="fig5" w:history="1">
        <w:r w:rsidRPr="0025334E">
          <w:rPr>
            <w:rStyle w:val="Hyperlink"/>
            <w:rFonts w:asciiTheme="minorHAnsi" w:eastAsiaTheme="majorEastAsia" w:hAnsiTheme="minorHAnsi" w:cstheme="minorHAnsi"/>
            <w:color w:val="991E66"/>
            <w:spacing w:val="-5"/>
          </w:rPr>
          <w:t>Fig. 5</w:t>
        </w:r>
      </w:hyperlink>
      <w:r w:rsidRPr="0025334E">
        <w:rPr>
          <w:rFonts w:asciiTheme="minorHAnsi" w:hAnsiTheme="minorHAnsi" w:cstheme="minorHAnsi"/>
          <w:spacing w:val="-5"/>
        </w:rPr>
        <w:t>).</w:t>
      </w:r>
    </w:p>
    <w:p w14:paraId="700C13A4" w14:textId="2A24A84F" w:rsidR="001C1A13" w:rsidRPr="0025334E" w:rsidRDefault="00224849" w:rsidP="00224849">
      <w:pPr>
        <w:pStyle w:val="NormalWeb"/>
        <w:shd w:val="clear" w:color="auto" w:fill="FFFFFF"/>
        <w:spacing w:before="0" w:beforeAutospacing="0" w:after="0" w:afterAutospacing="0"/>
        <w:rPr>
          <w:rFonts w:asciiTheme="minorHAnsi" w:hAnsiTheme="minorHAnsi" w:cstheme="minorHAnsi"/>
          <w:spacing w:val="-5"/>
        </w:rPr>
      </w:pPr>
      <w:r>
        <w:rPr>
          <w:noProof/>
        </w:rPr>
        <w:drawing>
          <wp:inline distT="0" distB="0" distL="0" distR="0" wp14:anchorId="5B59A295" wp14:editId="6C18B522">
            <wp:extent cx="2571750" cy="2505710"/>
            <wp:effectExtent l="0" t="0" r="0" b="8890"/>
            <wp:docPr id="63" name="Picture 63" descr="Fig. 5 Correlation plots of the solution phase adiabatic oxidation potentials (Eox) vs. gas-phase adiabatic (red circles) and vertical (blue circles and squares) ionization energies. Best-fit linear trends are shown: Eox = 0.68AIE − 4.10, R2 = 0.96 (red) and Eox = 0.52VIE − 3.23, R2 = 0.94 (blue, V1-in and Ac2-C2H4 exclu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571750" cy="2505710"/>
                    </a:xfrm>
                    <a:prstGeom prst="rect">
                      <a:avLst/>
                    </a:prstGeom>
                    <a:noFill/>
                    <a:ln>
                      <a:noFill/>
                    </a:ln>
                  </pic:spPr>
                </pic:pic>
              </a:graphicData>
            </a:graphic>
          </wp:inline>
        </w:drawing>
      </w:r>
    </w:p>
    <w:p w14:paraId="3389B848" w14:textId="1A5A6CFF" w:rsidR="004B0BFF" w:rsidRPr="0025334E" w:rsidRDefault="004B0BFF" w:rsidP="004B0BFF">
      <w:pPr>
        <w:shd w:val="clear" w:color="auto" w:fill="FFFFFF"/>
        <w:rPr>
          <w:rFonts w:cstheme="minorHAnsi"/>
          <w:spacing w:val="-5"/>
        </w:rPr>
      </w:pPr>
      <w:r w:rsidRPr="0025334E">
        <w:rPr>
          <w:rStyle w:val="h--heading4"/>
          <w:rFonts w:cstheme="minorHAnsi"/>
          <w:b/>
          <w:bCs/>
          <w:color w:val="191919"/>
          <w:spacing w:val="-7"/>
        </w:rPr>
        <w:t>Fig. 5</w:t>
      </w:r>
      <w:r w:rsidRPr="0025334E">
        <w:rPr>
          <w:rFonts w:cstheme="minorHAnsi"/>
          <w:spacing w:val="-5"/>
        </w:rPr>
        <w:t> Correlation plots of the solution phase adiabatic oxidation potentials (</w:t>
      </w:r>
      <w:proofErr w:type="spellStart"/>
      <w:r w:rsidRPr="0025334E">
        <w:rPr>
          <w:rStyle w:val="Emphasis"/>
          <w:rFonts w:cstheme="minorHAnsi"/>
          <w:spacing w:val="-5"/>
        </w:rPr>
        <w:t>E</w:t>
      </w:r>
      <w:r w:rsidRPr="0025334E">
        <w:rPr>
          <w:rFonts w:cstheme="minorHAnsi"/>
          <w:spacing w:val="-5"/>
          <w:vertAlign w:val="subscript"/>
        </w:rPr>
        <w:t>ox</w:t>
      </w:r>
      <w:proofErr w:type="spellEnd"/>
      <w:r w:rsidRPr="0025334E">
        <w:rPr>
          <w:rFonts w:cstheme="minorHAnsi"/>
          <w:spacing w:val="-5"/>
        </w:rPr>
        <w:t>) </w:t>
      </w:r>
      <w:r w:rsidRPr="0025334E">
        <w:rPr>
          <w:rStyle w:val="Emphasis"/>
          <w:rFonts w:cstheme="minorHAnsi"/>
          <w:spacing w:val="-5"/>
        </w:rPr>
        <w:t>vs.</w:t>
      </w:r>
      <w:r w:rsidRPr="0025334E">
        <w:rPr>
          <w:rFonts w:cstheme="minorHAnsi"/>
          <w:spacing w:val="-5"/>
        </w:rPr>
        <w:t> gas-phase adiabatic (red circles) and vertical (blue circles and squares) ionization energies. Best-fit linear trends are shown: </w:t>
      </w:r>
      <w:proofErr w:type="spellStart"/>
      <w:r w:rsidRPr="0025334E">
        <w:rPr>
          <w:rStyle w:val="Emphasis"/>
          <w:rFonts w:cstheme="minorHAnsi"/>
          <w:spacing w:val="-5"/>
        </w:rPr>
        <w:t>E</w:t>
      </w:r>
      <w:r w:rsidRPr="0025334E">
        <w:rPr>
          <w:rFonts w:cstheme="minorHAnsi"/>
          <w:spacing w:val="-5"/>
          <w:vertAlign w:val="subscript"/>
        </w:rPr>
        <w:t>ox</w:t>
      </w:r>
      <w:proofErr w:type="spellEnd"/>
      <w:r w:rsidRPr="0025334E">
        <w:rPr>
          <w:rFonts w:cstheme="minorHAnsi"/>
          <w:spacing w:val="-5"/>
        </w:rPr>
        <w:t> = 0.68AIE − 4.10, </w:t>
      </w:r>
      <w:r w:rsidRPr="0025334E">
        <w:rPr>
          <w:rStyle w:val="Emphasis"/>
          <w:rFonts w:cstheme="minorHAnsi"/>
          <w:spacing w:val="-5"/>
        </w:rPr>
        <w:t>R</w:t>
      </w:r>
      <w:r w:rsidRPr="0025334E">
        <w:rPr>
          <w:rFonts w:cstheme="minorHAnsi"/>
          <w:spacing w:val="-5"/>
          <w:vertAlign w:val="superscript"/>
        </w:rPr>
        <w:t>2</w:t>
      </w:r>
      <w:r w:rsidRPr="0025334E">
        <w:rPr>
          <w:rFonts w:cstheme="minorHAnsi"/>
          <w:spacing w:val="-5"/>
        </w:rPr>
        <w:t> = 0.96 (red) and </w:t>
      </w:r>
      <w:proofErr w:type="spellStart"/>
      <w:r w:rsidRPr="0025334E">
        <w:rPr>
          <w:rStyle w:val="Emphasis"/>
          <w:rFonts w:cstheme="minorHAnsi"/>
          <w:spacing w:val="-5"/>
        </w:rPr>
        <w:t>E</w:t>
      </w:r>
      <w:r w:rsidRPr="0025334E">
        <w:rPr>
          <w:rFonts w:cstheme="minorHAnsi"/>
          <w:spacing w:val="-5"/>
          <w:vertAlign w:val="subscript"/>
        </w:rPr>
        <w:t>ox</w:t>
      </w:r>
      <w:proofErr w:type="spellEnd"/>
      <w:r w:rsidRPr="0025334E">
        <w:rPr>
          <w:rFonts w:cstheme="minorHAnsi"/>
          <w:spacing w:val="-5"/>
        </w:rPr>
        <w:t> = 0.52VIE − 3.23, </w:t>
      </w:r>
      <w:r w:rsidRPr="0025334E">
        <w:rPr>
          <w:rStyle w:val="Emphasis"/>
          <w:rFonts w:cstheme="minorHAnsi"/>
          <w:spacing w:val="-5"/>
        </w:rPr>
        <w:t>R</w:t>
      </w:r>
      <w:r w:rsidRPr="0025334E">
        <w:rPr>
          <w:rFonts w:cstheme="minorHAnsi"/>
          <w:spacing w:val="-5"/>
          <w:vertAlign w:val="superscript"/>
        </w:rPr>
        <w:t>2</w:t>
      </w:r>
      <w:r w:rsidRPr="0025334E">
        <w:rPr>
          <w:rFonts w:cstheme="minorHAnsi"/>
          <w:spacing w:val="-5"/>
        </w:rPr>
        <w:t> = 0.94 (blue, </w:t>
      </w:r>
      <w:r w:rsidRPr="0025334E">
        <w:rPr>
          <w:rStyle w:val="Strong"/>
          <w:rFonts w:cstheme="minorHAnsi"/>
          <w:spacing w:val="-5"/>
        </w:rPr>
        <w:t>V1</w:t>
      </w:r>
      <w:r w:rsidRPr="0025334E">
        <w:rPr>
          <w:rFonts w:cstheme="minorHAnsi"/>
          <w:spacing w:val="-5"/>
        </w:rPr>
        <w:t>-in and </w:t>
      </w:r>
      <w:r w:rsidRPr="0025334E">
        <w:rPr>
          <w:rStyle w:val="Strong"/>
          <w:rFonts w:cstheme="minorHAnsi"/>
          <w:spacing w:val="-5"/>
        </w:rPr>
        <w:t>Ac2</w:t>
      </w:r>
      <w:r w:rsidRPr="0025334E">
        <w:rPr>
          <w:rFonts w:cstheme="minorHAnsi"/>
          <w:spacing w:val="-5"/>
        </w:rPr>
        <w:t>-C2H4 excluded).</w:t>
      </w:r>
    </w:p>
    <w:p w14:paraId="456F80F1" w14:textId="089D7FB1" w:rsidR="004B0BFF" w:rsidRDefault="004B0BFF" w:rsidP="004B0BFF">
      <w:pPr>
        <w:pStyle w:val="NormalWeb"/>
        <w:shd w:val="clear" w:color="auto" w:fill="FFFFFF"/>
        <w:spacing w:after="0" w:afterAutospacing="0"/>
        <w:rPr>
          <w:rFonts w:asciiTheme="minorHAnsi" w:hAnsiTheme="minorHAnsi" w:cstheme="minorHAnsi"/>
          <w:spacing w:val="-5"/>
        </w:rPr>
      </w:pPr>
      <w:r w:rsidRPr="0025334E">
        <w:rPr>
          <w:rFonts w:asciiTheme="minorHAnsi" w:hAnsiTheme="minorHAnsi" w:cstheme="minorHAnsi"/>
          <w:spacing w:val="-5"/>
        </w:rPr>
        <w:lastRenderedPageBreak/>
        <w:t>Overall, the difference in ionization energies (VIE–AIE = ΔIE) reflects the geometrical (structural and conformational) reorganization attendant to ionization, while the value of the slopes in </w:t>
      </w:r>
      <w:proofErr w:type="spellStart"/>
      <w:r w:rsidRPr="0025334E">
        <w:rPr>
          <w:rStyle w:val="Emphasis"/>
          <w:rFonts w:asciiTheme="minorHAnsi" w:eastAsiaTheme="majorEastAsia" w:hAnsiTheme="minorHAnsi" w:cstheme="minorHAnsi"/>
          <w:spacing w:val="-5"/>
        </w:rPr>
        <w:t>E</w:t>
      </w:r>
      <w:r w:rsidRPr="0025334E">
        <w:rPr>
          <w:rFonts w:asciiTheme="minorHAnsi" w:hAnsiTheme="minorHAnsi" w:cstheme="minorHAnsi"/>
          <w:spacing w:val="-5"/>
          <w:vertAlign w:val="subscript"/>
        </w:rPr>
        <w:t>ox</w:t>
      </w:r>
      <w:proofErr w:type="spellEnd"/>
      <w:r w:rsidRPr="0025334E">
        <w:rPr>
          <w:rFonts w:asciiTheme="minorHAnsi" w:hAnsiTheme="minorHAnsi" w:cstheme="minorHAnsi"/>
          <w:spacing w:val="-5"/>
        </w:rPr>
        <w:t>-</w:t>
      </w:r>
      <w:r w:rsidRPr="0025334E">
        <w:rPr>
          <w:rStyle w:val="Emphasis"/>
          <w:rFonts w:asciiTheme="minorHAnsi" w:eastAsiaTheme="majorEastAsia" w:hAnsiTheme="minorHAnsi" w:cstheme="minorHAnsi"/>
          <w:spacing w:val="-5"/>
        </w:rPr>
        <w:t>vs.</w:t>
      </w:r>
      <w:r w:rsidRPr="0025334E">
        <w:rPr>
          <w:rFonts w:asciiTheme="minorHAnsi" w:hAnsiTheme="minorHAnsi" w:cstheme="minorHAnsi"/>
          <w:spacing w:val="-5"/>
        </w:rPr>
        <w:t>-AIE and </w:t>
      </w:r>
      <w:proofErr w:type="spellStart"/>
      <w:r w:rsidRPr="0025334E">
        <w:rPr>
          <w:rStyle w:val="Emphasis"/>
          <w:rFonts w:asciiTheme="minorHAnsi" w:eastAsiaTheme="majorEastAsia" w:hAnsiTheme="minorHAnsi" w:cstheme="minorHAnsi"/>
          <w:spacing w:val="-5"/>
        </w:rPr>
        <w:t>E</w:t>
      </w:r>
      <w:r w:rsidRPr="0025334E">
        <w:rPr>
          <w:rFonts w:asciiTheme="minorHAnsi" w:hAnsiTheme="minorHAnsi" w:cstheme="minorHAnsi"/>
          <w:spacing w:val="-5"/>
          <w:vertAlign w:val="subscript"/>
        </w:rPr>
        <w:t>ox</w:t>
      </w:r>
      <w:proofErr w:type="spellEnd"/>
      <w:r w:rsidRPr="0025334E">
        <w:rPr>
          <w:rFonts w:asciiTheme="minorHAnsi" w:hAnsiTheme="minorHAnsi" w:cstheme="minorHAnsi"/>
          <w:spacing w:val="-5"/>
        </w:rPr>
        <w:t>-</w:t>
      </w:r>
      <w:r w:rsidRPr="0025334E">
        <w:rPr>
          <w:rStyle w:val="Emphasis"/>
          <w:rFonts w:asciiTheme="minorHAnsi" w:eastAsiaTheme="majorEastAsia" w:hAnsiTheme="minorHAnsi" w:cstheme="minorHAnsi"/>
          <w:spacing w:val="-5"/>
        </w:rPr>
        <w:t>vs.</w:t>
      </w:r>
      <w:r w:rsidRPr="0025334E">
        <w:rPr>
          <w:rFonts w:asciiTheme="minorHAnsi" w:hAnsiTheme="minorHAnsi" w:cstheme="minorHAnsi"/>
          <w:spacing w:val="-5"/>
        </w:rPr>
        <w:t>-VIE dependences reflect solvent reorganization. In order to correctly assess the ionization-induced reorganization, we must identify the global-minimum structures for neutral and cation radical potential energy surfaces in both gas phase and solution. Although the global minimum structures have been experimentally identified in solution, the experimental identification of the global minimum structures in the gas phase is less obvious and, therefore, we resorted to density functional theory calculations.</w:t>
      </w:r>
    </w:p>
    <w:p w14:paraId="1D384C98" w14:textId="77777777" w:rsidR="00224849" w:rsidRPr="0025334E" w:rsidRDefault="00224849" w:rsidP="004B0BFF">
      <w:pPr>
        <w:pStyle w:val="NormalWeb"/>
        <w:shd w:val="clear" w:color="auto" w:fill="FFFFFF"/>
        <w:spacing w:after="0" w:afterAutospacing="0"/>
        <w:rPr>
          <w:rFonts w:asciiTheme="minorHAnsi" w:hAnsiTheme="minorHAnsi" w:cstheme="minorHAnsi"/>
          <w:spacing w:val="-5"/>
        </w:rPr>
      </w:pPr>
    </w:p>
    <w:p w14:paraId="61B26EC5" w14:textId="77777777" w:rsidR="004B0BFF" w:rsidRPr="003C402F" w:rsidRDefault="004B0BFF" w:rsidP="003C402F">
      <w:pPr>
        <w:pStyle w:val="Heading2"/>
      </w:pPr>
      <w:r w:rsidRPr="003C402F">
        <w:rPr>
          <w:rStyle w:val="section-title"/>
        </w:rPr>
        <w:t>Computational modelling of the adiabatic and vertical ionizations in the gas phase and solution</w:t>
      </w:r>
    </w:p>
    <w:p w14:paraId="155077E0" w14:textId="77777777" w:rsidR="004B0BFF" w:rsidRPr="0025334E" w:rsidRDefault="004B0BFF" w:rsidP="004B0BFF">
      <w:pPr>
        <w:pStyle w:val="NormalWeb"/>
        <w:shd w:val="clear" w:color="auto" w:fill="FFFFFF"/>
        <w:spacing w:after="0" w:afterAutospacing="0"/>
        <w:rPr>
          <w:rFonts w:asciiTheme="minorHAnsi" w:hAnsiTheme="minorHAnsi" w:cstheme="minorHAnsi"/>
          <w:spacing w:val="-5"/>
        </w:rPr>
      </w:pPr>
      <w:r w:rsidRPr="0025334E">
        <w:rPr>
          <w:rFonts w:asciiTheme="minorHAnsi" w:hAnsiTheme="minorHAnsi" w:cstheme="minorHAnsi"/>
          <w:spacing w:val="-5"/>
        </w:rPr>
        <w:t>Accurate modeling of the ionization-induced actuation in the systems studied in this work presents a challenge for electronic structure calculations, and density functional theory (DFT) in particular, for several reasons.</w:t>
      </w:r>
      <w:hyperlink r:id="rId45" w:anchor="cit21" w:history="1">
        <w:r w:rsidRPr="0025334E">
          <w:rPr>
            <w:rStyle w:val="Hyperlink"/>
            <w:rFonts w:asciiTheme="minorHAnsi" w:eastAsiaTheme="majorEastAsia" w:hAnsiTheme="minorHAnsi" w:cstheme="minorHAnsi"/>
            <w:color w:val="991E66"/>
            <w:spacing w:val="-5"/>
            <w:vertAlign w:val="superscript"/>
          </w:rPr>
          <w:t>21</w:t>
        </w:r>
      </w:hyperlink>
      <w:r w:rsidRPr="0025334E">
        <w:rPr>
          <w:rFonts w:asciiTheme="minorHAnsi" w:hAnsiTheme="minorHAnsi" w:cstheme="minorHAnsi"/>
          <w:spacing w:val="-5"/>
        </w:rPr>
        <w:t> First, local and gradient-corrected density functionals cannot describe (attractive) long-range dispersion interactions and therefore total energies of the closed conformations of </w:t>
      </w:r>
      <w:r w:rsidRPr="0025334E">
        <w:rPr>
          <w:rStyle w:val="Strong"/>
          <w:rFonts w:asciiTheme="minorHAnsi" w:hAnsiTheme="minorHAnsi" w:cstheme="minorHAnsi"/>
          <w:spacing w:val="-5"/>
        </w:rPr>
        <w:t>V2</w:t>
      </w:r>
      <w:r w:rsidRPr="0025334E">
        <w:rPr>
          <w:rFonts w:asciiTheme="minorHAnsi" w:hAnsiTheme="minorHAnsi" w:cstheme="minorHAnsi"/>
          <w:spacing w:val="-5"/>
        </w:rPr>
        <w:t>, </w:t>
      </w:r>
      <w:r w:rsidRPr="0025334E">
        <w:rPr>
          <w:rStyle w:val="Strong"/>
          <w:rFonts w:asciiTheme="minorHAnsi" w:hAnsiTheme="minorHAnsi" w:cstheme="minorHAnsi"/>
          <w:spacing w:val="-5"/>
        </w:rPr>
        <w:t>Ac2</w:t>
      </w:r>
      <w:r w:rsidRPr="0025334E">
        <w:rPr>
          <w:rFonts w:asciiTheme="minorHAnsi" w:hAnsiTheme="minorHAnsi" w:cstheme="minorHAnsi"/>
          <w:spacing w:val="-5"/>
        </w:rPr>
        <w:t>-C2H4 and </w:t>
      </w:r>
      <w:r w:rsidRPr="0025334E">
        <w:rPr>
          <w:rStyle w:val="Strong"/>
          <w:rFonts w:asciiTheme="minorHAnsi" w:hAnsiTheme="minorHAnsi" w:cstheme="minorHAnsi"/>
          <w:spacing w:val="-5"/>
        </w:rPr>
        <w:t>Ac2</w:t>
      </w:r>
      <w:r w:rsidRPr="0025334E">
        <w:rPr>
          <w:rFonts w:asciiTheme="minorHAnsi" w:hAnsiTheme="minorHAnsi" w:cstheme="minorHAnsi"/>
          <w:spacing w:val="-5"/>
        </w:rPr>
        <w:t>-CH2 are expected to be significantly overestimated using these functionals.</w:t>
      </w:r>
      <w:hyperlink r:id="rId46" w:anchor="cit22" w:history="1">
        <w:r w:rsidRPr="0025334E">
          <w:rPr>
            <w:rStyle w:val="Hyperlink"/>
            <w:rFonts w:asciiTheme="minorHAnsi" w:eastAsiaTheme="majorEastAsia" w:hAnsiTheme="minorHAnsi" w:cstheme="minorHAnsi"/>
            <w:color w:val="991E66"/>
            <w:spacing w:val="-5"/>
            <w:vertAlign w:val="superscript"/>
          </w:rPr>
          <w:t>22–24</w:t>
        </w:r>
      </w:hyperlink>
      <w:r w:rsidRPr="0025334E">
        <w:rPr>
          <w:rFonts w:asciiTheme="minorHAnsi" w:hAnsiTheme="minorHAnsi" w:cstheme="minorHAnsi"/>
          <w:spacing w:val="-5"/>
        </w:rPr>
        <w:t> Second, in the ionized state self-interaction error (SIE) may cause an artificial delocalization of the cationic charge leading to underestimated ionization energies of both open and closed conformations.</w:t>
      </w:r>
      <w:hyperlink r:id="rId47" w:anchor="cit25" w:history="1">
        <w:r w:rsidRPr="0025334E">
          <w:rPr>
            <w:rStyle w:val="Hyperlink"/>
            <w:rFonts w:asciiTheme="minorHAnsi" w:eastAsiaTheme="majorEastAsia" w:hAnsiTheme="minorHAnsi" w:cstheme="minorHAnsi"/>
            <w:color w:val="991E66"/>
            <w:spacing w:val="-5"/>
            <w:vertAlign w:val="superscript"/>
          </w:rPr>
          <w:t>25–27</w:t>
        </w:r>
      </w:hyperlink>
      <w:r w:rsidRPr="0025334E">
        <w:rPr>
          <w:rFonts w:asciiTheme="minorHAnsi" w:hAnsiTheme="minorHAnsi" w:cstheme="minorHAnsi"/>
          <w:spacing w:val="-5"/>
        </w:rPr>
        <w:t> Third, basis set superposition error (BSSE) is expected to be highly conformation-dependent, with the total energies of the closed conformations being underestimated as compared to the open conformations.</w:t>
      </w:r>
      <w:hyperlink r:id="rId48" w:anchor="cit28" w:history="1">
        <w:r w:rsidRPr="0025334E">
          <w:rPr>
            <w:rStyle w:val="Hyperlink"/>
            <w:rFonts w:asciiTheme="minorHAnsi" w:eastAsiaTheme="majorEastAsia" w:hAnsiTheme="minorHAnsi" w:cstheme="minorHAnsi"/>
            <w:color w:val="991E66"/>
            <w:spacing w:val="-5"/>
            <w:vertAlign w:val="superscript"/>
          </w:rPr>
          <w:t>28</w:t>
        </w:r>
      </w:hyperlink>
      <w:r w:rsidRPr="0025334E">
        <w:rPr>
          <w:rFonts w:asciiTheme="minorHAnsi" w:hAnsiTheme="minorHAnsi" w:cstheme="minorHAnsi"/>
          <w:spacing w:val="-5"/>
        </w:rPr>
        <w:t> Thus, the method of choice must include dispersion interactions (</w:t>
      </w:r>
      <w:r w:rsidRPr="0025334E">
        <w:rPr>
          <w:rStyle w:val="Emphasis"/>
          <w:rFonts w:asciiTheme="minorHAnsi" w:eastAsiaTheme="majorEastAsia" w:hAnsiTheme="minorHAnsi" w:cstheme="minorHAnsi"/>
          <w:spacing w:val="-5"/>
        </w:rPr>
        <w:t>e.g.</w:t>
      </w:r>
      <w:r w:rsidRPr="0025334E">
        <w:rPr>
          <w:rFonts w:asciiTheme="minorHAnsi" w:hAnsiTheme="minorHAnsi" w:cstheme="minorHAnsi"/>
          <w:spacing w:val="-5"/>
        </w:rPr>
        <w:t>, </w:t>
      </w:r>
      <w:r w:rsidRPr="0025334E">
        <w:rPr>
          <w:rStyle w:val="Emphasis"/>
          <w:rFonts w:asciiTheme="minorHAnsi" w:eastAsiaTheme="majorEastAsia" w:hAnsiTheme="minorHAnsi" w:cstheme="minorHAnsi"/>
          <w:spacing w:val="-5"/>
        </w:rPr>
        <w:t>via</w:t>
      </w:r>
      <w:r w:rsidRPr="0025334E">
        <w:rPr>
          <w:rFonts w:asciiTheme="minorHAnsi" w:hAnsiTheme="minorHAnsi" w:cstheme="minorHAnsi"/>
          <w:spacing w:val="-5"/>
        </w:rPr>
        <w:t> an added empirical term</w:t>
      </w:r>
      <w:hyperlink r:id="rId49" w:anchor="cit29" w:history="1">
        <w:r w:rsidRPr="0025334E">
          <w:rPr>
            <w:rStyle w:val="Hyperlink"/>
            <w:rFonts w:asciiTheme="minorHAnsi" w:eastAsiaTheme="majorEastAsia" w:hAnsiTheme="minorHAnsi" w:cstheme="minorHAnsi"/>
            <w:color w:val="991E66"/>
            <w:spacing w:val="-5"/>
            <w:vertAlign w:val="superscript"/>
          </w:rPr>
          <w:t>29</w:t>
        </w:r>
      </w:hyperlink>
      <w:r w:rsidRPr="0025334E">
        <w:rPr>
          <w:rFonts w:asciiTheme="minorHAnsi" w:hAnsiTheme="minorHAnsi" w:cstheme="minorHAnsi"/>
          <w:spacing w:val="-5"/>
        </w:rPr>
        <w:t> or explicit van der Waals functionals</w:t>
      </w:r>
      <w:hyperlink r:id="rId50" w:anchor="cit30" w:history="1">
        <w:r w:rsidRPr="0025334E">
          <w:rPr>
            <w:rStyle w:val="Hyperlink"/>
            <w:rFonts w:asciiTheme="minorHAnsi" w:eastAsiaTheme="majorEastAsia" w:hAnsiTheme="minorHAnsi" w:cstheme="minorHAnsi"/>
            <w:color w:val="991E66"/>
            <w:spacing w:val="-5"/>
            <w:vertAlign w:val="superscript"/>
          </w:rPr>
          <w:t>30</w:t>
        </w:r>
      </w:hyperlink>
      <w:r w:rsidRPr="0025334E">
        <w:rPr>
          <w:rFonts w:asciiTheme="minorHAnsi" w:hAnsiTheme="minorHAnsi" w:cstheme="minorHAnsi"/>
          <w:spacing w:val="-5"/>
        </w:rPr>
        <w:t>), account for SIE (</w:t>
      </w:r>
      <w:r w:rsidRPr="0025334E">
        <w:rPr>
          <w:rStyle w:val="Emphasis"/>
          <w:rFonts w:asciiTheme="minorHAnsi" w:eastAsiaTheme="majorEastAsia" w:hAnsiTheme="minorHAnsi" w:cstheme="minorHAnsi"/>
          <w:spacing w:val="-5"/>
        </w:rPr>
        <w:t>e.g.</w:t>
      </w:r>
      <w:r w:rsidRPr="0025334E">
        <w:rPr>
          <w:rFonts w:asciiTheme="minorHAnsi" w:hAnsiTheme="minorHAnsi" w:cstheme="minorHAnsi"/>
          <w:spacing w:val="-5"/>
        </w:rPr>
        <w:t xml:space="preserve">, using a hybrid functional with fine-tuned amount of the </w:t>
      </w:r>
      <w:proofErr w:type="spellStart"/>
      <w:r w:rsidRPr="0025334E">
        <w:rPr>
          <w:rFonts w:asciiTheme="minorHAnsi" w:hAnsiTheme="minorHAnsi" w:cstheme="minorHAnsi"/>
          <w:spacing w:val="-5"/>
        </w:rPr>
        <w:t>Hartree</w:t>
      </w:r>
      <w:proofErr w:type="spellEnd"/>
      <w:r w:rsidRPr="0025334E">
        <w:rPr>
          <w:rFonts w:asciiTheme="minorHAnsi" w:hAnsiTheme="minorHAnsi" w:cstheme="minorHAnsi"/>
          <w:spacing w:val="-5"/>
        </w:rPr>
        <w:t>–</w:t>
      </w:r>
      <w:proofErr w:type="spellStart"/>
      <w:r w:rsidRPr="0025334E">
        <w:rPr>
          <w:rFonts w:asciiTheme="minorHAnsi" w:hAnsiTheme="minorHAnsi" w:cstheme="minorHAnsi"/>
          <w:spacing w:val="-5"/>
        </w:rPr>
        <w:t>Fock</w:t>
      </w:r>
      <w:proofErr w:type="spellEnd"/>
      <w:r w:rsidRPr="0025334E">
        <w:rPr>
          <w:rFonts w:asciiTheme="minorHAnsi" w:hAnsiTheme="minorHAnsi" w:cstheme="minorHAnsi"/>
          <w:spacing w:val="-5"/>
        </w:rPr>
        <w:t xml:space="preserve"> exchange</w:t>
      </w:r>
      <w:hyperlink r:id="rId51" w:anchor="cit31" w:history="1">
        <w:r w:rsidRPr="0025334E">
          <w:rPr>
            <w:rStyle w:val="Hyperlink"/>
            <w:rFonts w:asciiTheme="minorHAnsi" w:eastAsiaTheme="majorEastAsia" w:hAnsiTheme="minorHAnsi" w:cstheme="minorHAnsi"/>
            <w:color w:val="991E66"/>
            <w:spacing w:val="-5"/>
            <w:vertAlign w:val="superscript"/>
          </w:rPr>
          <w:t>31</w:t>
        </w:r>
      </w:hyperlink>
      <w:r w:rsidRPr="0025334E">
        <w:rPr>
          <w:rFonts w:asciiTheme="minorHAnsi" w:hAnsiTheme="minorHAnsi" w:cstheme="minorHAnsi"/>
          <w:spacing w:val="-5"/>
        </w:rPr>
        <w:t> or range-separated functional</w:t>
      </w:r>
      <w:hyperlink r:id="rId52" w:anchor="cit32" w:history="1">
        <w:r w:rsidRPr="0025334E">
          <w:rPr>
            <w:rStyle w:val="Hyperlink"/>
            <w:rFonts w:asciiTheme="minorHAnsi" w:eastAsiaTheme="majorEastAsia" w:hAnsiTheme="minorHAnsi" w:cstheme="minorHAnsi"/>
            <w:color w:val="991E66"/>
            <w:spacing w:val="-5"/>
            <w:vertAlign w:val="superscript"/>
          </w:rPr>
          <w:t>32</w:t>
        </w:r>
      </w:hyperlink>
      <w:r w:rsidRPr="0025334E">
        <w:rPr>
          <w:rFonts w:asciiTheme="minorHAnsi" w:hAnsiTheme="minorHAnsi" w:cstheme="minorHAnsi"/>
          <w:spacing w:val="-5"/>
        </w:rPr>
        <w:t>) and include BSSE correction (</w:t>
      </w:r>
      <w:r w:rsidRPr="0025334E">
        <w:rPr>
          <w:rStyle w:val="Emphasis"/>
          <w:rFonts w:asciiTheme="minorHAnsi" w:eastAsiaTheme="majorEastAsia" w:hAnsiTheme="minorHAnsi" w:cstheme="minorHAnsi"/>
          <w:spacing w:val="-5"/>
        </w:rPr>
        <w:t>e.g.</w:t>
      </w:r>
      <w:r w:rsidRPr="0025334E">
        <w:rPr>
          <w:rFonts w:asciiTheme="minorHAnsi" w:hAnsiTheme="minorHAnsi" w:cstheme="minorHAnsi"/>
          <w:spacing w:val="-5"/>
        </w:rPr>
        <w:t>, using a larger basis set or applying a counterpoise correction</w:t>
      </w:r>
      <w:hyperlink r:id="rId53" w:anchor="cit33" w:history="1">
        <w:r w:rsidRPr="0025334E">
          <w:rPr>
            <w:rStyle w:val="Hyperlink"/>
            <w:rFonts w:asciiTheme="minorHAnsi" w:eastAsiaTheme="majorEastAsia" w:hAnsiTheme="minorHAnsi" w:cstheme="minorHAnsi"/>
            <w:color w:val="991E66"/>
            <w:spacing w:val="-5"/>
            <w:vertAlign w:val="superscript"/>
          </w:rPr>
          <w:t>33,34</w:t>
        </w:r>
      </w:hyperlink>
      <w:r w:rsidRPr="0025334E">
        <w:rPr>
          <w:rFonts w:asciiTheme="minorHAnsi" w:hAnsiTheme="minorHAnsi" w:cstheme="minorHAnsi"/>
          <w:spacing w:val="-5"/>
        </w:rPr>
        <w:t>).</w:t>
      </w:r>
    </w:p>
    <w:p w14:paraId="4B138CF6" w14:textId="77777777" w:rsidR="004B0BFF" w:rsidRPr="0025334E" w:rsidRDefault="004B0BFF" w:rsidP="004B0BFF">
      <w:pPr>
        <w:pStyle w:val="NormalWeb"/>
        <w:shd w:val="clear" w:color="auto" w:fill="FFFFFF"/>
        <w:spacing w:before="0" w:beforeAutospacing="0" w:after="0" w:afterAutospacing="0"/>
        <w:ind w:firstLine="240"/>
        <w:rPr>
          <w:rFonts w:asciiTheme="minorHAnsi" w:hAnsiTheme="minorHAnsi" w:cstheme="minorHAnsi"/>
          <w:spacing w:val="-5"/>
        </w:rPr>
      </w:pPr>
      <w:r w:rsidRPr="0025334E">
        <w:rPr>
          <w:rFonts w:asciiTheme="minorHAnsi" w:hAnsiTheme="minorHAnsi" w:cstheme="minorHAnsi"/>
          <w:spacing w:val="-5"/>
        </w:rPr>
        <w:t>We have recently shown</w:t>
      </w:r>
      <w:hyperlink r:id="rId54" w:anchor="cit35" w:history="1">
        <w:r w:rsidRPr="0025334E">
          <w:rPr>
            <w:rStyle w:val="Hyperlink"/>
            <w:rFonts w:asciiTheme="minorHAnsi" w:eastAsiaTheme="majorEastAsia" w:hAnsiTheme="minorHAnsi" w:cstheme="minorHAnsi"/>
            <w:color w:val="991E66"/>
            <w:spacing w:val="-5"/>
            <w:vertAlign w:val="superscript"/>
          </w:rPr>
          <w:t>35</w:t>
        </w:r>
      </w:hyperlink>
      <w:r w:rsidRPr="0025334E">
        <w:rPr>
          <w:rFonts w:asciiTheme="minorHAnsi" w:hAnsiTheme="minorHAnsi" w:cstheme="minorHAnsi"/>
          <w:spacing w:val="-5"/>
        </w:rPr>
        <w:t> in a combined experimental/theoretical study that CAM-B3LYP</w:t>
      </w:r>
      <w:hyperlink r:id="rId55" w:anchor="cit36" w:history="1">
        <w:r w:rsidRPr="0025334E">
          <w:rPr>
            <w:rStyle w:val="Hyperlink"/>
            <w:rFonts w:asciiTheme="minorHAnsi" w:eastAsiaTheme="majorEastAsia" w:hAnsiTheme="minorHAnsi" w:cstheme="minorHAnsi"/>
            <w:color w:val="991E66"/>
            <w:spacing w:val="-5"/>
            <w:vertAlign w:val="superscript"/>
          </w:rPr>
          <w:t>36</w:t>
        </w:r>
      </w:hyperlink>
      <w:r w:rsidRPr="0025334E">
        <w:rPr>
          <w:rFonts w:asciiTheme="minorHAnsi" w:hAnsiTheme="minorHAnsi" w:cstheme="minorHAnsi"/>
          <w:spacing w:val="-5"/>
        </w:rPr>
        <w:t xml:space="preserve"> and B1LYP with 40% of </w:t>
      </w:r>
      <w:proofErr w:type="spellStart"/>
      <w:r w:rsidRPr="0025334E">
        <w:rPr>
          <w:rFonts w:asciiTheme="minorHAnsi" w:hAnsiTheme="minorHAnsi" w:cstheme="minorHAnsi"/>
          <w:spacing w:val="-5"/>
        </w:rPr>
        <w:t>Hartree</w:t>
      </w:r>
      <w:proofErr w:type="spellEnd"/>
      <w:r w:rsidRPr="0025334E">
        <w:rPr>
          <w:rFonts w:asciiTheme="minorHAnsi" w:hAnsiTheme="minorHAnsi" w:cstheme="minorHAnsi"/>
          <w:spacing w:val="-5"/>
        </w:rPr>
        <w:t>–</w:t>
      </w:r>
      <w:proofErr w:type="spellStart"/>
      <w:r w:rsidRPr="0025334E">
        <w:rPr>
          <w:rFonts w:asciiTheme="minorHAnsi" w:hAnsiTheme="minorHAnsi" w:cstheme="minorHAnsi"/>
          <w:spacing w:val="-5"/>
        </w:rPr>
        <w:t>Fock</w:t>
      </w:r>
      <w:proofErr w:type="spellEnd"/>
      <w:r w:rsidRPr="0025334E">
        <w:rPr>
          <w:rFonts w:asciiTheme="minorHAnsi" w:hAnsiTheme="minorHAnsi" w:cstheme="minorHAnsi"/>
          <w:spacing w:val="-5"/>
        </w:rPr>
        <w:t xml:space="preserve"> exchange (</w:t>
      </w:r>
      <w:r w:rsidRPr="0025334E">
        <w:rPr>
          <w:rStyle w:val="Emphasis"/>
          <w:rFonts w:asciiTheme="minorHAnsi" w:eastAsiaTheme="majorEastAsia" w:hAnsiTheme="minorHAnsi" w:cstheme="minorHAnsi"/>
          <w:spacing w:val="-5"/>
        </w:rPr>
        <w:t>i.e.</w:t>
      </w:r>
      <w:r w:rsidRPr="0025334E">
        <w:rPr>
          <w:rFonts w:asciiTheme="minorHAnsi" w:hAnsiTheme="minorHAnsi" w:cstheme="minorHAnsi"/>
          <w:spacing w:val="-5"/>
        </w:rPr>
        <w:t>, B1LYP40)</w:t>
      </w:r>
      <w:hyperlink r:id="rId56" w:anchor="cit37" w:history="1">
        <w:r w:rsidRPr="0025334E">
          <w:rPr>
            <w:rStyle w:val="Hyperlink"/>
            <w:rFonts w:asciiTheme="minorHAnsi" w:eastAsiaTheme="majorEastAsia" w:hAnsiTheme="minorHAnsi" w:cstheme="minorHAnsi"/>
            <w:color w:val="991E66"/>
            <w:spacing w:val="-5"/>
            <w:vertAlign w:val="superscript"/>
          </w:rPr>
          <w:t>37</w:t>
        </w:r>
      </w:hyperlink>
      <w:r w:rsidRPr="0025334E">
        <w:rPr>
          <w:rFonts w:asciiTheme="minorHAnsi" w:hAnsiTheme="minorHAnsi" w:cstheme="minorHAnsi"/>
          <w:spacing w:val="-5"/>
        </w:rPr>
        <w:t xml:space="preserve"> accurately reproduce experimental binding energies of the van der Waals dimer of fluorene in neutral, excited and cation radical states if the missing dispersion interactions are accounted for using the empirical </w:t>
      </w:r>
      <w:proofErr w:type="spellStart"/>
      <w:r w:rsidRPr="0025334E">
        <w:rPr>
          <w:rFonts w:asciiTheme="minorHAnsi" w:hAnsiTheme="minorHAnsi" w:cstheme="minorHAnsi"/>
          <w:spacing w:val="-5"/>
        </w:rPr>
        <w:t>Grimme's</w:t>
      </w:r>
      <w:proofErr w:type="spellEnd"/>
      <w:r w:rsidRPr="0025334E">
        <w:rPr>
          <w:rFonts w:asciiTheme="minorHAnsi" w:hAnsiTheme="minorHAnsi" w:cstheme="minorHAnsi"/>
          <w:spacing w:val="-5"/>
        </w:rPr>
        <w:t xml:space="preserve"> D-3 term, with BSSE correction using the counterpoise (CP) method. In intermolecular complexes the BSSE often arises due to the lack of flexibility of the basis set of each monomer leading to the wrong binding energies or even to incorrect geometries and vibrational frequencies.</w:t>
      </w:r>
      <w:hyperlink r:id="rId57" w:anchor="cit38" w:history="1">
        <w:r w:rsidRPr="0025334E">
          <w:rPr>
            <w:rStyle w:val="Hyperlink"/>
            <w:rFonts w:asciiTheme="minorHAnsi" w:eastAsiaTheme="majorEastAsia" w:hAnsiTheme="minorHAnsi" w:cstheme="minorHAnsi"/>
            <w:color w:val="991E66"/>
            <w:spacing w:val="-5"/>
            <w:vertAlign w:val="superscript"/>
          </w:rPr>
          <w:t>38–40</w:t>
        </w:r>
      </w:hyperlink>
      <w:r w:rsidRPr="0025334E">
        <w:rPr>
          <w:rFonts w:asciiTheme="minorHAnsi" w:hAnsiTheme="minorHAnsi" w:cstheme="minorHAnsi"/>
          <w:spacing w:val="-5"/>
        </w:rPr>
        <w:t xml:space="preserve"> When calculating the binding energy of a dimer using the CP method, the energy of each monomer (or fragment) is calculated using the basis set of both monomers in a dimer. While in the case of intermolecular complexes the definition of a fragment is obvious, in the case of covalently linked </w:t>
      </w:r>
      <w:proofErr w:type="spellStart"/>
      <w:r w:rsidRPr="0025334E">
        <w:rPr>
          <w:rFonts w:asciiTheme="minorHAnsi" w:hAnsiTheme="minorHAnsi" w:cstheme="minorHAnsi"/>
          <w:spacing w:val="-5"/>
        </w:rPr>
        <w:t>bichromophores</w:t>
      </w:r>
      <w:proofErr w:type="spellEnd"/>
      <w:r w:rsidRPr="0025334E">
        <w:rPr>
          <w:rFonts w:asciiTheme="minorHAnsi" w:hAnsiTheme="minorHAnsi" w:cstheme="minorHAnsi"/>
          <w:spacing w:val="-5"/>
        </w:rPr>
        <w:t>, a choice of atomic composition, charge and multiplicity of each fragment becomes ambiguous. Despite this arbitrariness, the CP method has been applied in several systems to account for intramolecular BSSE with satisfactory results.</w:t>
      </w:r>
      <w:hyperlink r:id="rId58" w:anchor="cit40" w:history="1">
        <w:r w:rsidRPr="0025334E">
          <w:rPr>
            <w:rStyle w:val="Hyperlink"/>
            <w:rFonts w:asciiTheme="minorHAnsi" w:eastAsiaTheme="majorEastAsia" w:hAnsiTheme="minorHAnsi" w:cstheme="minorHAnsi"/>
            <w:color w:val="991E66"/>
            <w:spacing w:val="-5"/>
            <w:vertAlign w:val="superscript"/>
          </w:rPr>
          <w:t>40–42</w:t>
        </w:r>
      </w:hyperlink>
    </w:p>
    <w:p w14:paraId="4813A93C" w14:textId="77777777" w:rsidR="004B0BFF" w:rsidRPr="0025334E" w:rsidRDefault="004B0BFF" w:rsidP="004B0BFF">
      <w:pPr>
        <w:pStyle w:val="NormalWeb"/>
        <w:shd w:val="clear" w:color="auto" w:fill="FFFFFF"/>
        <w:spacing w:before="0" w:beforeAutospacing="0" w:after="0" w:afterAutospacing="0"/>
        <w:ind w:firstLine="240"/>
        <w:rPr>
          <w:rFonts w:asciiTheme="minorHAnsi" w:hAnsiTheme="minorHAnsi" w:cstheme="minorHAnsi"/>
          <w:spacing w:val="-5"/>
        </w:rPr>
      </w:pPr>
      <w:r w:rsidRPr="0025334E">
        <w:rPr>
          <w:rFonts w:asciiTheme="minorHAnsi" w:hAnsiTheme="minorHAnsi" w:cstheme="minorHAnsi"/>
          <w:spacing w:val="-5"/>
        </w:rPr>
        <w:t>Here, we have performed electronic structure calculations using CAM-B3LYP-D3 and B1LYP40-D3 functionals and 6-31G(d) basis set with the BSSE correction using the CP method. All actuators were separated into three fragments, </w:t>
      </w:r>
      <w:r w:rsidRPr="0025334E">
        <w:rPr>
          <w:rStyle w:val="Emphasis"/>
          <w:rFonts w:asciiTheme="minorHAnsi" w:eastAsiaTheme="majorEastAsia" w:hAnsiTheme="minorHAnsi" w:cstheme="minorHAnsi"/>
          <w:spacing w:val="-5"/>
        </w:rPr>
        <w:t>i.e.</w:t>
      </w:r>
      <w:r w:rsidRPr="0025334E">
        <w:rPr>
          <w:rFonts w:asciiTheme="minorHAnsi" w:hAnsiTheme="minorHAnsi" w:cstheme="minorHAnsi"/>
          <w:spacing w:val="-5"/>
        </w:rPr>
        <w:t>, two aromatic moieties and the linker (</w:t>
      </w:r>
      <w:hyperlink r:id="rId59" w:anchor="fig6" w:history="1">
        <w:r w:rsidRPr="0025334E">
          <w:rPr>
            <w:rStyle w:val="Hyperlink"/>
            <w:rFonts w:asciiTheme="minorHAnsi" w:eastAsiaTheme="majorEastAsia" w:hAnsiTheme="minorHAnsi" w:cstheme="minorHAnsi"/>
            <w:color w:val="991E66"/>
            <w:spacing w:val="-5"/>
          </w:rPr>
          <w:t>Fig. 6</w:t>
        </w:r>
      </w:hyperlink>
      <w:r w:rsidRPr="0025334E">
        <w:rPr>
          <w:rFonts w:asciiTheme="minorHAnsi" w:hAnsiTheme="minorHAnsi" w:cstheme="minorHAnsi"/>
          <w:spacing w:val="-5"/>
        </w:rPr>
        <w:t>). To account for the solvents effects we use the polarizable continuum model (PCM) with CH</w:t>
      </w:r>
      <w:r w:rsidRPr="0025334E">
        <w:rPr>
          <w:rFonts w:asciiTheme="minorHAnsi" w:hAnsiTheme="minorHAnsi" w:cstheme="minorHAnsi"/>
          <w:spacing w:val="-5"/>
          <w:vertAlign w:val="subscript"/>
        </w:rPr>
        <w:t>2</w:t>
      </w:r>
      <w:r w:rsidRPr="0025334E">
        <w:rPr>
          <w:rFonts w:asciiTheme="minorHAnsi" w:hAnsiTheme="minorHAnsi" w:cstheme="minorHAnsi"/>
          <w:spacing w:val="-5"/>
        </w:rPr>
        <w:t>Cl</w:t>
      </w:r>
      <w:r w:rsidRPr="0025334E">
        <w:rPr>
          <w:rFonts w:asciiTheme="minorHAnsi" w:hAnsiTheme="minorHAnsi" w:cstheme="minorHAnsi"/>
          <w:spacing w:val="-5"/>
          <w:vertAlign w:val="subscript"/>
        </w:rPr>
        <w:t>2</w:t>
      </w:r>
      <w:r w:rsidRPr="0025334E">
        <w:rPr>
          <w:rFonts w:asciiTheme="minorHAnsi" w:hAnsiTheme="minorHAnsi" w:cstheme="minorHAnsi"/>
          <w:spacing w:val="-5"/>
        </w:rPr>
        <w:t> as a solvent. See ESI</w:t>
      </w:r>
      <w:hyperlink r:id="rId60" w:anchor="fn1" w:tooltip="Electronic supplementary information (ESI) available: Compounds characterization data, electrochemical data, and computational details. See DOI: 10.1039/c8cp02936a" w:history="1">
        <w:r w:rsidRPr="0025334E">
          <w:rPr>
            <w:rStyle w:val="Hyperlink"/>
            <w:rFonts w:asciiTheme="minorHAnsi" w:eastAsiaTheme="majorEastAsia" w:hAnsiTheme="minorHAnsi" w:cstheme="minorHAnsi"/>
            <w:color w:val="991E66"/>
            <w:spacing w:val="-5"/>
          </w:rPr>
          <w:t>†</w:t>
        </w:r>
      </w:hyperlink>
      <w:r w:rsidRPr="0025334E">
        <w:rPr>
          <w:rFonts w:asciiTheme="minorHAnsi" w:hAnsiTheme="minorHAnsi" w:cstheme="minorHAnsi"/>
          <w:spacing w:val="-5"/>
        </w:rPr>
        <w:t> for full computational details.</w:t>
      </w:r>
    </w:p>
    <w:p w14:paraId="7463D7B0" w14:textId="093B2A2D" w:rsidR="00224849" w:rsidRDefault="00997FBC" w:rsidP="00997FBC">
      <w:pPr>
        <w:shd w:val="clear" w:color="auto" w:fill="FFFFFF"/>
        <w:spacing w:after="0"/>
        <w:rPr>
          <w:rFonts w:cstheme="minorHAnsi"/>
          <w:noProof/>
          <w:color w:val="007AAF"/>
          <w:spacing w:val="-5"/>
        </w:rPr>
      </w:pPr>
      <w:r>
        <w:rPr>
          <w:noProof/>
        </w:rPr>
        <w:lastRenderedPageBreak/>
        <w:drawing>
          <wp:inline distT="0" distB="0" distL="0" distR="0" wp14:anchorId="3DCDAF2E" wp14:editId="4B497605">
            <wp:extent cx="3209925" cy="1474470"/>
            <wp:effectExtent l="0" t="0" r="9525" b="0"/>
            <wp:docPr id="64" name="Picture 64" descr="Fig. 6 Fragments of the actuators used in the CP method. See Fig. S18 in ESI† for alternative approa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3209925" cy="1474470"/>
                    </a:xfrm>
                    <a:prstGeom prst="rect">
                      <a:avLst/>
                    </a:prstGeom>
                    <a:noFill/>
                    <a:ln>
                      <a:noFill/>
                    </a:ln>
                  </pic:spPr>
                </pic:pic>
              </a:graphicData>
            </a:graphic>
          </wp:inline>
        </w:drawing>
      </w:r>
    </w:p>
    <w:p w14:paraId="355043E8" w14:textId="73A3F7BC" w:rsidR="004B0BFF" w:rsidRPr="0025334E" w:rsidRDefault="004B0BFF" w:rsidP="004B0BFF">
      <w:pPr>
        <w:shd w:val="clear" w:color="auto" w:fill="FFFFFF"/>
        <w:rPr>
          <w:rFonts w:cstheme="minorHAnsi"/>
          <w:spacing w:val="-5"/>
        </w:rPr>
      </w:pPr>
      <w:r w:rsidRPr="0025334E">
        <w:rPr>
          <w:rStyle w:val="h--heading4"/>
          <w:rFonts w:cstheme="minorHAnsi"/>
          <w:b/>
          <w:bCs/>
          <w:color w:val="191919"/>
          <w:spacing w:val="-7"/>
        </w:rPr>
        <w:t>Fig. 6</w:t>
      </w:r>
      <w:r w:rsidRPr="0025334E">
        <w:rPr>
          <w:rFonts w:cstheme="minorHAnsi"/>
          <w:spacing w:val="-5"/>
        </w:rPr>
        <w:t> Fragments of the actuators used in the CP method. See Fig. S18 in ESI</w:t>
      </w:r>
      <w:hyperlink r:id="rId62" w:anchor="fn1" w:tooltip="Electronic supplementary information (ESI) available: Compounds characterization data, electrochemical data, and computational details. See DOI: 10.1039/c8cp02936a" w:history="1">
        <w:r w:rsidRPr="0025334E">
          <w:rPr>
            <w:rStyle w:val="Hyperlink"/>
            <w:rFonts w:cstheme="minorHAnsi"/>
            <w:color w:val="007AAF"/>
            <w:spacing w:val="-5"/>
          </w:rPr>
          <w:t>†</w:t>
        </w:r>
      </w:hyperlink>
      <w:r w:rsidRPr="0025334E">
        <w:rPr>
          <w:rFonts w:cstheme="minorHAnsi"/>
          <w:spacing w:val="-5"/>
        </w:rPr>
        <w:t> for alternative approach.</w:t>
      </w:r>
    </w:p>
    <w:p w14:paraId="6349DE57" w14:textId="77777777" w:rsidR="004B0BFF" w:rsidRPr="0025334E" w:rsidRDefault="004B0BFF" w:rsidP="004B0BFF">
      <w:pPr>
        <w:pStyle w:val="NormalWeb"/>
        <w:shd w:val="clear" w:color="auto" w:fill="FFFFFF"/>
        <w:spacing w:after="0" w:afterAutospacing="0"/>
        <w:rPr>
          <w:rFonts w:asciiTheme="minorHAnsi" w:hAnsiTheme="minorHAnsi" w:cstheme="minorHAnsi"/>
          <w:spacing w:val="-5"/>
        </w:rPr>
      </w:pPr>
      <w:r w:rsidRPr="0025334E">
        <w:rPr>
          <w:rFonts w:asciiTheme="minorHAnsi" w:hAnsiTheme="minorHAnsi" w:cstheme="minorHAnsi"/>
          <w:spacing w:val="-5"/>
        </w:rPr>
        <w:t>We first confirmed that calculations can accurately identify the global minimum structures of the actuators in solution. Indeed, in agreement with the experimental data, CAM-B3LYP-D3/6-31G(d) + PCM(CH</w:t>
      </w:r>
      <w:r w:rsidRPr="0025334E">
        <w:rPr>
          <w:rFonts w:asciiTheme="minorHAnsi" w:hAnsiTheme="minorHAnsi" w:cstheme="minorHAnsi"/>
          <w:spacing w:val="-5"/>
          <w:vertAlign w:val="subscript"/>
        </w:rPr>
        <w:t>2</w:t>
      </w:r>
      <w:r w:rsidRPr="0025334E">
        <w:rPr>
          <w:rFonts w:asciiTheme="minorHAnsi" w:hAnsiTheme="minorHAnsi" w:cstheme="minorHAnsi"/>
          <w:spacing w:val="-5"/>
        </w:rPr>
        <w:t>Cl</w:t>
      </w:r>
      <w:r w:rsidRPr="0025334E">
        <w:rPr>
          <w:rFonts w:asciiTheme="minorHAnsi" w:hAnsiTheme="minorHAnsi" w:cstheme="minorHAnsi"/>
          <w:spacing w:val="-5"/>
          <w:vertAlign w:val="subscript"/>
        </w:rPr>
        <w:t>2</w:t>
      </w:r>
      <w:r w:rsidRPr="0025334E">
        <w:rPr>
          <w:rFonts w:asciiTheme="minorHAnsi" w:hAnsiTheme="minorHAnsi" w:cstheme="minorHAnsi"/>
          <w:spacing w:val="-5"/>
        </w:rPr>
        <w:t>) calculations predict that actuators </w:t>
      </w:r>
      <w:r w:rsidRPr="0025334E">
        <w:rPr>
          <w:rStyle w:val="Strong"/>
          <w:rFonts w:asciiTheme="minorHAnsi" w:hAnsiTheme="minorHAnsi" w:cstheme="minorHAnsi"/>
          <w:spacing w:val="-5"/>
        </w:rPr>
        <w:t>V2</w:t>
      </w:r>
      <w:r w:rsidRPr="0025334E">
        <w:rPr>
          <w:rFonts w:asciiTheme="minorHAnsi" w:hAnsiTheme="minorHAnsi" w:cstheme="minorHAnsi"/>
          <w:spacing w:val="-5"/>
        </w:rPr>
        <w:t>, </w:t>
      </w:r>
      <w:r w:rsidRPr="0025334E">
        <w:rPr>
          <w:rStyle w:val="Strong"/>
          <w:rFonts w:asciiTheme="minorHAnsi" w:hAnsiTheme="minorHAnsi" w:cstheme="minorHAnsi"/>
          <w:spacing w:val="-5"/>
        </w:rPr>
        <w:t>Ac2</w:t>
      </w:r>
      <w:r w:rsidRPr="0025334E">
        <w:rPr>
          <w:rFonts w:asciiTheme="minorHAnsi" w:hAnsiTheme="minorHAnsi" w:cstheme="minorHAnsi"/>
          <w:spacing w:val="-5"/>
        </w:rPr>
        <w:t>-C2H4 and </w:t>
      </w:r>
      <w:r w:rsidRPr="0025334E">
        <w:rPr>
          <w:rStyle w:val="Strong"/>
          <w:rFonts w:asciiTheme="minorHAnsi" w:hAnsiTheme="minorHAnsi" w:cstheme="minorHAnsi"/>
          <w:spacing w:val="-5"/>
        </w:rPr>
        <w:t>Ac2</w:t>
      </w:r>
      <w:r w:rsidRPr="0025334E">
        <w:rPr>
          <w:rFonts w:asciiTheme="minorHAnsi" w:hAnsiTheme="minorHAnsi" w:cstheme="minorHAnsi"/>
          <w:spacing w:val="-5"/>
        </w:rPr>
        <w:t>-CH2 in the neutral state prefer an open conformation, albeit with varied difference in free energies. For </w:t>
      </w:r>
      <w:r w:rsidRPr="0025334E">
        <w:rPr>
          <w:rStyle w:val="Strong"/>
          <w:rFonts w:asciiTheme="minorHAnsi" w:hAnsiTheme="minorHAnsi" w:cstheme="minorHAnsi"/>
          <w:spacing w:val="-5"/>
        </w:rPr>
        <w:t>V2</w:t>
      </w:r>
      <w:r w:rsidRPr="0025334E">
        <w:rPr>
          <w:rFonts w:asciiTheme="minorHAnsi" w:hAnsiTheme="minorHAnsi" w:cstheme="minorHAnsi"/>
          <w:spacing w:val="-5"/>
        </w:rPr>
        <w:t> and </w:t>
      </w:r>
      <w:r w:rsidRPr="0025334E">
        <w:rPr>
          <w:rStyle w:val="Strong"/>
          <w:rFonts w:asciiTheme="minorHAnsi" w:hAnsiTheme="minorHAnsi" w:cstheme="minorHAnsi"/>
          <w:spacing w:val="-5"/>
        </w:rPr>
        <w:t>Ac2</w:t>
      </w:r>
      <w:r w:rsidRPr="0025334E">
        <w:rPr>
          <w:rFonts w:asciiTheme="minorHAnsi" w:hAnsiTheme="minorHAnsi" w:cstheme="minorHAnsi"/>
          <w:spacing w:val="-5"/>
        </w:rPr>
        <w:t>-C2H4, the open conformer is 2.1 and 3.5 kcal mol</w:t>
      </w:r>
      <w:r w:rsidRPr="0025334E">
        <w:rPr>
          <w:rFonts w:asciiTheme="minorHAnsi" w:hAnsiTheme="minorHAnsi" w:cstheme="minorHAnsi"/>
          <w:spacing w:val="-5"/>
          <w:vertAlign w:val="superscript"/>
        </w:rPr>
        <w:t>−1</w:t>
      </w:r>
      <w:r w:rsidRPr="0025334E">
        <w:rPr>
          <w:rFonts w:asciiTheme="minorHAnsi" w:hAnsiTheme="minorHAnsi" w:cstheme="minorHAnsi"/>
          <w:spacing w:val="-5"/>
        </w:rPr>
        <w:t> lower in energy than closed, respectively, while in the case of </w:t>
      </w:r>
      <w:r w:rsidRPr="0025334E">
        <w:rPr>
          <w:rStyle w:val="Strong"/>
          <w:rFonts w:asciiTheme="minorHAnsi" w:hAnsiTheme="minorHAnsi" w:cstheme="minorHAnsi"/>
          <w:spacing w:val="-5"/>
        </w:rPr>
        <w:t>Ac2</w:t>
      </w:r>
      <w:r w:rsidRPr="0025334E">
        <w:rPr>
          <w:rFonts w:asciiTheme="minorHAnsi" w:hAnsiTheme="minorHAnsi" w:cstheme="minorHAnsi"/>
          <w:spacing w:val="-5"/>
        </w:rPr>
        <w:t>-CH2 the two conformers are isoenergetic. As the orientation of the methoxy group in the neutral state is somewhat uncertain (</w:t>
      </w:r>
      <w:hyperlink r:id="rId63" w:anchor="fig3" w:history="1">
        <w:r w:rsidRPr="0025334E">
          <w:rPr>
            <w:rStyle w:val="Hyperlink"/>
            <w:rFonts w:asciiTheme="minorHAnsi" w:eastAsiaTheme="majorEastAsia" w:hAnsiTheme="minorHAnsi" w:cstheme="minorHAnsi"/>
            <w:color w:val="991E66"/>
            <w:spacing w:val="-5"/>
          </w:rPr>
          <w:t>Fig. 3</w:t>
        </w:r>
      </w:hyperlink>
      <w:r w:rsidRPr="0025334E">
        <w:rPr>
          <w:rFonts w:asciiTheme="minorHAnsi" w:hAnsiTheme="minorHAnsi" w:cstheme="minorHAnsi"/>
          <w:spacing w:val="-5"/>
        </w:rPr>
        <w:t>), we have also considered several conformations of </w:t>
      </w:r>
      <w:r w:rsidRPr="0025334E">
        <w:rPr>
          <w:rStyle w:val="Strong"/>
          <w:rFonts w:asciiTheme="minorHAnsi" w:hAnsiTheme="minorHAnsi" w:cstheme="minorHAnsi"/>
          <w:spacing w:val="-5"/>
        </w:rPr>
        <w:t>V1</w:t>
      </w:r>
      <w:r w:rsidRPr="0025334E">
        <w:rPr>
          <w:rFonts w:asciiTheme="minorHAnsi" w:hAnsiTheme="minorHAnsi" w:cstheme="minorHAnsi"/>
          <w:spacing w:val="-5"/>
        </w:rPr>
        <w:t>, </w:t>
      </w:r>
      <w:r w:rsidRPr="0025334E">
        <w:rPr>
          <w:rStyle w:val="Strong"/>
          <w:rFonts w:asciiTheme="minorHAnsi" w:hAnsiTheme="minorHAnsi" w:cstheme="minorHAnsi"/>
          <w:spacing w:val="-5"/>
        </w:rPr>
        <w:t>V2</w:t>
      </w:r>
      <w:r w:rsidRPr="0025334E">
        <w:rPr>
          <w:rFonts w:asciiTheme="minorHAnsi" w:hAnsiTheme="minorHAnsi" w:cstheme="minorHAnsi"/>
          <w:spacing w:val="-5"/>
        </w:rPr>
        <w:t> and </w:t>
      </w:r>
      <w:r w:rsidRPr="0025334E">
        <w:rPr>
          <w:rStyle w:val="Strong"/>
          <w:rFonts w:asciiTheme="minorHAnsi" w:hAnsiTheme="minorHAnsi" w:cstheme="minorHAnsi"/>
          <w:spacing w:val="-5"/>
        </w:rPr>
        <w:t>V2</w:t>
      </w:r>
      <w:r w:rsidRPr="0025334E">
        <w:rPr>
          <w:rFonts w:asciiTheme="minorHAnsi" w:hAnsiTheme="minorHAnsi" w:cstheme="minorHAnsi"/>
          <w:spacing w:val="-5"/>
        </w:rPr>
        <w:t>-locked with out-of-plane methoxy group orientations (</w:t>
      </w:r>
      <w:hyperlink r:id="rId64" w:anchor="fig7" w:history="1">
        <w:r w:rsidRPr="0025334E">
          <w:rPr>
            <w:rStyle w:val="Hyperlink"/>
            <w:rFonts w:asciiTheme="minorHAnsi" w:eastAsiaTheme="majorEastAsia" w:hAnsiTheme="minorHAnsi" w:cstheme="minorHAnsi"/>
            <w:color w:val="991E66"/>
            <w:spacing w:val="-5"/>
          </w:rPr>
          <w:t>Fig. 7</w:t>
        </w:r>
      </w:hyperlink>
      <w:r w:rsidRPr="0025334E">
        <w:rPr>
          <w:rFonts w:asciiTheme="minorHAnsi" w:hAnsiTheme="minorHAnsi" w:cstheme="minorHAnsi"/>
          <w:spacing w:val="-5"/>
        </w:rPr>
        <w:t>). In agreement with the X-ray crystallography data, calculations show that </w:t>
      </w:r>
      <w:r w:rsidRPr="0025334E">
        <w:rPr>
          <w:rStyle w:val="Strong"/>
          <w:rFonts w:asciiTheme="minorHAnsi" w:hAnsiTheme="minorHAnsi" w:cstheme="minorHAnsi"/>
          <w:spacing w:val="-5"/>
        </w:rPr>
        <w:t>V2</w:t>
      </w:r>
      <w:r w:rsidRPr="0025334E">
        <w:rPr>
          <w:rFonts w:asciiTheme="minorHAnsi" w:hAnsiTheme="minorHAnsi" w:cstheme="minorHAnsi"/>
          <w:spacing w:val="-5"/>
        </w:rPr>
        <w:t>-locked with the methoxy group oriented out-of-plane is the most stable, while </w:t>
      </w:r>
      <w:r w:rsidRPr="0025334E">
        <w:rPr>
          <w:rStyle w:val="Strong"/>
          <w:rFonts w:asciiTheme="minorHAnsi" w:hAnsiTheme="minorHAnsi" w:cstheme="minorHAnsi"/>
          <w:spacing w:val="-5"/>
        </w:rPr>
        <w:t>V1</w:t>
      </w:r>
      <w:r w:rsidRPr="0025334E">
        <w:rPr>
          <w:rFonts w:asciiTheme="minorHAnsi" w:hAnsiTheme="minorHAnsi" w:cstheme="minorHAnsi"/>
          <w:spacing w:val="-5"/>
        </w:rPr>
        <w:t> and </w:t>
      </w:r>
      <w:r w:rsidRPr="0025334E">
        <w:rPr>
          <w:rStyle w:val="Strong"/>
          <w:rFonts w:asciiTheme="minorHAnsi" w:hAnsiTheme="minorHAnsi" w:cstheme="minorHAnsi"/>
          <w:spacing w:val="-5"/>
        </w:rPr>
        <w:t>V2</w:t>
      </w:r>
      <w:r w:rsidRPr="0025334E">
        <w:rPr>
          <w:rFonts w:asciiTheme="minorHAnsi" w:hAnsiTheme="minorHAnsi" w:cstheme="minorHAnsi"/>
          <w:spacing w:val="-5"/>
        </w:rPr>
        <w:t> prefer an in-plane arrangement (blue dashed squares in </w:t>
      </w:r>
      <w:hyperlink r:id="rId65" w:anchor="fig7" w:history="1">
        <w:r w:rsidRPr="0025334E">
          <w:rPr>
            <w:rStyle w:val="Hyperlink"/>
            <w:rFonts w:asciiTheme="minorHAnsi" w:eastAsiaTheme="majorEastAsia" w:hAnsiTheme="minorHAnsi" w:cstheme="minorHAnsi"/>
            <w:color w:val="991E66"/>
            <w:spacing w:val="-5"/>
          </w:rPr>
          <w:t>Fig. 7A</w:t>
        </w:r>
      </w:hyperlink>
      <w:r w:rsidRPr="0025334E">
        <w:rPr>
          <w:rFonts w:asciiTheme="minorHAnsi" w:hAnsiTheme="minorHAnsi" w:cstheme="minorHAnsi"/>
          <w:spacing w:val="-5"/>
        </w:rPr>
        <w:t>). See Tables S1–S16 in ESI</w:t>
      </w:r>
      <w:hyperlink r:id="rId66" w:anchor="fn1" w:tooltip="Electronic supplementary information (ESI) available: Compounds characterization data, electrochemical data, and computational details. See DOI: 10.1039/c8cp02936a" w:history="1">
        <w:r w:rsidRPr="0025334E">
          <w:rPr>
            <w:rStyle w:val="Hyperlink"/>
            <w:rFonts w:asciiTheme="minorHAnsi" w:eastAsiaTheme="majorEastAsia" w:hAnsiTheme="minorHAnsi" w:cstheme="minorHAnsi"/>
            <w:color w:val="991E66"/>
            <w:spacing w:val="-5"/>
          </w:rPr>
          <w:t>†</w:t>
        </w:r>
      </w:hyperlink>
      <w:r w:rsidRPr="0025334E">
        <w:rPr>
          <w:rFonts w:asciiTheme="minorHAnsi" w:hAnsiTheme="minorHAnsi" w:cstheme="minorHAnsi"/>
          <w:spacing w:val="-5"/>
        </w:rPr>
        <w:t> for full details.</w:t>
      </w:r>
    </w:p>
    <w:p w14:paraId="640A3083" w14:textId="57B42EF9" w:rsidR="00997FBC" w:rsidRDefault="000A64B6" w:rsidP="000A64B6">
      <w:pPr>
        <w:shd w:val="clear" w:color="auto" w:fill="FFFFFF"/>
        <w:spacing w:after="0"/>
        <w:rPr>
          <w:rFonts w:cstheme="minorHAnsi"/>
          <w:noProof/>
          <w:color w:val="007AAF"/>
          <w:spacing w:val="-5"/>
        </w:rPr>
      </w:pPr>
      <w:r>
        <w:rPr>
          <w:noProof/>
        </w:rPr>
        <w:drawing>
          <wp:inline distT="0" distB="0" distL="0" distR="0" wp14:anchorId="367AE398" wp14:editId="0842DC51">
            <wp:extent cx="2743200" cy="1106424"/>
            <wp:effectExtent l="0" t="0" r="0" b="0"/>
            <wp:docPr id="65" name="Picture 65" descr="Fig. 7 (A) Equilibrium structures optimized using CAM-B3LYP-D3/6-31G(d) + PCM(CH2Cl2). Blue boxes correspond to the global minimum structures of the neutral, red boxes correspond to the global minimum structures of the cation radical. See Tables S1–S16 in ESI† for full details. (B) Correlation plot between calculated adiabatic ionization free energies (Gox) and experimental oxidation potentials. Best-fit linear trends is shown: Gox = 1.10 Eox + 4.50, R2 = 0.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2743200" cy="1106424"/>
                    </a:xfrm>
                    <a:prstGeom prst="rect">
                      <a:avLst/>
                    </a:prstGeom>
                    <a:noFill/>
                    <a:ln>
                      <a:noFill/>
                    </a:ln>
                  </pic:spPr>
                </pic:pic>
              </a:graphicData>
            </a:graphic>
          </wp:inline>
        </w:drawing>
      </w:r>
    </w:p>
    <w:p w14:paraId="23E39F40" w14:textId="56505CEF" w:rsidR="004B0BFF" w:rsidRPr="0025334E" w:rsidRDefault="004B0BFF" w:rsidP="004B0BFF">
      <w:pPr>
        <w:shd w:val="clear" w:color="auto" w:fill="FFFFFF"/>
        <w:rPr>
          <w:rFonts w:cstheme="minorHAnsi"/>
          <w:spacing w:val="-5"/>
        </w:rPr>
      </w:pPr>
      <w:r w:rsidRPr="0025334E">
        <w:rPr>
          <w:rStyle w:val="h--heading4"/>
          <w:rFonts w:cstheme="minorHAnsi"/>
          <w:b/>
          <w:bCs/>
          <w:color w:val="191919"/>
          <w:spacing w:val="-7"/>
        </w:rPr>
        <w:t>Fig. 7</w:t>
      </w:r>
      <w:r w:rsidRPr="0025334E">
        <w:rPr>
          <w:rFonts w:cstheme="minorHAnsi"/>
          <w:spacing w:val="-5"/>
        </w:rPr>
        <w:t> (A) Equilibrium structures optimized using CAM-B3LYP-D3/6-31G(d) + PCM(CH</w:t>
      </w:r>
      <w:r w:rsidRPr="0025334E">
        <w:rPr>
          <w:rFonts w:cstheme="minorHAnsi"/>
          <w:spacing w:val="-5"/>
          <w:vertAlign w:val="subscript"/>
        </w:rPr>
        <w:t>2</w:t>
      </w:r>
      <w:r w:rsidRPr="0025334E">
        <w:rPr>
          <w:rFonts w:cstheme="minorHAnsi"/>
          <w:spacing w:val="-5"/>
        </w:rPr>
        <w:t>Cl</w:t>
      </w:r>
      <w:r w:rsidRPr="0025334E">
        <w:rPr>
          <w:rFonts w:cstheme="minorHAnsi"/>
          <w:spacing w:val="-5"/>
          <w:vertAlign w:val="subscript"/>
        </w:rPr>
        <w:t>2</w:t>
      </w:r>
      <w:r w:rsidRPr="0025334E">
        <w:rPr>
          <w:rFonts w:cstheme="minorHAnsi"/>
          <w:spacing w:val="-5"/>
        </w:rPr>
        <w:t>). Blue boxes correspond to the global minimum structures of the neutral, red boxes correspond to the global minimum structures of the cation radical. See Tables S1–S16 in ESI</w:t>
      </w:r>
      <w:hyperlink r:id="rId68" w:anchor="fn1" w:tooltip="Electronic supplementary information (ESI) available: Compounds characterization data, electrochemical data, and computational details. See DOI: 10.1039/c8cp02936a" w:history="1">
        <w:r w:rsidRPr="0025334E">
          <w:rPr>
            <w:rStyle w:val="Hyperlink"/>
            <w:rFonts w:cstheme="minorHAnsi"/>
            <w:color w:val="007AAF"/>
            <w:spacing w:val="-5"/>
          </w:rPr>
          <w:t>†</w:t>
        </w:r>
      </w:hyperlink>
      <w:r w:rsidRPr="0025334E">
        <w:rPr>
          <w:rFonts w:cstheme="minorHAnsi"/>
          <w:spacing w:val="-5"/>
        </w:rPr>
        <w:t> for full details. (B) Correlation plot between calculated adiabatic ionization free energies (</w:t>
      </w:r>
      <w:proofErr w:type="spellStart"/>
      <w:r w:rsidRPr="0025334E">
        <w:rPr>
          <w:rStyle w:val="Emphasis"/>
          <w:rFonts w:cstheme="minorHAnsi"/>
          <w:spacing w:val="-5"/>
        </w:rPr>
        <w:t>G</w:t>
      </w:r>
      <w:r w:rsidRPr="0025334E">
        <w:rPr>
          <w:rFonts w:cstheme="minorHAnsi"/>
          <w:spacing w:val="-5"/>
          <w:vertAlign w:val="subscript"/>
        </w:rPr>
        <w:t>ox</w:t>
      </w:r>
      <w:proofErr w:type="spellEnd"/>
      <w:r w:rsidRPr="0025334E">
        <w:rPr>
          <w:rFonts w:cstheme="minorHAnsi"/>
          <w:spacing w:val="-5"/>
        </w:rPr>
        <w:t>) and experimental oxidation potentials. Best-fit linear trends is shown: </w:t>
      </w:r>
      <w:proofErr w:type="spellStart"/>
      <w:r w:rsidRPr="0025334E">
        <w:rPr>
          <w:rStyle w:val="Emphasis"/>
          <w:rFonts w:cstheme="minorHAnsi"/>
          <w:spacing w:val="-5"/>
        </w:rPr>
        <w:t>G</w:t>
      </w:r>
      <w:r w:rsidRPr="0025334E">
        <w:rPr>
          <w:rFonts w:cstheme="minorHAnsi"/>
          <w:spacing w:val="-5"/>
          <w:vertAlign w:val="subscript"/>
        </w:rPr>
        <w:t>ox</w:t>
      </w:r>
      <w:proofErr w:type="spellEnd"/>
      <w:r w:rsidRPr="0025334E">
        <w:rPr>
          <w:rFonts w:cstheme="minorHAnsi"/>
          <w:spacing w:val="-5"/>
        </w:rPr>
        <w:t> = 1.10 </w:t>
      </w:r>
      <w:proofErr w:type="spellStart"/>
      <w:r w:rsidRPr="0025334E">
        <w:rPr>
          <w:rStyle w:val="Emphasis"/>
          <w:rFonts w:cstheme="minorHAnsi"/>
          <w:spacing w:val="-5"/>
        </w:rPr>
        <w:t>E</w:t>
      </w:r>
      <w:r w:rsidRPr="0025334E">
        <w:rPr>
          <w:rFonts w:cstheme="minorHAnsi"/>
          <w:spacing w:val="-5"/>
          <w:vertAlign w:val="subscript"/>
        </w:rPr>
        <w:t>ox</w:t>
      </w:r>
      <w:proofErr w:type="spellEnd"/>
      <w:r w:rsidRPr="0025334E">
        <w:rPr>
          <w:rFonts w:cstheme="minorHAnsi"/>
          <w:spacing w:val="-5"/>
        </w:rPr>
        <w:t> + 4.50, </w:t>
      </w:r>
      <w:r w:rsidRPr="0025334E">
        <w:rPr>
          <w:rStyle w:val="Emphasis"/>
          <w:rFonts w:cstheme="minorHAnsi"/>
          <w:spacing w:val="-5"/>
        </w:rPr>
        <w:t>R</w:t>
      </w:r>
      <w:r w:rsidRPr="0025334E">
        <w:rPr>
          <w:rFonts w:cstheme="minorHAnsi"/>
          <w:spacing w:val="-5"/>
          <w:vertAlign w:val="superscript"/>
        </w:rPr>
        <w:t>2</w:t>
      </w:r>
      <w:r w:rsidRPr="0025334E">
        <w:rPr>
          <w:rFonts w:cstheme="minorHAnsi"/>
          <w:spacing w:val="-5"/>
        </w:rPr>
        <w:t> = 0.99.</w:t>
      </w:r>
    </w:p>
    <w:p w14:paraId="6E612673" w14:textId="77777777" w:rsidR="004B0BFF" w:rsidRPr="0025334E" w:rsidRDefault="004B0BFF" w:rsidP="004B0BFF">
      <w:pPr>
        <w:pStyle w:val="NormalWeb"/>
        <w:shd w:val="clear" w:color="auto" w:fill="FFFFFF"/>
        <w:spacing w:after="0" w:afterAutospacing="0"/>
        <w:rPr>
          <w:rFonts w:asciiTheme="minorHAnsi" w:hAnsiTheme="minorHAnsi" w:cstheme="minorHAnsi"/>
          <w:spacing w:val="-5"/>
        </w:rPr>
      </w:pPr>
      <w:r w:rsidRPr="0025334E">
        <w:rPr>
          <w:rFonts w:asciiTheme="minorHAnsi" w:hAnsiTheme="minorHAnsi" w:cstheme="minorHAnsi"/>
          <w:spacing w:val="-5"/>
        </w:rPr>
        <w:t>For the cation radical state, calculations show that in all cases, except </w:t>
      </w:r>
      <w:r w:rsidRPr="0025334E">
        <w:rPr>
          <w:rStyle w:val="Strong"/>
          <w:rFonts w:asciiTheme="minorHAnsi" w:hAnsiTheme="minorHAnsi" w:cstheme="minorHAnsi"/>
          <w:spacing w:val="-5"/>
        </w:rPr>
        <w:t>Ac2</w:t>
      </w:r>
      <w:r w:rsidRPr="0025334E">
        <w:rPr>
          <w:rFonts w:asciiTheme="minorHAnsi" w:hAnsiTheme="minorHAnsi" w:cstheme="minorHAnsi"/>
          <w:spacing w:val="-5"/>
        </w:rPr>
        <w:t>-C2H4, a closed conformation with in-plane arrangement of the methoxy groups is the global minimum energy structure (red dashed squares in </w:t>
      </w:r>
      <w:hyperlink r:id="rId69" w:anchor="fig7" w:history="1">
        <w:r w:rsidRPr="0025334E">
          <w:rPr>
            <w:rStyle w:val="Hyperlink"/>
            <w:rFonts w:asciiTheme="minorHAnsi" w:eastAsiaTheme="majorEastAsia" w:hAnsiTheme="minorHAnsi" w:cstheme="minorHAnsi"/>
            <w:color w:val="991E66"/>
            <w:spacing w:val="-5"/>
          </w:rPr>
          <w:t>Fig. 7A</w:t>
        </w:r>
      </w:hyperlink>
      <w:r w:rsidRPr="0025334E">
        <w:rPr>
          <w:rFonts w:asciiTheme="minorHAnsi" w:hAnsiTheme="minorHAnsi" w:cstheme="minorHAnsi"/>
          <w:spacing w:val="-5"/>
        </w:rPr>
        <w:t>), in complete agreement with experiment (</w:t>
      </w:r>
      <w:hyperlink r:id="rId70" w:anchor="fig2" w:history="1">
        <w:r w:rsidRPr="0025334E">
          <w:rPr>
            <w:rStyle w:val="Hyperlink"/>
            <w:rFonts w:asciiTheme="minorHAnsi" w:eastAsiaTheme="majorEastAsia" w:hAnsiTheme="minorHAnsi" w:cstheme="minorHAnsi"/>
            <w:color w:val="991E66"/>
            <w:spacing w:val="-5"/>
          </w:rPr>
          <w:t>Fig. 2</w:t>
        </w:r>
      </w:hyperlink>
      <w:r w:rsidRPr="0025334E">
        <w:rPr>
          <w:rFonts w:asciiTheme="minorHAnsi" w:hAnsiTheme="minorHAnsi" w:cstheme="minorHAnsi"/>
          <w:spacing w:val="-5"/>
        </w:rPr>
        <w:t>). The energetic difference of the global minimum structures of the cation radical (D</w:t>
      </w:r>
      <w:r w:rsidRPr="0025334E">
        <w:rPr>
          <w:rFonts w:asciiTheme="minorHAnsi" w:hAnsiTheme="minorHAnsi" w:cstheme="minorHAnsi"/>
          <w:spacing w:val="-5"/>
          <w:vertAlign w:val="subscript"/>
        </w:rPr>
        <w:t>0</w:t>
      </w:r>
      <w:r w:rsidRPr="0025334E">
        <w:rPr>
          <w:rFonts w:asciiTheme="minorHAnsi" w:hAnsiTheme="minorHAnsi" w:cstheme="minorHAnsi"/>
          <w:spacing w:val="-5"/>
        </w:rPr>
        <w:t>) and neutral (S</w:t>
      </w:r>
      <w:r w:rsidRPr="0025334E">
        <w:rPr>
          <w:rFonts w:asciiTheme="minorHAnsi" w:hAnsiTheme="minorHAnsi" w:cstheme="minorHAnsi"/>
          <w:spacing w:val="-5"/>
          <w:vertAlign w:val="subscript"/>
        </w:rPr>
        <w:t>0</w:t>
      </w:r>
      <w:r w:rsidRPr="0025334E">
        <w:rPr>
          <w:rFonts w:asciiTheme="minorHAnsi" w:hAnsiTheme="minorHAnsi" w:cstheme="minorHAnsi"/>
          <w:spacing w:val="-5"/>
        </w:rPr>
        <w:t>) states provides the calculated adiabatic ionization free energy (</w:t>
      </w:r>
      <w:r w:rsidRPr="0025334E">
        <w:rPr>
          <w:rStyle w:val="Emphasis"/>
          <w:rFonts w:asciiTheme="minorHAnsi" w:eastAsiaTheme="majorEastAsia" w:hAnsiTheme="minorHAnsi" w:cstheme="minorHAnsi"/>
          <w:spacing w:val="-5"/>
        </w:rPr>
        <w:t>i.e.</w:t>
      </w:r>
      <w:r w:rsidRPr="0025334E">
        <w:rPr>
          <w:rFonts w:asciiTheme="minorHAnsi" w:hAnsiTheme="minorHAnsi" w:cstheme="minorHAnsi"/>
          <w:spacing w:val="-5"/>
        </w:rPr>
        <w:t>, </w:t>
      </w:r>
      <w:proofErr w:type="spellStart"/>
      <w:r w:rsidRPr="0025334E">
        <w:rPr>
          <w:rStyle w:val="Emphasis"/>
          <w:rFonts w:asciiTheme="minorHAnsi" w:eastAsiaTheme="majorEastAsia" w:hAnsiTheme="minorHAnsi" w:cstheme="minorHAnsi"/>
          <w:spacing w:val="-5"/>
        </w:rPr>
        <w:t>G</w:t>
      </w:r>
      <w:r w:rsidRPr="0025334E">
        <w:rPr>
          <w:rFonts w:asciiTheme="minorHAnsi" w:hAnsiTheme="minorHAnsi" w:cstheme="minorHAnsi"/>
          <w:spacing w:val="-5"/>
          <w:vertAlign w:val="subscript"/>
        </w:rPr>
        <w:t>ox</w:t>
      </w:r>
      <w:proofErr w:type="spellEnd"/>
      <w:r w:rsidRPr="0025334E">
        <w:rPr>
          <w:rFonts w:asciiTheme="minorHAnsi" w:hAnsiTheme="minorHAnsi" w:cstheme="minorHAnsi"/>
          <w:spacing w:val="-5"/>
        </w:rPr>
        <w:t> = </w:t>
      </w:r>
      <w:r w:rsidRPr="0025334E">
        <w:rPr>
          <w:rStyle w:val="Emphasis"/>
          <w:rFonts w:asciiTheme="minorHAnsi" w:eastAsiaTheme="majorEastAsia" w:hAnsiTheme="minorHAnsi" w:cstheme="minorHAnsi"/>
          <w:spacing w:val="-5"/>
        </w:rPr>
        <w:t>G</w:t>
      </w:r>
      <w:r w:rsidRPr="0025334E">
        <w:rPr>
          <w:rFonts w:asciiTheme="minorHAnsi" w:hAnsiTheme="minorHAnsi" w:cstheme="minorHAnsi"/>
          <w:spacing w:val="-5"/>
        </w:rPr>
        <w:t>[D</w:t>
      </w:r>
      <w:r w:rsidRPr="0025334E">
        <w:rPr>
          <w:rFonts w:asciiTheme="minorHAnsi" w:hAnsiTheme="minorHAnsi" w:cstheme="minorHAnsi"/>
          <w:spacing w:val="-5"/>
          <w:vertAlign w:val="subscript"/>
        </w:rPr>
        <w:t>0</w:t>
      </w:r>
      <w:r w:rsidRPr="0025334E">
        <w:rPr>
          <w:rFonts w:asciiTheme="minorHAnsi" w:hAnsiTheme="minorHAnsi" w:cstheme="minorHAnsi"/>
          <w:spacing w:val="-5"/>
        </w:rPr>
        <w:t>] − </w:t>
      </w:r>
      <w:r w:rsidRPr="0025334E">
        <w:rPr>
          <w:rStyle w:val="Emphasis"/>
          <w:rFonts w:asciiTheme="minorHAnsi" w:eastAsiaTheme="majorEastAsia" w:hAnsiTheme="minorHAnsi" w:cstheme="minorHAnsi"/>
          <w:spacing w:val="-5"/>
        </w:rPr>
        <w:t>G</w:t>
      </w:r>
      <w:r w:rsidRPr="0025334E">
        <w:rPr>
          <w:rFonts w:asciiTheme="minorHAnsi" w:hAnsiTheme="minorHAnsi" w:cstheme="minorHAnsi"/>
          <w:spacing w:val="-5"/>
        </w:rPr>
        <w:t>[S</w:t>
      </w:r>
      <w:r w:rsidRPr="0025334E">
        <w:rPr>
          <w:rFonts w:asciiTheme="minorHAnsi" w:hAnsiTheme="minorHAnsi" w:cstheme="minorHAnsi"/>
          <w:spacing w:val="-5"/>
          <w:vertAlign w:val="subscript"/>
        </w:rPr>
        <w:t>0</w:t>
      </w:r>
      <w:r w:rsidRPr="0025334E">
        <w:rPr>
          <w:rFonts w:asciiTheme="minorHAnsi" w:hAnsiTheme="minorHAnsi" w:cstheme="minorHAnsi"/>
          <w:spacing w:val="-5"/>
        </w:rPr>
        <w:t>]), which upon correlation with experimental oxidation potentials shows a perfect linear trend (</w:t>
      </w:r>
      <w:hyperlink r:id="rId71" w:anchor="fig7" w:history="1">
        <w:r w:rsidRPr="0025334E">
          <w:rPr>
            <w:rStyle w:val="Hyperlink"/>
            <w:rFonts w:asciiTheme="minorHAnsi" w:eastAsiaTheme="majorEastAsia" w:hAnsiTheme="minorHAnsi" w:cstheme="minorHAnsi"/>
            <w:color w:val="991E66"/>
            <w:spacing w:val="-5"/>
          </w:rPr>
          <w:t>Fig. 7B</w:t>
        </w:r>
      </w:hyperlink>
      <w:r w:rsidRPr="0025334E">
        <w:rPr>
          <w:rFonts w:asciiTheme="minorHAnsi" w:hAnsiTheme="minorHAnsi" w:cstheme="minorHAnsi"/>
          <w:spacing w:val="-5"/>
        </w:rPr>
        <w:t>).</w:t>
      </w:r>
    </w:p>
    <w:p w14:paraId="200CFF91" w14:textId="38653F27" w:rsidR="004B0BFF" w:rsidRDefault="004B0BFF" w:rsidP="004B0BFF">
      <w:pPr>
        <w:pStyle w:val="NormalWeb"/>
        <w:shd w:val="clear" w:color="auto" w:fill="FFFFFF"/>
        <w:spacing w:before="0" w:beforeAutospacing="0" w:after="0" w:afterAutospacing="0"/>
        <w:ind w:firstLine="240"/>
        <w:rPr>
          <w:rFonts w:asciiTheme="minorHAnsi" w:hAnsiTheme="minorHAnsi" w:cstheme="minorHAnsi"/>
          <w:spacing w:val="-5"/>
        </w:rPr>
      </w:pPr>
      <w:r w:rsidRPr="0025334E">
        <w:rPr>
          <w:rFonts w:asciiTheme="minorHAnsi" w:hAnsiTheme="minorHAnsi" w:cstheme="minorHAnsi"/>
          <w:spacing w:val="-5"/>
        </w:rPr>
        <w:t>In the gas phase, this picture changes significantly, as the various conformations become nearly isoenergetic, with energy differences within 1 kcal mol</w:t>
      </w:r>
      <w:r w:rsidRPr="0025334E">
        <w:rPr>
          <w:rFonts w:asciiTheme="minorHAnsi" w:hAnsiTheme="minorHAnsi" w:cstheme="minorHAnsi"/>
          <w:spacing w:val="-5"/>
          <w:vertAlign w:val="superscript"/>
        </w:rPr>
        <w:t>−1</w:t>
      </w:r>
      <w:r w:rsidRPr="0025334E">
        <w:rPr>
          <w:rFonts w:asciiTheme="minorHAnsi" w:hAnsiTheme="minorHAnsi" w:cstheme="minorHAnsi"/>
          <w:spacing w:val="-5"/>
        </w:rPr>
        <w:t> or less. For example, the gas-phase energy difference of </w:t>
      </w:r>
      <w:r w:rsidRPr="0025334E">
        <w:rPr>
          <w:rStyle w:val="Strong"/>
          <w:rFonts w:asciiTheme="minorHAnsi" w:hAnsiTheme="minorHAnsi" w:cstheme="minorHAnsi"/>
          <w:spacing w:val="-5"/>
        </w:rPr>
        <w:t>V2</w:t>
      </w:r>
      <w:r w:rsidRPr="0025334E">
        <w:rPr>
          <w:rFonts w:asciiTheme="minorHAnsi" w:hAnsiTheme="minorHAnsi" w:cstheme="minorHAnsi"/>
          <w:spacing w:val="-5"/>
        </w:rPr>
        <w:t> in open and closed conformations with out-of-plane methoxy groups is only 0.75 kcal mol</w:t>
      </w:r>
      <w:r w:rsidRPr="0025334E">
        <w:rPr>
          <w:rFonts w:asciiTheme="minorHAnsi" w:hAnsiTheme="minorHAnsi" w:cstheme="minorHAnsi"/>
          <w:spacing w:val="-5"/>
          <w:vertAlign w:val="superscript"/>
        </w:rPr>
        <w:t>−1</w:t>
      </w:r>
      <w:r w:rsidRPr="0025334E">
        <w:rPr>
          <w:rFonts w:asciiTheme="minorHAnsi" w:hAnsiTheme="minorHAnsi" w:cstheme="minorHAnsi"/>
          <w:spacing w:val="-5"/>
        </w:rPr>
        <w:t> (Table S1 in ESI</w:t>
      </w:r>
      <w:hyperlink r:id="rId72" w:anchor="fn1" w:tooltip="Electronic supplementary information (ESI) available: Compounds characterization data, electrochemical data, and computational details. See DOI: 10.1039/c8cp02936a" w:history="1">
        <w:r w:rsidRPr="0025334E">
          <w:rPr>
            <w:rStyle w:val="Hyperlink"/>
            <w:rFonts w:asciiTheme="minorHAnsi" w:eastAsiaTheme="majorEastAsia" w:hAnsiTheme="minorHAnsi" w:cstheme="minorHAnsi"/>
            <w:color w:val="991E66"/>
            <w:spacing w:val="-5"/>
          </w:rPr>
          <w:t>†</w:t>
        </w:r>
      </w:hyperlink>
      <w:r w:rsidRPr="0025334E">
        <w:rPr>
          <w:rFonts w:asciiTheme="minorHAnsi" w:hAnsiTheme="minorHAnsi" w:cstheme="minorHAnsi"/>
          <w:spacing w:val="-5"/>
        </w:rPr>
        <w:t>), while open and closed conformations of </w:t>
      </w:r>
      <w:r w:rsidRPr="0025334E">
        <w:rPr>
          <w:rStyle w:val="Strong"/>
          <w:rFonts w:asciiTheme="minorHAnsi" w:hAnsiTheme="minorHAnsi" w:cstheme="minorHAnsi"/>
          <w:spacing w:val="-5"/>
        </w:rPr>
        <w:t>Ac2</w:t>
      </w:r>
      <w:r w:rsidRPr="0025334E">
        <w:rPr>
          <w:rFonts w:asciiTheme="minorHAnsi" w:hAnsiTheme="minorHAnsi" w:cstheme="minorHAnsi"/>
          <w:spacing w:val="-5"/>
        </w:rPr>
        <w:t>-CH2 and </w:t>
      </w:r>
      <w:r w:rsidRPr="0025334E">
        <w:rPr>
          <w:rStyle w:val="Strong"/>
          <w:rFonts w:asciiTheme="minorHAnsi" w:hAnsiTheme="minorHAnsi" w:cstheme="minorHAnsi"/>
          <w:spacing w:val="-5"/>
        </w:rPr>
        <w:t>AC2</w:t>
      </w:r>
      <w:r w:rsidRPr="0025334E">
        <w:rPr>
          <w:rFonts w:asciiTheme="minorHAnsi" w:hAnsiTheme="minorHAnsi" w:cstheme="minorHAnsi"/>
          <w:spacing w:val="-5"/>
        </w:rPr>
        <w:t>-C2H4 differ by 0.3 and 1.1 kcal mol</w:t>
      </w:r>
      <w:r w:rsidRPr="0025334E">
        <w:rPr>
          <w:rFonts w:asciiTheme="minorHAnsi" w:hAnsiTheme="minorHAnsi" w:cstheme="minorHAnsi"/>
          <w:spacing w:val="-5"/>
          <w:vertAlign w:val="superscript"/>
        </w:rPr>
        <w:t>−1</w:t>
      </w:r>
      <w:r w:rsidRPr="0025334E">
        <w:rPr>
          <w:rFonts w:asciiTheme="minorHAnsi" w:hAnsiTheme="minorHAnsi" w:cstheme="minorHAnsi"/>
          <w:spacing w:val="-5"/>
        </w:rPr>
        <w:t>, respectively (Tables S9 and S13 in ESI</w:t>
      </w:r>
      <w:hyperlink r:id="rId73" w:anchor="fn1" w:tooltip="Electronic supplementary information (ESI) available: Compounds characterization data, electrochemical data, and computational details. See DOI: 10.1039/c8cp02936a" w:history="1">
        <w:r w:rsidRPr="0025334E">
          <w:rPr>
            <w:rStyle w:val="Hyperlink"/>
            <w:rFonts w:asciiTheme="minorHAnsi" w:eastAsiaTheme="majorEastAsia" w:hAnsiTheme="minorHAnsi" w:cstheme="minorHAnsi"/>
            <w:color w:val="991E66"/>
            <w:spacing w:val="-5"/>
          </w:rPr>
          <w:t>†</w:t>
        </w:r>
      </w:hyperlink>
      <w:r w:rsidRPr="0025334E">
        <w:rPr>
          <w:rFonts w:asciiTheme="minorHAnsi" w:hAnsiTheme="minorHAnsi" w:cstheme="minorHAnsi"/>
          <w:spacing w:val="-5"/>
        </w:rPr>
        <w:t>). In contrast, the calculated vertical ionization energies (VIE = </w:t>
      </w:r>
      <w:r w:rsidRPr="0025334E">
        <w:rPr>
          <w:rStyle w:val="Emphasis"/>
          <w:rFonts w:asciiTheme="minorHAnsi" w:eastAsiaTheme="majorEastAsia" w:hAnsiTheme="minorHAnsi" w:cstheme="minorHAnsi"/>
          <w:spacing w:val="-5"/>
        </w:rPr>
        <w:t>E</w:t>
      </w:r>
      <w:r w:rsidRPr="0025334E">
        <w:rPr>
          <w:rFonts w:asciiTheme="minorHAnsi" w:hAnsiTheme="minorHAnsi" w:cstheme="minorHAnsi"/>
          <w:spacing w:val="-5"/>
        </w:rPr>
        <w:t>[D</w:t>
      </w:r>
      <w:r w:rsidRPr="0025334E">
        <w:rPr>
          <w:rFonts w:asciiTheme="minorHAnsi" w:hAnsiTheme="minorHAnsi" w:cstheme="minorHAnsi"/>
          <w:spacing w:val="-5"/>
          <w:vertAlign w:val="subscript"/>
        </w:rPr>
        <w:t>0</w:t>
      </w:r>
      <w:r w:rsidRPr="0025334E">
        <w:rPr>
          <w:rFonts w:asciiTheme="minorHAnsi" w:hAnsiTheme="minorHAnsi" w:cstheme="minorHAnsi"/>
          <w:spacing w:val="-5"/>
        </w:rPr>
        <w:t>] − </w:t>
      </w:r>
      <w:r w:rsidRPr="0025334E">
        <w:rPr>
          <w:rStyle w:val="Emphasis"/>
          <w:rFonts w:asciiTheme="minorHAnsi" w:eastAsiaTheme="majorEastAsia" w:hAnsiTheme="minorHAnsi" w:cstheme="minorHAnsi"/>
          <w:spacing w:val="-5"/>
        </w:rPr>
        <w:t>E</w:t>
      </w:r>
      <w:r w:rsidRPr="0025334E">
        <w:rPr>
          <w:rFonts w:asciiTheme="minorHAnsi" w:hAnsiTheme="minorHAnsi" w:cstheme="minorHAnsi"/>
          <w:spacing w:val="-5"/>
        </w:rPr>
        <w:t>[S</w:t>
      </w:r>
      <w:r w:rsidRPr="0025334E">
        <w:rPr>
          <w:rFonts w:asciiTheme="minorHAnsi" w:hAnsiTheme="minorHAnsi" w:cstheme="minorHAnsi"/>
          <w:spacing w:val="-5"/>
          <w:vertAlign w:val="subscript"/>
        </w:rPr>
        <w:t>0</w:t>
      </w:r>
      <w:r w:rsidRPr="0025334E">
        <w:rPr>
          <w:rFonts w:asciiTheme="minorHAnsi" w:hAnsiTheme="minorHAnsi" w:cstheme="minorHAnsi"/>
          <w:spacing w:val="-5"/>
        </w:rPr>
        <w:t>], at the equilibrium geometry of neutral state) of various conformations depend dramatically on the conformation (</w:t>
      </w:r>
      <w:r w:rsidRPr="0025334E">
        <w:rPr>
          <w:rStyle w:val="Emphasis"/>
          <w:rFonts w:asciiTheme="minorHAnsi" w:eastAsiaTheme="majorEastAsia" w:hAnsiTheme="minorHAnsi" w:cstheme="minorHAnsi"/>
          <w:spacing w:val="-5"/>
        </w:rPr>
        <w:t>e.g.</w:t>
      </w:r>
      <w:r w:rsidRPr="0025334E">
        <w:rPr>
          <w:rFonts w:asciiTheme="minorHAnsi" w:hAnsiTheme="minorHAnsi" w:cstheme="minorHAnsi"/>
          <w:spacing w:val="-5"/>
        </w:rPr>
        <w:t>, Table S1 in ESI</w:t>
      </w:r>
      <w:hyperlink r:id="rId74" w:anchor="fn1" w:tooltip="Electronic supplementary information (ESI) available: Compounds characterization data, electrochemical data, and computational details. See DOI: 10.1039/c8cp02936a" w:history="1">
        <w:r w:rsidRPr="0025334E">
          <w:rPr>
            <w:rStyle w:val="Hyperlink"/>
            <w:rFonts w:asciiTheme="minorHAnsi" w:eastAsiaTheme="majorEastAsia" w:hAnsiTheme="minorHAnsi" w:cstheme="minorHAnsi"/>
            <w:color w:val="991E66"/>
            <w:spacing w:val="-5"/>
          </w:rPr>
          <w:t>†</w:t>
        </w:r>
      </w:hyperlink>
      <w:r w:rsidRPr="0025334E">
        <w:rPr>
          <w:rFonts w:asciiTheme="minorHAnsi" w:hAnsiTheme="minorHAnsi" w:cstheme="minorHAnsi"/>
          <w:spacing w:val="-5"/>
        </w:rPr>
        <w:t xml:space="preserve">). Indeed, it has been established both experimentally and theoretically that the extent of </w:t>
      </w:r>
      <w:proofErr w:type="spellStart"/>
      <w:r w:rsidRPr="0025334E">
        <w:rPr>
          <w:rFonts w:asciiTheme="minorHAnsi" w:hAnsiTheme="minorHAnsi" w:cstheme="minorHAnsi"/>
          <w:spacing w:val="-5"/>
        </w:rPr>
        <w:t>cofaciality</w:t>
      </w:r>
      <w:proofErr w:type="spellEnd"/>
      <w:r w:rsidRPr="0025334E">
        <w:rPr>
          <w:rFonts w:asciiTheme="minorHAnsi" w:hAnsiTheme="minorHAnsi" w:cstheme="minorHAnsi"/>
          <w:spacing w:val="-5"/>
        </w:rPr>
        <w:t xml:space="preserve"> between aromatic moieties and the orientation of the methoxy relative to the aromatic plane are reflected in the values of VIE and </w:t>
      </w:r>
      <w:r w:rsidRPr="0025334E">
        <w:rPr>
          <w:rStyle w:val="Emphasis"/>
          <w:rFonts w:asciiTheme="minorHAnsi" w:eastAsiaTheme="majorEastAsia" w:hAnsiTheme="minorHAnsi" w:cstheme="minorHAnsi"/>
          <w:spacing w:val="-5"/>
        </w:rPr>
        <w:t>E</w:t>
      </w:r>
      <w:r w:rsidRPr="0025334E">
        <w:rPr>
          <w:rFonts w:asciiTheme="minorHAnsi" w:hAnsiTheme="minorHAnsi" w:cstheme="minorHAnsi"/>
          <w:spacing w:val="-5"/>
          <w:vertAlign w:val="subscript"/>
        </w:rPr>
        <w:t>ox</w:t>
      </w:r>
      <w:r w:rsidRPr="0025334E">
        <w:rPr>
          <w:rFonts w:asciiTheme="minorHAnsi" w:hAnsiTheme="minorHAnsi" w:cstheme="minorHAnsi"/>
          <w:spacing w:val="-5"/>
        </w:rPr>
        <w:t>.</w:t>
      </w:r>
      <w:hyperlink r:id="rId75" w:anchor="cit18" w:history="1">
        <w:r w:rsidRPr="0025334E">
          <w:rPr>
            <w:rStyle w:val="Hyperlink"/>
            <w:rFonts w:asciiTheme="minorHAnsi" w:eastAsiaTheme="majorEastAsia" w:hAnsiTheme="minorHAnsi" w:cstheme="minorHAnsi"/>
            <w:color w:val="991E66"/>
            <w:spacing w:val="-5"/>
            <w:vertAlign w:val="superscript"/>
          </w:rPr>
          <w:t>18,43</w:t>
        </w:r>
      </w:hyperlink>
      <w:r w:rsidRPr="0025334E">
        <w:rPr>
          <w:rFonts w:asciiTheme="minorHAnsi" w:hAnsiTheme="minorHAnsi" w:cstheme="minorHAnsi"/>
          <w:spacing w:val="-5"/>
        </w:rPr>
        <w:t xml:space="preserve"> The </w:t>
      </w:r>
      <w:r w:rsidRPr="0025334E">
        <w:rPr>
          <w:rFonts w:asciiTheme="minorHAnsi" w:hAnsiTheme="minorHAnsi" w:cstheme="minorHAnsi"/>
          <w:spacing w:val="-5"/>
        </w:rPr>
        <w:lastRenderedPageBreak/>
        <w:t>high sensitivity of the conformation to the VIE allowed us to pinpoint the conformations that most likely exist in the gas phase by correlating calculated VIEs against experimental values (</w:t>
      </w:r>
      <w:hyperlink r:id="rId76" w:anchor="fig8" w:history="1">
        <w:r w:rsidRPr="0025334E">
          <w:rPr>
            <w:rStyle w:val="Hyperlink"/>
            <w:rFonts w:asciiTheme="minorHAnsi" w:eastAsiaTheme="majorEastAsia" w:hAnsiTheme="minorHAnsi" w:cstheme="minorHAnsi"/>
            <w:color w:val="991E66"/>
            <w:spacing w:val="-5"/>
          </w:rPr>
          <w:t>Fig. 8A</w:t>
        </w:r>
      </w:hyperlink>
      <w:r w:rsidRPr="0025334E">
        <w:rPr>
          <w:rFonts w:asciiTheme="minorHAnsi" w:hAnsiTheme="minorHAnsi" w:cstheme="minorHAnsi"/>
          <w:spacing w:val="-5"/>
        </w:rPr>
        <w:t>). Remarkably, conformations that show the best correlation with experiment correspond exactly to those identified as global minimum structures in solution.</w:t>
      </w:r>
    </w:p>
    <w:p w14:paraId="1F347D42" w14:textId="77777777" w:rsidR="00582B08" w:rsidRPr="0025334E" w:rsidRDefault="00582B08" w:rsidP="004B0BFF">
      <w:pPr>
        <w:pStyle w:val="NormalWeb"/>
        <w:shd w:val="clear" w:color="auto" w:fill="FFFFFF"/>
        <w:spacing w:before="0" w:beforeAutospacing="0" w:after="0" w:afterAutospacing="0"/>
        <w:ind w:firstLine="240"/>
        <w:rPr>
          <w:rFonts w:asciiTheme="minorHAnsi" w:hAnsiTheme="minorHAnsi" w:cstheme="minorHAnsi"/>
          <w:spacing w:val="-5"/>
        </w:rPr>
      </w:pPr>
    </w:p>
    <w:p w14:paraId="4EAFB311" w14:textId="276139D4" w:rsidR="000A64B6" w:rsidRDefault="00582B08" w:rsidP="00582B08">
      <w:pPr>
        <w:shd w:val="clear" w:color="auto" w:fill="FFFFFF"/>
        <w:spacing w:after="0"/>
        <w:rPr>
          <w:rFonts w:cstheme="minorHAnsi"/>
          <w:noProof/>
          <w:color w:val="007AAF"/>
          <w:spacing w:val="-5"/>
        </w:rPr>
      </w:pPr>
      <w:r>
        <w:rPr>
          <w:noProof/>
        </w:rPr>
        <w:drawing>
          <wp:inline distT="0" distB="0" distL="0" distR="0" wp14:anchorId="57F432BC" wp14:editId="0E786809">
            <wp:extent cx="2743200" cy="2953512"/>
            <wp:effectExtent l="0" t="0" r="0" b="0"/>
            <wp:docPr id="66" name="Picture 66" descr="Fig. 8 (A) Correlation plot between VIEs from DFT and experiment. Solid line is the best-fit linear trend y = 1.50x − 4.13, R2 = 1.00. In panels A and B, filled red circles correspond to conformations that match best with experimental values, empty grey circles correspond to the remaining conformations. (B) Correlation plot between AIEs from DFT and experiment. Solid line is the best-fit linear trend y = 1.36x − 3.01, R2 = 0.99. (C) Correlation plot between AIEs and VIEs obtained from DFT (red circles) and experiment (blue squares). (D) Correlation plots of the calculated solution-phase adiabatic ionization free energies (Gox) against calculated gas-phase adiabatic (red circles) and vertical (blue circles and squares) ionization energies. Best-fit linear trends are shown: Gox = 0.56AIE + 1.59, R2 = 0.93 (red) and Gox = 0.41VIE + 2.35, R2 = 0.94 (blue, V1-in and Ac2-C2H4 exclu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2743200" cy="2953512"/>
                    </a:xfrm>
                    <a:prstGeom prst="rect">
                      <a:avLst/>
                    </a:prstGeom>
                    <a:noFill/>
                    <a:ln>
                      <a:noFill/>
                    </a:ln>
                  </pic:spPr>
                </pic:pic>
              </a:graphicData>
            </a:graphic>
          </wp:inline>
        </w:drawing>
      </w:r>
    </w:p>
    <w:p w14:paraId="2DB525D5" w14:textId="1E0F5EAC" w:rsidR="004B0BFF" w:rsidRPr="0025334E" w:rsidRDefault="004B0BFF" w:rsidP="004B0BFF">
      <w:pPr>
        <w:shd w:val="clear" w:color="auto" w:fill="FFFFFF"/>
        <w:rPr>
          <w:rFonts w:cstheme="minorHAnsi"/>
          <w:spacing w:val="-5"/>
        </w:rPr>
      </w:pPr>
      <w:r w:rsidRPr="0025334E">
        <w:rPr>
          <w:rStyle w:val="h--heading4"/>
          <w:rFonts w:cstheme="minorHAnsi"/>
          <w:b/>
          <w:bCs/>
          <w:color w:val="191919"/>
          <w:spacing w:val="-7"/>
        </w:rPr>
        <w:t>Fig. 8</w:t>
      </w:r>
      <w:r w:rsidRPr="0025334E">
        <w:rPr>
          <w:rFonts w:cstheme="minorHAnsi"/>
          <w:spacing w:val="-5"/>
        </w:rPr>
        <w:t> (A) Correlation plot between VIEs from DFT and experiment. Solid line is the best-fit linear trend </w:t>
      </w:r>
      <w:r w:rsidRPr="0025334E">
        <w:rPr>
          <w:rStyle w:val="Emphasis"/>
          <w:rFonts w:cstheme="minorHAnsi"/>
          <w:spacing w:val="-5"/>
        </w:rPr>
        <w:t>y</w:t>
      </w:r>
      <w:r w:rsidRPr="0025334E">
        <w:rPr>
          <w:rFonts w:cstheme="minorHAnsi"/>
          <w:spacing w:val="-5"/>
        </w:rPr>
        <w:t> = 1.50</w:t>
      </w:r>
      <w:r w:rsidRPr="0025334E">
        <w:rPr>
          <w:rStyle w:val="Emphasis"/>
          <w:rFonts w:cstheme="minorHAnsi"/>
          <w:spacing w:val="-5"/>
        </w:rPr>
        <w:t>x</w:t>
      </w:r>
      <w:r w:rsidRPr="0025334E">
        <w:rPr>
          <w:rFonts w:cstheme="minorHAnsi"/>
          <w:spacing w:val="-5"/>
        </w:rPr>
        <w:t> − 4.13, </w:t>
      </w:r>
      <w:r w:rsidRPr="0025334E">
        <w:rPr>
          <w:rStyle w:val="Emphasis"/>
          <w:rFonts w:cstheme="minorHAnsi"/>
          <w:spacing w:val="-5"/>
        </w:rPr>
        <w:t>R</w:t>
      </w:r>
      <w:r w:rsidRPr="0025334E">
        <w:rPr>
          <w:rFonts w:cstheme="minorHAnsi"/>
          <w:spacing w:val="-5"/>
          <w:vertAlign w:val="superscript"/>
        </w:rPr>
        <w:t>2</w:t>
      </w:r>
      <w:r w:rsidRPr="0025334E">
        <w:rPr>
          <w:rFonts w:cstheme="minorHAnsi"/>
          <w:spacing w:val="-5"/>
        </w:rPr>
        <w:t> = 1.00. In panels A and B, filled red circles correspond to conformations that match best with experimental values, empty grey circles correspond to the remaining conformations. (B) Correlation plot between AIEs from DFT and experiment. Solid line is the best-fit linear trend </w:t>
      </w:r>
      <w:r w:rsidRPr="0025334E">
        <w:rPr>
          <w:rStyle w:val="Emphasis"/>
          <w:rFonts w:cstheme="minorHAnsi"/>
          <w:spacing w:val="-5"/>
        </w:rPr>
        <w:t>y</w:t>
      </w:r>
      <w:r w:rsidRPr="0025334E">
        <w:rPr>
          <w:rFonts w:cstheme="minorHAnsi"/>
          <w:spacing w:val="-5"/>
        </w:rPr>
        <w:t> = 1.36</w:t>
      </w:r>
      <w:r w:rsidRPr="0025334E">
        <w:rPr>
          <w:rStyle w:val="Emphasis"/>
          <w:rFonts w:cstheme="minorHAnsi"/>
          <w:spacing w:val="-5"/>
        </w:rPr>
        <w:t>x</w:t>
      </w:r>
      <w:r w:rsidRPr="0025334E">
        <w:rPr>
          <w:rFonts w:cstheme="minorHAnsi"/>
          <w:spacing w:val="-5"/>
        </w:rPr>
        <w:t> − 3.01, </w:t>
      </w:r>
      <w:r w:rsidRPr="0025334E">
        <w:rPr>
          <w:rStyle w:val="Emphasis"/>
          <w:rFonts w:cstheme="minorHAnsi"/>
          <w:spacing w:val="-5"/>
        </w:rPr>
        <w:t>R</w:t>
      </w:r>
      <w:r w:rsidRPr="0025334E">
        <w:rPr>
          <w:rFonts w:cstheme="minorHAnsi"/>
          <w:spacing w:val="-5"/>
          <w:vertAlign w:val="superscript"/>
        </w:rPr>
        <w:t>2</w:t>
      </w:r>
      <w:r w:rsidRPr="0025334E">
        <w:rPr>
          <w:rFonts w:cstheme="minorHAnsi"/>
          <w:spacing w:val="-5"/>
        </w:rPr>
        <w:t> = 0.99. (C) Correlation plot between AIEs and VIEs obtained from DFT (red circles) and experiment (blue squares). (D) Correlation plots of the calculated solution-phase adiabatic ionization free energies (</w:t>
      </w:r>
      <w:proofErr w:type="spellStart"/>
      <w:r w:rsidRPr="0025334E">
        <w:rPr>
          <w:rStyle w:val="Emphasis"/>
          <w:rFonts w:cstheme="minorHAnsi"/>
          <w:spacing w:val="-5"/>
        </w:rPr>
        <w:t>G</w:t>
      </w:r>
      <w:r w:rsidRPr="0025334E">
        <w:rPr>
          <w:rFonts w:cstheme="minorHAnsi"/>
          <w:spacing w:val="-5"/>
          <w:vertAlign w:val="subscript"/>
        </w:rPr>
        <w:t>ox</w:t>
      </w:r>
      <w:proofErr w:type="spellEnd"/>
      <w:r w:rsidRPr="0025334E">
        <w:rPr>
          <w:rFonts w:cstheme="minorHAnsi"/>
          <w:spacing w:val="-5"/>
        </w:rPr>
        <w:t>) against calculated gas-phase adiabatic (red circles) and vertical (blue circles and squares) ionization energies. Best-fit linear trends are shown: </w:t>
      </w:r>
      <w:proofErr w:type="spellStart"/>
      <w:r w:rsidRPr="0025334E">
        <w:rPr>
          <w:rStyle w:val="Emphasis"/>
          <w:rFonts w:cstheme="minorHAnsi"/>
          <w:spacing w:val="-5"/>
        </w:rPr>
        <w:t>G</w:t>
      </w:r>
      <w:r w:rsidRPr="0025334E">
        <w:rPr>
          <w:rFonts w:cstheme="minorHAnsi"/>
          <w:spacing w:val="-5"/>
          <w:vertAlign w:val="subscript"/>
        </w:rPr>
        <w:t>ox</w:t>
      </w:r>
      <w:proofErr w:type="spellEnd"/>
      <w:r w:rsidRPr="0025334E">
        <w:rPr>
          <w:rFonts w:cstheme="minorHAnsi"/>
          <w:spacing w:val="-5"/>
        </w:rPr>
        <w:t> = 0.56AIE + 1.59, </w:t>
      </w:r>
      <w:r w:rsidRPr="0025334E">
        <w:rPr>
          <w:rStyle w:val="Emphasis"/>
          <w:rFonts w:cstheme="minorHAnsi"/>
          <w:spacing w:val="-5"/>
        </w:rPr>
        <w:t>R</w:t>
      </w:r>
      <w:r w:rsidRPr="0025334E">
        <w:rPr>
          <w:rFonts w:cstheme="minorHAnsi"/>
          <w:spacing w:val="-5"/>
          <w:vertAlign w:val="superscript"/>
        </w:rPr>
        <w:t>2</w:t>
      </w:r>
      <w:r w:rsidRPr="0025334E">
        <w:rPr>
          <w:rFonts w:cstheme="minorHAnsi"/>
          <w:spacing w:val="-5"/>
        </w:rPr>
        <w:t> = 0.93 (red) and </w:t>
      </w:r>
      <w:proofErr w:type="spellStart"/>
      <w:r w:rsidRPr="0025334E">
        <w:rPr>
          <w:rStyle w:val="Emphasis"/>
          <w:rFonts w:cstheme="minorHAnsi"/>
          <w:spacing w:val="-5"/>
        </w:rPr>
        <w:t>G</w:t>
      </w:r>
      <w:r w:rsidRPr="0025334E">
        <w:rPr>
          <w:rFonts w:cstheme="minorHAnsi"/>
          <w:spacing w:val="-5"/>
          <w:vertAlign w:val="subscript"/>
        </w:rPr>
        <w:t>ox</w:t>
      </w:r>
      <w:proofErr w:type="spellEnd"/>
      <w:r w:rsidRPr="0025334E">
        <w:rPr>
          <w:rFonts w:cstheme="minorHAnsi"/>
          <w:spacing w:val="-5"/>
        </w:rPr>
        <w:t> = 0.41VIE + 2.35, </w:t>
      </w:r>
      <w:r w:rsidRPr="0025334E">
        <w:rPr>
          <w:rStyle w:val="Emphasis"/>
          <w:rFonts w:cstheme="minorHAnsi"/>
          <w:spacing w:val="-5"/>
        </w:rPr>
        <w:t>R</w:t>
      </w:r>
      <w:r w:rsidRPr="0025334E">
        <w:rPr>
          <w:rFonts w:cstheme="minorHAnsi"/>
          <w:spacing w:val="-5"/>
          <w:vertAlign w:val="superscript"/>
        </w:rPr>
        <w:t>2</w:t>
      </w:r>
      <w:r w:rsidRPr="0025334E">
        <w:rPr>
          <w:rFonts w:cstheme="minorHAnsi"/>
          <w:spacing w:val="-5"/>
        </w:rPr>
        <w:t> = 0.94 (blue, </w:t>
      </w:r>
      <w:r w:rsidRPr="0025334E">
        <w:rPr>
          <w:rStyle w:val="Strong"/>
          <w:rFonts w:cstheme="minorHAnsi"/>
          <w:spacing w:val="-5"/>
        </w:rPr>
        <w:t>V1</w:t>
      </w:r>
      <w:r w:rsidRPr="0025334E">
        <w:rPr>
          <w:rFonts w:cstheme="minorHAnsi"/>
          <w:spacing w:val="-5"/>
        </w:rPr>
        <w:t>-in and </w:t>
      </w:r>
      <w:r w:rsidRPr="0025334E">
        <w:rPr>
          <w:rStyle w:val="Strong"/>
          <w:rFonts w:cstheme="minorHAnsi"/>
          <w:spacing w:val="-5"/>
        </w:rPr>
        <w:t>Ac2</w:t>
      </w:r>
      <w:r w:rsidRPr="0025334E">
        <w:rPr>
          <w:rFonts w:cstheme="minorHAnsi"/>
          <w:spacing w:val="-5"/>
        </w:rPr>
        <w:t>-C2H4 excluded).</w:t>
      </w:r>
    </w:p>
    <w:p w14:paraId="19793326" w14:textId="3C3BCA1B" w:rsidR="004B0BFF" w:rsidRDefault="004B0BFF" w:rsidP="004B0BFF">
      <w:pPr>
        <w:pStyle w:val="NormalWeb"/>
        <w:shd w:val="clear" w:color="auto" w:fill="FFFFFF"/>
        <w:spacing w:after="0" w:afterAutospacing="0"/>
        <w:rPr>
          <w:rFonts w:asciiTheme="minorHAnsi" w:hAnsiTheme="minorHAnsi" w:cstheme="minorHAnsi"/>
          <w:spacing w:val="-5"/>
        </w:rPr>
      </w:pPr>
      <w:r w:rsidRPr="0025334E">
        <w:rPr>
          <w:rFonts w:asciiTheme="minorHAnsi" w:hAnsiTheme="minorHAnsi" w:cstheme="minorHAnsi"/>
          <w:spacing w:val="-5"/>
        </w:rPr>
        <w:t>For the cation radical state, our calculations show that the closed conformer bearing an in-plane arrangement of methoxy groups is the global minimum for all molecules, with other conformations being far less stable. Interestingly, in contrast to the solution phase, </w:t>
      </w:r>
      <w:r w:rsidRPr="0025334E">
        <w:rPr>
          <w:rStyle w:val="Strong"/>
          <w:rFonts w:asciiTheme="minorHAnsi" w:hAnsiTheme="minorHAnsi" w:cstheme="minorHAnsi"/>
          <w:spacing w:val="-5"/>
        </w:rPr>
        <w:t>Ac2</w:t>
      </w:r>
      <w:r w:rsidRPr="0025334E">
        <w:rPr>
          <w:rFonts w:asciiTheme="minorHAnsi" w:hAnsiTheme="minorHAnsi" w:cstheme="minorHAnsi"/>
          <w:spacing w:val="-5"/>
        </w:rPr>
        <w:t>-C2H4 likely does undergo oxidation-induced folding in gas phase, as the calculated energy of the closed conformation is 3.7 kcal mol</w:t>
      </w:r>
      <w:r w:rsidRPr="0025334E">
        <w:rPr>
          <w:rFonts w:asciiTheme="minorHAnsi" w:hAnsiTheme="minorHAnsi" w:cstheme="minorHAnsi"/>
          <w:spacing w:val="-5"/>
          <w:vertAlign w:val="superscript"/>
        </w:rPr>
        <w:t>−1</w:t>
      </w:r>
      <w:r w:rsidRPr="0025334E">
        <w:rPr>
          <w:rFonts w:asciiTheme="minorHAnsi" w:hAnsiTheme="minorHAnsi" w:cstheme="minorHAnsi"/>
          <w:spacing w:val="-5"/>
        </w:rPr>
        <w:t> lower than that of the open conformer (Table S16 in ESI</w:t>
      </w:r>
      <w:hyperlink r:id="rId78" w:anchor="fn1" w:tooltip="Electronic supplementary information (ESI) available: Compounds characterization data, electrochemical data, and computational details. See DOI: 10.1039/c8cp02936a" w:history="1">
        <w:r w:rsidRPr="0025334E">
          <w:rPr>
            <w:rStyle w:val="Hyperlink"/>
            <w:rFonts w:asciiTheme="minorHAnsi" w:eastAsiaTheme="majorEastAsia" w:hAnsiTheme="minorHAnsi" w:cstheme="minorHAnsi"/>
            <w:color w:val="991E66"/>
            <w:spacing w:val="-5"/>
          </w:rPr>
          <w:t>†</w:t>
        </w:r>
      </w:hyperlink>
      <w:r w:rsidRPr="0025334E">
        <w:rPr>
          <w:rFonts w:asciiTheme="minorHAnsi" w:hAnsiTheme="minorHAnsi" w:cstheme="minorHAnsi"/>
          <w:spacing w:val="-5"/>
        </w:rPr>
        <w:t>). The difference between energies of cation radical (D</w:t>
      </w:r>
      <w:r w:rsidRPr="0025334E">
        <w:rPr>
          <w:rFonts w:asciiTheme="minorHAnsi" w:hAnsiTheme="minorHAnsi" w:cstheme="minorHAnsi"/>
          <w:spacing w:val="-5"/>
          <w:vertAlign w:val="subscript"/>
        </w:rPr>
        <w:t>0</w:t>
      </w:r>
      <w:r w:rsidRPr="0025334E">
        <w:rPr>
          <w:rFonts w:asciiTheme="minorHAnsi" w:hAnsiTheme="minorHAnsi" w:cstheme="minorHAnsi"/>
          <w:spacing w:val="-5"/>
        </w:rPr>
        <w:t>) and neutral (S</w:t>
      </w:r>
      <w:r w:rsidRPr="0025334E">
        <w:rPr>
          <w:rFonts w:asciiTheme="minorHAnsi" w:hAnsiTheme="minorHAnsi" w:cstheme="minorHAnsi"/>
          <w:spacing w:val="-5"/>
          <w:vertAlign w:val="subscript"/>
        </w:rPr>
        <w:t>0</w:t>
      </w:r>
      <w:r w:rsidRPr="0025334E">
        <w:rPr>
          <w:rFonts w:asciiTheme="minorHAnsi" w:hAnsiTheme="minorHAnsi" w:cstheme="minorHAnsi"/>
          <w:spacing w:val="-5"/>
        </w:rPr>
        <w:t>) states for the identified equilibrium structures gives adiabatic ionization energies (</w:t>
      </w:r>
      <w:r w:rsidRPr="0025334E">
        <w:rPr>
          <w:rStyle w:val="Emphasis"/>
          <w:rFonts w:asciiTheme="minorHAnsi" w:eastAsiaTheme="majorEastAsia" w:hAnsiTheme="minorHAnsi" w:cstheme="minorHAnsi"/>
          <w:spacing w:val="-5"/>
        </w:rPr>
        <w:t>i.e.</w:t>
      </w:r>
      <w:r w:rsidRPr="0025334E">
        <w:rPr>
          <w:rFonts w:asciiTheme="minorHAnsi" w:hAnsiTheme="minorHAnsi" w:cstheme="minorHAnsi"/>
          <w:spacing w:val="-5"/>
        </w:rPr>
        <w:t>, AIE = </w:t>
      </w:r>
      <w:r w:rsidRPr="0025334E">
        <w:rPr>
          <w:rStyle w:val="Emphasis"/>
          <w:rFonts w:asciiTheme="minorHAnsi" w:eastAsiaTheme="majorEastAsia" w:hAnsiTheme="minorHAnsi" w:cstheme="minorHAnsi"/>
          <w:spacing w:val="-5"/>
        </w:rPr>
        <w:t>E</w:t>
      </w:r>
      <w:r w:rsidRPr="0025334E">
        <w:rPr>
          <w:rFonts w:asciiTheme="minorHAnsi" w:hAnsiTheme="minorHAnsi" w:cstheme="minorHAnsi"/>
          <w:spacing w:val="-5"/>
        </w:rPr>
        <w:t>[D</w:t>
      </w:r>
      <w:r w:rsidRPr="0025334E">
        <w:rPr>
          <w:rFonts w:asciiTheme="minorHAnsi" w:hAnsiTheme="minorHAnsi" w:cstheme="minorHAnsi"/>
          <w:spacing w:val="-5"/>
          <w:vertAlign w:val="subscript"/>
        </w:rPr>
        <w:t>0</w:t>
      </w:r>
      <w:r w:rsidRPr="0025334E">
        <w:rPr>
          <w:rFonts w:asciiTheme="minorHAnsi" w:hAnsiTheme="minorHAnsi" w:cstheme="minorHAnsi"/>
          <w:spacing w:val="-5"/>
        </w:rPr>
        <w:t>] − </w:t>
      </w:r>
      <w:r w:rsidRPr="0025334E">
        <w:rPr>
          <w:rStyle w:val="Emphasis"/>
          <w:rFonts w:asciiTheme="minorHAnsi" w:eastAsiaTheme="majorEastAsia" w:hAnsiTheme="minorHAnsi" w:cstheme="minorHAnsi"/>
          <w:spacing w:val="-5"/>
        </w:rPr>
        <w:t>E</w:t>
      </w:r>
      <w:r w:rsidRPr="0025334E">
        <w:rPr>
          <w:rFonts w:asciiTheme="minorHAnsi" w:hAnsiTheme="minorHAnsi" w:cstheme="minorHAnsi"/>
          <w:spacing w:val="-5"/>
        </w:rPr>
        <w:t>[S</w:t>
      </w:r>
      <w:r w:rsidRPr="0025334E">
        <w:rPr>
          <w:rFonts w:asciiTheme="minorHAnsi" w:hAnsiTheme="minorHAnsi" w:cstheme="minorHAnsi"/>
          <w:spacing w:val="-5"/>
          <w:vertAlign w:val="subscript"/>
        </w:rPr>
        <w:t>0</w:t>
      </w:r>
      <w:r w:rsidRPr="0025334E">
        <w:rPr>
          <w:rFonts w:asciiTheme="minorHAnsi" w:hAnsiTheme="minorHAnsi" w:cstheme="minorHAnsi"/>
          <w:spacing w:val="-5"/>
        </w:rPr>
        <w:t>], at the equilibrium geometries of each respective state), that upon correlation with experimental AIEs showed a perfect linear trend (</w:t>
      </w:r>
      <w:hyperlink r:id="rId79" w:anchor="fig8" w:history="1">
        <w:r w:rsidRPr="0025334E">
          <w:rPr>
            <w:rStyle w:val="Hyperlink"/>
            <w:rFonts w:asciiTheme="minorHAnsi" w:eastAsiaTheme="majorEastAsia" w:hAnsiTheme="minorHAnsi" w:cstheme="minorHAnsi"/>
            <w:color w:val="991E66"/>
            <w:spacing w:val="-5"/>
          </w:rPr>
          <w:t>Fig. 8B</w:t>
        </w:r>
      </w:hyperlink>
      <w:r w:rsidRPr="0025334E">
        <w:rPr>
          <w:rFonts w:asciiTheme="minorHAnsi" w:hAnsiTheme="minorHAnsi" w:cstheme="minorHAnsi"/>
          <w:spacing w:val="-5"/>
        </w:rPr>
        <w:t>). Finally, correlations of the calculated VIE with AIE (</w:t>
      </w:r>
      <w:hyperlink r:id="rId80" w:anchor="fig8" w:history="1">
        <w:r w:rsidRPr="0025334E">
          <w:rPr>
            <w:rStyle w:val="Hyperlink"/>
            <w:rFonts w:asciiTheme="minorHAnsi" w:eastAsiaTheme="majorEastAsia" w:hAnsiTheme="minorHAnsi" w:cstheme="minorHAnsi"/>
            <w:color w:val="991E66"/>
            <w:spacing w:val="-5"/>
          </w:rPr>
          <w:t>Fig. 8C</w:t>
        </w:r>
      </w:hyperlink>
      <w:r w:rsidRPr="0025334E">
        <w:rPr>
          <w:rFonts w:asciiTheme="minorHAnsi" w:hAnsiTheme="minorHAnsi" w:cstheme="minorHAnsi"/>
          <w:spacing w:val="-5"/>
        </w:rPr>
        <w:t>, red) and with </w:t>
      </w:r>
      <w:proofErr w:type="spellStart"/>
      <w:r w:rsidRPr="0025334E">
        <w:rPr>
          <w:rStyle w:val="Emphasis"/>
          <w:rFonts w:asciiTheme="minorHAnsi" w:eastAsiaTheme="majorEastAsia" w:hAnsiTheme="minorHAnsi" w:cstheme="minorHAnsi"/>
          <w:spacing w:val="-5"/>
        </w:rPr>
        <w:t>G</w:t>
      </w:r>
      <w:r w:rsidRPr="0025334E">
        <w:rPr>
          <w:rFonts w:asciiTheme="minorHAnsi" w:hAnsiTheme="minorHAnsi" w:cstheme="minorHAnsi"/>
          <w:spacing w:val="-5"/>
          <w:vertAlign w:val="subscript"/>
        </w:rPr>
        <w:t>ox</w:t>
      </w:r>
      <w:proofErr w:type="spellEnd"/>
      <w:r w:rsidRPr="0025334E">
        <w:rPr>
          <w:rFonts w:asciiTheme="minorHAnsi" w:hAnsiTheme="minorHAnsi" w:cstheme="minorHAnsi"/>
          <w:spacing w:val="-5"/>
        </w:rPr>
        <w:t> (</w:t>
      </w:r>
      <w:hyperlink r:id="rId81" w:anchor="fig8" w:history="1">
        <w:r w:rsidRPr="0025334E">
          <w:rPr>
            <w:rStyle w:val="Hyperlink"/>
            <w:rFonts w:asciiTheme="minorHAnsi" w:eastAsiaTheme="majorEastAsia" w:hAnsiTheme="minorHAnsi" w:cstheme="minorHAnsi"/>
            <w:color w:val="991E66"/>
            <w:spacing w:val="-5"/>
          </w:rPr>
          <w:t>Fig. 8D</w:t>
        </w:r>
      </w:hyperlink>
      <w:r w:rsidRPr="0025334E">
        <w:rPr>
          <w:rFonts w:asciiTheme="minorHAnsi" w:hAnsiTheme="minorHAnsi" w:cstheme="minorHAnsi"/>
          <w:spacing w:val="-5"/>
        </w:rPr>
        <w:t>) show a close resemblance to the analogous experimental plots (</w:t>
      </w:r>
      <w:hyperlink r:id="rId82" w:anchor="fig8" w:history="1">
        <w:r w:rsidRPr="0025334E">
          <w:rPr>
            <w:rStyle w:val="Hyperlink"/>
            <w:rFonts w:asciiTheme="minorHAnsi" w:eastAsiaTheme="majorEastAsia" w:hAnsiTheme="minorHAnsi" w:cstheme="minorHAnsi"/>
            <w:color w:val="991E66"/>
            <w:spacing w:val="-5"/>
          </w:rPr>
          <w:t>Fig. 8C</w:t>
        </w:r>
      </w:hyperlink>
      <w:r w:rsidRPr="0025334E">
        <w:rPr>
          <w:rFonts w:asciiTheme="minorHAnsi" w:hAnsiTheme="minorHAnsi" w:cstheme="minorHAnsi"/>
          <w:spacing w:val="-5"/>
        </w:rPr>
        <w:t>, blue and </w:t>
      </w:r>
      <w:hyperlink r:id="rId83" w:anchor="fig5" w:history="1">
        <w:r w:rsidRPr="0025334E">
          <w:rPr>
            <w:rStyle w:val="Hyperlink"/>
            <w:rFonts w:asciiTheme="minorHAnsi" w:eastAsiaTheme="majorEastAsia" w:hAnsiTheme="minorHAnsi" w:cstheme="minorHAnsi"/>
            <w:color w:val="991E66"/>
            <w:spacing w:val="-5"/>
          </w:rPr>
          <w:t>Fig. 5</w:t>
        </w:r>
      </w:hyperlink>
      <w:r w:rsidRPr="0025334E">
        <w:rPr>
          <w:rFonts w:asciiTheme="minorHAnsi" w:hAnsiTheme="minorHAnsi" w:cstheme="minorHAnsi"/>
          <w:spacing w:val="-5"/>
        </w:rPr>
        <w:t>), confirming that our assignment of the oxidation-induced conformational reorganization is consistent with experimental data. Note that although the scatter of the experimental and calculated points in </w:t>
      </w:r>
      <w:hyperlink r:id="rId84" w:anchor="fig8" w:history="1">
        <w:r w:rsidRPr="0025334E">
          <w:rPr>
            <w:rStyle w:val="Hyperlink"/>
            <w:rFonts w:asciiTheme="minorHAnsi" w:eastAsiaTheme="majorEastAsia" w:hAnsiTheme="minorHAnsi" w:cstheme="minorHAnsi"/>
            <w:color w:val="991E66"/>
            <w:spacing w:val="-5"/>
          </w:rPr>
          <w:t>Fig. 8C</w:t>
        </w:r>
      </w:hyperlink>
      <w:r w:rsidRPr="0025334E">
        <w:rPr>
          <w:rFonts w:asciiTheme="minorHAnsi" w:hAnsiTheme="minorHAnsi" w:cstheme="minorHAnsi"/>
          <w:spacing w:val="-5"/>
        </w:rPr>
        <w:t> is nearly identical, the calculated values are underestimated by a constant offset value of 0.6 eV.</w:t>
      </w:r>
    </w:p>
    <w:p w14:paraId="5CC5476C" w14:textId="77777777" w:rsidR="00582B08" w:rsidRPr="0025334E" w:rsidRDefault="00582B08" w:rsidP="004B0BFF">
      <w:pPr>
        <w:pStyle w:val="NormalWeb"/>
        <w:shd w:val="clear" w:color="auto" w:fill="FFFFFF"/>
        <w:spacing w:after="0" w:afterAutospacing="0"/>
        <w:rPr>
          <w:rFonts w:asciiTheme="minorHAnsi" w:hAnsiTheme="minorHAnsi" w:cstheme="minorHAnsi"/>
          <w:spacing w:val="-5"/>
        </w:rPr>
      </w:pPr>
    </w:p>
    <w:p w14:paraId="59ABF951" w14:textId="77777777" w:rsidR="004B0BFF" w:rsidRPr="003C402F" w:rsidRDefault="004B0BFF" w:rsidP="003C402F">
      <w:pPr>
        <w:pStyle w:val="Heading2"/>
      </w:pPr>
      <w:r w:rsidRPr="003C402F">
        <w:rPr>
          <w:rStyle w:val="section-title"/>
        </w:rPr>
        <w:lastRenderedPageBreak/>
        <w:t>Probing the extent of hole stabilization and ionization-induced reorganization in the gas phase</w:t>
      </w:r>
    </w:p>
    <w:p w14:paraId="35888154" w14:textId="77777777" w:rsidR="004B0BFF" w:rsidRPr="0025334E" w:rsidRDefault="004B0BFF" w:rsidP="004B0BFF">
      <w:pPr>
        <w:pStyle w:val="NormalWeb"/>
        <w:shd w:val="clear" w:color="auto" w:fill="FFFFFF"/>
        <w:spacing w:after="0" w:afterAutospacing="0"/>
        <w:rPr>
          <w:rFonts w:asciiTheme="minorHAnsi" w:hAnsiTheme="minorHAnsi" w:cstheme="minorHAnsi"/>
          <w:spacing w:val="-5"/>
        </w:rPr>
      </w:pPr>
      <w:r w:rsidRPr="0025334E">
        <w:rPr>
          <w:rFonts w:asciiTheme="minorHAnsi" w:hAnsiTheme="minorHAnsi" w:cstheme="minorHAnsi"/>
          <w:spacing w:val="-5"/>
        </w:rPr>
        <w:t>A detailed analysis of the experimental vertical and adiabatic ionization energies in gas phase and solution, with the aid of extensive calculations, allowed us to pinpoint conformational reorganization attendant to vertical ionization in the gas phase and solution. While the ionization-induced actuation in the gas phase involves (overall) similar conformational reorganization as in solution, there are a few distinct features. For example, the degree of cationic charge (</w:t>
      </w:r>
      <w:r w:rsidRPr="0025334E">
        <w:rPr>
          <w:rStyle w:val="Emphasis"/>
          <w:rFonts w:asciiTheme="minorHAnsi" w:eastAsiaTheme="majorEastAsia" w:hAnsiTheme="minorHAnsi" w:cstheme="minorHAnsi"/>
          <w:spacing w:val="-5"/>
        </w:rPr>
        <w:t>i.e.</w:t>
      </w:r>
      <w:r w:rsidRPr="0025334E">
        <w:rPr>
          <w:rFonts w:asciiTheme="minorHAnsi" w:hAnsiTheme="minorHAnsi" w:cstheme="minorHAnsi"/>
          <w:spacing w:val="-5"/>
        </w:rPr>
        <w:t>, hole) stabilization is much more prominent in the gas phase than in solution, as evidenced by a significant lowering of the AIE, as compared to </w:t>
      </w:r>
      <w:r w:rsidRPr="0025334E">
        <w:rPr>
          <w:rStyle w:val="Strong"/>
          <w:rFonts w:asciiTheme="minorHAnsi" w:hAnsiTheme="minorHAnsi" w:cstheme="minorHAnsi"/>
          <w:spacing w:val="-5"/>
        </w:rPr>
        <w:t>V1</w:t>
      </w:r>
      <w:r w:rsidRPr="0025334E">
        <w:rPr>
          <w:rFonts w:asciiTheme="minorHAnsi" w:hAnsiTheme="minorHAnsi" w:cstheme="minorHAnsi"/>
          <w:spacing w:val="-5"/>
        </w:rPr>
        <w:t>, </w:t>
      </w:r>
      <w:r w:rsidRPr="0025334E">
        <w:rPr>
          <w:rStyle w:val="Emphasis"/>
          <w:rFonts w:asciiTheme="minorHAnsi" w:eastAsiaTheme="majorEastAsia" w:hAnsiTheme="minorHAnsi" w:cstheme="minorHAnsi"/>
          <w:spacing w:val="-5"/>
        </w:rPr>
        <w:t>e.g.</w:t>
      </w:r>
      <w:r w:rsidRPr="0025334E">
        <w:rPr>
          <w:rFonts w:asciiTheme="minorHAnsi" w:hAnsiTheme="minorHAnsi" w:cstheme="minorHAnsi"/>
          <w:spacing w:val="-5"/>
        </w:rPr>
        <w:t>, ΔAIE[</w:t>
      </w:r>
      <w:r w:rsidRPr="0025334E">
        <w:rPr>
          <w:rStyle w:val="Strong"/>
          <w:rFonts w:asciiTheme="minorHAnsi" w:hAnsiTheme="minorHAnsi" w:cstheme="minorHAnsi"/>
          <w:spacing w:val="-5"/>
        </w:rPr>
        <w:t>V2</w:t>
      </w:r>
      <w:r w:rsidRPr="0025334E">
        <w:rPr>
          <w:rFonts w:asciiTheme="minorHAnsi" w:hAnsiTheme="minorHAnsi" w:cstheme="minorHAnsi"/>
          <w:spacing w:val="-5"/>
        </w:rPr>
        <w:t>] = −0.45 eV and ΔAIE[</w:t>
      </w:r>
      <w:r w:rsidRPr="0025334E">
        <w:rPr>
          <w:rStyle w:val="Strong"/>
          <w:rFonts w:asciiTheme="minorHAnsi" w:hAnsiTheme="minorHAnsi" w:cstheme="minorHAnsi"/>
          <w:spacing w:val="-5"/>
        </w:rPr>
        <w:t>V2</w:t>
      </w:r>
      <w:r w:rsidRPr="0025334E">
        <w:rPr>
          <w:rFonts w:asciiTheme="minorHAnsi" w:hAnsiTheme="minorHAnsi" w:cstheme="minorHAnsi"/>
          <w:spacing w:val="-5"/>
        </w:rPr>
        <w:t>-locked] = −0.49 eV (</w:t>
      </w:r>
      <w:hyperlink r:id="rId85" w:anchor="fig9" w:history="1">
        <w:r w:rsidRPr="0025334E">
          <w:rPr>
            <w:rStyle w:val="Hyperlink"/>
            <w:rFonts w:asciiTheme="minorHAnsi" w:eastAsiaTheme="majorEastAsia" w:hAnsiTheme="minorHAnsi" w:cstheme="minorHAnsi"/>
            <w:color w:val="991E66"/>
            <w:spacing w:val="-5"/>
          </w:rPr>
          <w:t>Fig. 9</w:t>
        </w:r>
      </w:hyperlink>
      <w:r w:rsidRPr="0025334E">
        <w:rPr>
          <w:rFonts w:asciiTheme="minorHAnsi" w:hAnsiTheme="minorHAnsi" w:cstheme="minorHAnsi"/>
          <w:spacing w:val="-5"/>
        </w:rPr>
        <w:t>). Analogous quantities in solution are significantly more modest, </w:t>
      </w:r>
      <w:r w:rsidRPr="0025334E">
        <w:rPr>
          <w:rStyle w:val="Emphasis"/>
          <w:rFonts w:asciiTheme="minorHAnsi" w:eastAsiaTheme="majorEastAsia" w:hAnsiTheme="minorHAnsi" w:cstheme="minorHAnsi"/>
          <w:spacing w:val="-5"/>
        </w:rPr>
        <w:t>i.e.</w:t>
      </w:r>
      <w:r w:rsidRPr="0025334E">
        <w:rPr>
          <w:rFonts w:asciiTheme="minorHAnsi" w:hAnsiTheme="minorHAnsi" w:cstheme="minorHAnsi"/>
          <w:spacing w:val="-5"/>
        </w:rPr>
        <w:t xml:space="preserve">, </w:t>
      </w:r>
      <w:proofErr w:type="spellStart"/>
      <w:r w:rsidRPr="0025334E">
        <w:rPr>
          <w:rFonts w:asciiTheme="minorHAnsi" w:hAnsiTheme="minorHAnsi" w:cstheme="minorHAnsi"/>
          <w:spacing w:val="-5"/>
        </w:rPr>
        <w:t>Δ</w:t>
      </w:r>
      <w:r w:rsidRPr="0025334E">
        <w:rPr>
          <w:rStyle w:val="Emphasis"/>
          <w:rFonts w:asciiTheme="minorHAnsi" w:eastAsiaTheme="majorEastAsia" w:hAnsiTheme="minorHAnsi" w:cstheme="minorHAnsi"/>
          <w:spacing w:val="-5"/>
        </w:rPr>
        <w:t>E</w:t>
      </w:r>
      <w:r w:rsidRPr="0025334E">
        <w:rPr>
          <w:rFonts w:asciiTheme="minorHAnsi" w:hAnsiTheme="minorHAnsi" w:cstheme="minorHAnsi"/>
          <w:spacing w:val="-5"/>
          <w:vertAlign w:val="subscript"/>
        </w:rPr>
        <w:t>ox</w:t>
      </w:r>
      <w:proofErr w:type="spellEnd"/>
      <w:r w:rsidRPr="0025334E">
        <w:rPr>
          <w:rFonts w:asciiTheme="minorHAnsi" w:hAnsiTheme="minorHAnsi" w:cstheme="minorHAnsi"/>
          <w:spacing w:val="-5"/>
        </w:rPr>
        <w:t>[</w:t>
      </w:r>
      <w:r w:rsidRPr="0025334E">
        <w:rPr>
          <w:rStyle w:val="Strong"/>
          <w:rFonts w:asciiTheme="minorHAnsi" w:hAnsiTheme="minorHAnsi" w:cstheme="minorHAnsi"/>
          <w:spacing w:val="-5"/>
        </w:rPr>
        <w:t>V2</w:t>
      </w:r>
      <w:r w:rsidRPr="0025334E">
        <w:rPr>
          <w:rFonts w:asciiTheme="minorHAnsi" w:hAnsiTheme="minorHAnsi" w:cstheme="minorHAnsi"/>
          <w:spacing w:val="-5"/>
        </w:rPr>
        <w:t xml:space="preserve">] = −0.26 V and </w:t>
      </w:r>
      <w:proofErr w:type="spellStart"/>
      <w:r w:rsidRPr="0025334E">
        <w:rPr>
          <w:rFonts w:asciiTheme="minorHAnsi" w:hAnsiTheme="minorHAnsi" w:cstheme="minorHAnsi"/>
          <w:spacing w:val="-5"/>
        </w:rPr>
        <w:t>Δ</w:t>
      </w:r>
      <w:r w:rsidRPr="0025334E">
        <w:rPr>
          <w:rStyle w:val="Emphasis"/>
          <w:rFonts w:asciiTheme="minorHAnsi" w:eastAsiaTheme="majorEastAsia" w:hAnsiTheme="minorHAnsi" w:cstheme="minorHAnsi"/>
          <w:spacing w:val="-5"/>
        </w:rPr>
        <w:t>E</w:t>
      </w:r>
      <w:r w:rsidRPr="0025334E">
        <w:rPr>
          <w:rFonts w:asciiTheme="minorHAnsi" w:hAnsiTheme="minorHAnsi" w:cstheme="minorHAnsi"/>
          <w:spacing w:val="-5"/>
          <w:vertAlign w:val="subscript"/>
        </w:rPr>
        <w:t>ox</w:t>
      </w:r>
      <w:proofErr w:type="spellEnd"/>
      <w:r w:rsidRPr="0025334E">
        <w:rPr>
          <w:rFonts w:asciiTheme="minorHAnsi" w:hAnsiTheme="minorHAnsi" w:cstheme="minorHAnsi"/>
          <w:spacing w:val="-5"/>
        </w:rPr>
        <w:t>[</w:t>
      </w:r>
      <w:r w:rsidRPr="0025334E">
        <w:rPr>
          <w:rStyle w:val="Strong"/>
          <w:rFonts w:asciiTheme="minorHAnsi" w:hAnsiTheme="minorHAnsi" w:cstheme="minorHAnsi"/>
          <w:spacing w:val="-5"/>
        </w:rPr>
        <w:t>V2</w:t>
      </w:r>
      <w:r w:rsidRPr="0025334E">
        <w:rPr>
          <w:rFonts w:asciiTheme="minorHAnsi" w:hAnsiTheme="minorHAnsi" w:cstheme="minorHAnsi"/>
          <w:spacing w:val="-5"/>
        </w:rPr>
        <w:t>-locked] = −0.35 V, with the difference arising due to additional solvent reorganization. Furthermore, the degree of hole stabilization is highly dependent on the linker and spans a significant range, </w:t>
      </w:r>
      <w:r w:rsidRPr="0025334E">
        <w:rPr>
          <w:rStyle w:val="Emphasis"/>
          <w:rFonts w:asciiTheme="minorHAnsi" w:eastAsiaTheme="majorEastAsia" w:hAnsiTheme="minorHAnsi" w:cstheme="minorHAnsi"/>
          <w:spacing w:val="-5"/>
        </w:rPr>
        <w:t>i.e.</w:t>
      </w:r>
      <w:r w:rsidRPr="0025334E">
        <w:rPr>
          <w:rFonts w:asciiTheme="minorHAnsi" w:hAnsiTheme="minorHAnsi" w:cstheme="minorHAnsi"/>
          <w:spacing w:val="-5"/>
        </w:rPr>
        <w:t>, −0.49 to −0.07 eV (</w:t>
      </w:r>
      <w:hyperlink r:id="rId86" w:anchor="fig9" w:history="1">
        <w:r w:rsidRPr="0025334E">
          <w:rPr>
            <w:rStyle w:val="Hyperlink"/>
            <w:rFonts w:asciiTheme="minorHAnsi" w:eastAsiaTheme="majorEastAsia" w:hAnsiTheme="minorHAnsi" w:cstheme="minorHAnsi"/>
            <w:color w:val="991E66"/>
            <w:spacing w:val="-5"/>
          </w:rPr>
          <w:t>Fig. 9</w:t>
        </w:r>
      </w:hyperlink>
      <w:r w:rsidRPr="0025334E">
        <w:rPr>
          <w:rFonts w:asciiTheme="minorHAnsi" w:hAnsiTheme="minorHAnsi" w:cstheme="minorHAnsi"/>
          <w:spacing w:val="-5"/>
        </w:rPr>
        <w:t>). Finally, the nearly nonexistent hole stabilization of −0.07 eV in </w:t>
      </w:r>
      <w:r w:rsidRPr="0025334E">
        <w:rPr>
          <w:rStyle w:val="Strong"/>
          <w:rFonts w:asciiTheme="minorHAnsi" w:hAnsiTheme="minorHAnsi" w:cstheme="minorHAnsi"/>
          <w:spacing w:val="-5"/>
        </w:rPr>
        <w:t>Ac2</w:t>
      </w:r>
      <w:r w:rsidRPr="0025334E">
        <w:rPr>
          <w:rFonts w:asciiTheme="minorHAnsi" w:hAnsiTheme="minorHAnsi" w:cstheme="minorHAnsi"/>
          <w:spacing w:val="-5"/>
        </w:rPr>
        <w:t>-C2H4 in the gas-phase is reflected in the absence of oxidation-induced folding in the solution phase due to the additional solvent reorganization (compare, </w:t>
      </w:r>
      <w:r w:rsidRPr="0025334E">
        <w:rPr>
          <w:rStyle w:val="Emphasis"/>
          <w:rFonts w:asciiTheme="minorHAnsi" w:eastAsiaTheme="majorEastAsia" w:hAnsiTheme="minorHAnsi" w:cstheme="minorHAnsi"/>
          <w:spacing w:val="-5"/>
        </w:rPr>
        <w:t>e.g.</w:t>
      </w:r>
      <w:r w:rsidRPr="0025334E">
        <w:rPr>
          <w:rFonts w:asciiTheme="minorHAnsi" w:hAnsiTheme="minorHAnsi" w:cstheme="minorHAnsi"/>
          <w:spacing w:val="-5"/>
        </w:rPr>
        <w:t>, </w:t>
      </w:r>
      <w:hyperlink r:id="rId87" w:anchor="fig2" w:history="1">
        <w:r w:rsidRPr="0025334E">
          <w:rPr>
            <w:rStyle w:val="Hyperlink"/>
            <w:rFonts w:asciiTheme="minorHAnsi" w:eastAsiaTheme="majorEastAsia" w:hAnsiTheme="minorHAnsi" w:cstheme="minorHAnsi"/>
            <w:color w:val="991E66"/>
            <w:spacing w:val="-5"/>
          </w:rPr>
          <w:t>Fig. 2 and 9</w:t>
        </w:r>
      </w:hyperlink>
      <w:r w:rsidRPr="0025334E">
        <w:rPr>
          <w:rFonts w:asciiTheme="minorHAnsi" w:hAnsiTheme="minorHAnsi" w:cstheme="minorHAnsi"/>
          <w:spacing w:val="-5"/>
        </w:rPr>
        <w:t>).</w:t>
      </w:r>
    </w:p>
    <w:p w14:paraId="16E76C52" w14:textId="5001BEB2" w:rsidR="00E821B5" w:rsidRDefault="00E821B5" w:rsidP="00E821B5">
      <w:pPr>
        <w:shd w:val="clear" w:color="auto" w:fill="FFFFFF"/>
        <w:spacing w:after="0"/>
        <w:rPr>
          <w:rFonts w:cstheme="minorHAnsi"/>
          <w:noProof/>
          <w:color w:val="007AAF"/>
          <w:spacing w:val="-5"/>
        </w:rPr>
      </w:pPr>
      <w:r>
        <w:rPr>
          <w:noProof/>
        </w:rPr>
        <w:drawing>
          <wp:inline distT="0" distB="0" distL="0" distR="0" wp14:anchorId="6DFD8BC0" wp14:editId="6A088C71">
            <wp:extent cx="3275965" cy="3229610"/>
            <wp:effectExtent l="0" t="0" r="635" b="8890"/>
            <wp:docPr id="67" name="Picture 67" descr="Fig. 9 Illustration of the ionization-induced reorganization in a set of bichromophores in the gas phase. The ΔAIE = AIE[actuator] − AIE[V1] reflects stabilization of the cationic charge in gas ph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3275965" cy="3229610"/>
                    </a:xfrm>
                    <a:prstGeom prst="rect">
                      <a:avLst/>
                    </a:prstGeom>
                    <a:noFill/>
                    <a:ln>
                      <a:noFill/>
                    </a:ln>
                  </pic:spPr>
                </pic:pic>
              </a:graphicData>
            </a:graphic>
          </wp:inline>
        </w:drawing>
      </w:r>
    </w:p>
    <w:p w14:paraId="50D63261" w14:textId="55075F7F" w:rsidR="004B0BFF" w:rsidRPr="0025334E" w:rsidRDefault="004B0BFF" w:rsidP="004B0BFF">
      <w:pPr>
        <w:shd w:val="clear" w:color="auto" w:fill="FFFFFF"/>
        <w:rPr>
          <w:rFonts w:cstheme="minorHAnsi"/>
          <w:spacing w:val="-5"/>
        </w:rPr>
      </w:pPr>
      <w:r w:rsidRPr="0025334E">
        <w:rPr>
          <w:rStyle w:val="h--heading4"/>
          <w:rFonts w:cstheme="minorHAnsi"/>
          <w:b/>
          <w:bCs/>
          <w:color w:val="191919"/>
          <w:spacing w:val="-7"/>
        </w:rPr>
        <w:t>Fig. 9</w:t>
      </w:r>
      <w:r w:rsidRPr="0025334E">
        <w:rPr>
          <w:rFonts w:cstheme="minorHAnsi"/>
          <w:spacing w:val="-5"/>
        </w:rPr>
        <w:t xml:space="preserve"> Illustration of the ionization-induced reorganization in a set of </w:t>
      </w:r>
      <w:proofErr w:type="spellStart"/>
      <w:r w:rsidRPr="0025334E">
        <w:rPr>
          <w:rFonts w:cstheme="minorHAnsi"/>
          <w:spacing w:val="-5"/>
        </w:rPr>
        <w:t>bichromophores</w:t>
      </w:r>
      <w:proofErr w:type="spellEnd"/>
      <w:r w:rsidRPr="0025334E">
        <w:rPr>
          <w:rFonts w:cstheme="minorHAnsi"/>
          <w:spacing w:val="-5"/>
        </w:rPr>
        <w:t xml:space="preserve"> in the gas phase. The ΔAIE = AIE[actuator] − AIE[</w:t>
      </w:r>
      <w:r w:rsidRPr="0025334E">
        <w:rPr>
          <w:rStyle w:val="Strong"/>
          <w:rFonts w:cstheme="minorHAnsi"/>
          <w:spacing w:val="-5"/>
        </w:rPr>
        <w:t>V1</w:t>
      </w:r>
      <w:r w:rsidRPr="0025334E">
        <w:rPr>
          <w:rFonts w:cstheme="minorHAnsi"/>
          <w:spacing w:val="-5"/>
        </w:rPr>
        <w:t>] reflects stabilization of the cationic charge in gas phase.</w:t>
      </w:r>
    </w:p>
    <w:p w14:paraId="44579C4A" w14:textId="77777777" w:rsidR="004B0BFF" w:rsidRPr="0025334E" w:rsidRDefault="004B0BFF" w:rsidP="004B0BFF">
      <w:pPr>
        <w:pStyle w:val="NormalWeb"/>
        <w:shd w:val="clear" w:color="auto" w:fill="FFFFFF"/>
        <w:spacing w:after="0" w:afterAutospacing="0"/>
        <w:rPr>
          <w:rFonts w:asciiTheme="minorHAnsi" w:hAnsiTheme="minorHAnsi" w:cstheme="minorHAnsi"/>
          <w:spacing w:val="-5"/>
        </w:rPr>
      </w:pPr>
      <w:r w:rsidRPr="0025334E">
        <w:rPr>
          <w:rFonts w:asciiTheme="minorHAnsi" w:hAnsiTheme="minorHAnsi" w:cstheme="minorHAnsi"/>
          <w:spacing w:val="-5"/>
        </w:rPr>
        <w:t>Although the relative energetic contributions of structural and conformational reorganizations are not </w:t>
      </w:r>
      <w:r w:rsidRPr="0025334E">
        <w:rPr>
          <w:rStyle w:val="Emphasis"/>
          <w:rFonts w:asciiTheme="minorHAnsi" w:eastAsiaTheme="majorEastAsia" w:hAnsiTheme="minorHAnsi" w:cstheme="minorHAnsi"/>
          <w:spacing w:val="-5"/>
        </w:rPr>
        <w:t>a priori</w:t>
      </w:r>
      <w:r w:rsidRPr="0025334E">
        <w:rPr>
          <w:rFonts w:asciiTheme="minorHAnsi" w:hAnsiTheme="minorHAnsi" w:cstheme="minorHAnsi"/>
          <w:spacing w:val="-5"/>
        </w:rPr>
        <w:t> apparent, a close inspection of the difference in ionization energies (VIE–AIE = ΔIE) allows us to separate these components. Considering the monomeric models </w:t>
      </w:r>
      <w:r w:rsidRPr="0025334E">
        <w:rPr>
          <w:rStyle w:val="Strong"/>
          <w:rFonts w:asciiTheme="minorHAnsi" w:hAnsiTheme="minorHAnsi" w:cstheme="minorHAnsi"/>
          <w:spacing w:val="-5"/>
        </w:rPr>
        <w:t>V1</w:t>
      </w:r>
      <w:r w:rsidRPr="0025334E">
        <w:rPr>
          <w:rFonts w:asciiTheme="minorHAnsi" w:hAnsiTheme="minorHAnsi" w:cstheme="minorHAnsi"/>
          <w:spacing w:val="-5"/>
        </w:rPr>
        <w:t>-in and </w:t>
      </w:r>
      <w:r w:rsidRPr="0025334E">
        <w:rPr>
          <w:rStyle w:val="Strong"/>
          <w:rFonts w:asciiTheme="minorHAnsi" w:hAnsiTheme="minorHAnsi" w:cstheme="minorHAnsi"/>
          <w:spacing w:val="-5"/>
        </w:rPr>
        <w:t>V1</w:t>
      </w:r>
      <w:r w:rsidRPr="0025334E">
        <w:rPr>
          <w:rFonts w:asciiTheme="minorHAnsi" w:hAnsiTheme="minorHAnsi" w:cstheme="minorHAnsi"/>
          <w:spacing w:val="-5"/>
        </w:rPr>
        <w:t>-out (Table S17 in ESI</w:t>
      </w:r>
      <w:hyperlink r:id="rId89" w:anchor="fn1" w:tooltip="Electronic supplementary information (ESI) available: Compounds characterization data, electrochemical data, and computational details. See DOI: 10.1039/c8cp02936a" w:history="1">
        <w:r w:rsidRPr="0025334E">
          <w:rPr>
            <w:rStyle w:val="Hyperlink"/>
            <w:rFonts w:asciiTheme="minorHAnsi" w:eastAsiaTheme="majorEastAsia" w:hAnsiTheme="minorHAnsi" w:cstheme="minorHAnsi"/>
            <w:color w:val="991E66"/>
            <w:spacing w:val="-5"/>
          </w:rPr>
          <w:t>†</w:t>
        </w:r>
      </w:hyperlink>
      <w:r w:rsidRPr="0025334E">
        <w:rPr>
          <w:rFonts w:asciiTheme="minorHAnsi" w:hAnsiTheme="minorHAnsi" w:cstheme="minorHAnsi"/>
          <w:spacing w:val="-5"/>
        </w:rPr>
        <w:t>), the former undergoes only structural reorganization with attendant bond length changes (ΔIE = VIE − AIE = 0.29 eV), while the latter also exhibits conformational reorganization, as the methoxy group rotates into the molecular plane upon ionization (ΔIE = 0.54 eV). Both of these components are present also in the rigid </w:t>
      </w:r>
      <w:r w:rsidRPr="0025334E">
        <w:rPr>
          <w:rStyle w:val="Strong"/>
          <w:rFonts w:asciiTheme="minorHAnsi" w:hAnsiTheme="minorHAnsi" w:cstheme="minorHAnsi"/>
          <w:spacing w:val="-5"/>
        </w:rPr>
        <w:t>V2</w:t>
      </w:r>
      <w:r w:rsidRPr="0025334E">
        <w:rPr>
          <w:rFonts w:asciiTheme="minorHAnsi" w:hAnsiTheme="minorHAnsi" w:cstheme="minorHAnsi"/>
          <w:spacing w:val="-5"/>
        </w:rPr>
        <w:t>-locked, which has a somewhat similar ΔIE of 0.39 eV. In contrast, the foldable </w:t>
      </w:r>
      <w:r w:rsidRPr="0025334E">
        <w:rPr>
          <w:rStyle w:val="Strong"/>
          <w:rFonts w:asciiTheme="minorHAnsi" w:hAnsiTheme="minorHAnsi" w:cstheme="minorHAnsi"/>
          <w:spacing w:val="-5"/>
        </w:rPr>
        <w:t>V2</w:t>
      </w:r>
      <w:r w:rsidRPr="0025334E">
        <w:rPr>
          <w:rFonts w:asciiTheme="minorHAnsi" w:hAnsiTheme="minorHAnsi" w:cstheme="minorHAnsi"/>
          <w:spacing w:val="-5"/>
        </w:rPr>
        <w:t> shows a larger ΔIE of 0.54 eV, reflecting the additional conformational reorganization associated with folding (</w:t>
      </w:r>
      <w:hyperlink r:id="rId90" w:anchor="fig9" w:history="1">
        <w:r w:rsidRPr="0025334E">
          <w:rPr>
            <w:rStyle w:val="Hyperlink"/>
            <w:rFonts w:asciiTheme="minorHAnsi" w:eastAsiaTheme="majorEastAsia" w:hAnsiTheme="minorHAnsi" w:cstheme="minorHAnsi"/>
            <w:color w:val="991E66"/>
            <w:spacing w:val="-5"/>
          </w:rPr>
          <w:t>Fig. 9</w:t>
        </w:r>
      </w:hyperlink>
      <w:r w:rsidRPr="0025334E">
        <w:rPr>
          <w:rFonts w:asciiTheme="minorHAnsi" w:hAnsiTheme="minorHAnsi" w:cstheme="minorHAnsi"/>
          <w:spacing w:val="-5"/>
        </w:rPr>
        <w:t>). Moving to the acetal-based actuators, </w:t>
      </w:r>
      <w:r w:rsidRPr="0025334E">
        <w:rPr>
          <w:rStyle w:val="Strong"/>
          <w:rFonts w:asciiTheme="minorHAnsi" w:hAnsiTheme="minorHAnsi" w:cstheme="minorHAnsi"/>
          <w:spacing w:val="-5"/>
        </w:rPr>
        <w:t>Ac2</w:t>
      </w:r>
      <w:r w:rsidRPr="0025334E">
        <w:rPr>
          <w:rFonts w:asciiTheme="minorHAnsi" w:hAnsiTheme="minorHAnsi" w:cstheme="minorHAnsi"/>
          <w:spacing w:val="-5"/>
        </w:rPr>
        <w:t>-CH2 and </w:t>
      </w:r>
      <w:r w:rsidRPr="0025334E">
        <w:rPr>
          <w:rStyle w:val="Strong"/>
          <w:rFonts w:asciiTheme="minorHAnsi" w:hAnsiTheme="minorHAnsi" w:cstheme="minorHAnsi"/>
          <w:spacing w:val="-5"/>
        </w:rPr>
        <w:t>Ac2</w:t>
      </w:r>
      <w:r w:rsidRPr="0025334E">
        <w:rPr>
          <w:rFonts w:asciiTheme="minorHAnsi" w:hAnsiTheme="minorHAnsi" w:cstheme="minorHAnsi"/>
          <w:spacing w:val="-5"/>
        </w:rPr>
        <w:t>-C2H4 exhibit relatively (</w:t>
      </w:r>
      <w:r w:rsidRPr="0025334E">
        <w:rPr>
          <w:rStyle w:val="Emphasis"/>
          <w:rFonts w:asciiTheme="minorHAnsi" w:eastAsiaTheme="majorEastAsia" w:hAnsiTheme="minorHAnsi" w:cstheme="minorHAnsi"/>
          <w:spacing w:val="-5"/>
        </w:rPr>
        <w:t>e.g.</w:t>
      </w:r>
      <w:r w:rsidRPr="0025334E">
        <w:rPr>
          <w:rFonts w:asciiTheme="minorHAnsi" w:hAnsiTheme="minorHAnsi" w:cstheme="minorHAnsi"/>
          <w:spacing w:val="-5"/>
        </w:rPr>
        <w:t>, to </w:t>
      </w:r>
      <w:r w:rsidRPr="0025334E">
        <w:rPr>
          <w:rStyle w:val="Strong"/>
          <w:rFonts w:asciiTheme="minorHAnsi" w:hAnsiTheme="minorHAnsi" w:cstheme="minorHAnsi"/>
          <w:spacing w:val="-5"/>
        </w:rPr>
        <w:t>V2</w:t>
      </w:r>
      <w:r w:rsidRPr="0025334E">
        <w:rPr>
          <w:rFonts w:asciiTheme="minorHAnsi" w:hAnsiTheme="minorHAnsi" w:cstheme="minorHAnsi"/>
          <w:spacing w:val="-5"/>
        </w:rPr>
        <w:t>) smaller reorganization energy of 0.48 and 0.36 eV, respectively, despite the presence of both structural and conformational (</w:t>
      </w:r>
      <w:r w:rsidRPr="0025334E">
        <w:rPr>
          <w:rStyle w:val="Emphasis"/>
          <w:rFonts w:asciiTheme="minorHAnsi" w:eastAsiaTheme="majorEastAsia" w:hAnsiTheme="minorHAnsi" w:cstheme="minorHAnsi"/>
          <w:spacing w:val="-5"/>
        </w:rPr>
        <w:t>i.e.</w:t>
      </w:r>
      <w:r w:rsidRPr="0025334E">
        <w:rPr>
          <w:rFonts w:asciiTheme="minorHAnsi" w:hAnsiTheme="minorHAnsi" w:cstheme="minorHAnsi"/>
          <w:spacing w:val="-5"/>
        </w:rPr>
        <w:t xml:space="preserve">, folding) </w:t>
      </w:r>
      <w:r w:rsidRPr="0025334E">
        <w:rPr>
          <w:rFonts w:asciiTheme="minorHAnsi" w:hAnsiTheme="minorHAnsi" w:cstheme="minorHAnsi"/>
          <w:spacing w:val="-5"/>
        </w:rPr>
        <w:lastRenderedPageBreak/>
        <w:t>reorganization. This analysis highlights the importance of the alkyl framework linking two chromophores in controlling the extent of structural and conformational reorganization.</w:t>
      </w:r>
    </w:p>
    <w:p w14:paraId="70138FAF" w14:textId="0B9A110F" w:rsidR="004B0BFF" w:rsidRDefault="004B0BFF" w:rsidP="004B0BFF">
      <w:pPr>
        <w:pStyle w:val="NormalWeb"/>
        <w:shd w:val="clear" w:color="auto" w:fill="FFFFFF"/>
        <w:spacing w:before="0" w:beforeAutospacing="0" w:after="0" w:afterAutospacing="0"/>
        <w:ind w:firstLine="240"/>
        <w:rPr>
          <w:rFonts w:asciiTheme="minorHAnsi" w:hAnsiTheme="minorHAnsi" w:cstheme="minorHAnsi"/>
          <w:spacing w:val="-5"/>
        </w:rPr>
      </w:pPr>
      <w:r w:rsidRPr="0025334E">
        <w:rPr>
          <w:rFonts w:asciiTheme="minorHAnsi" w:hAnsiTheme="minorHAnsi" w:cstheme="minorHAnsi"/>
          <w:spacing w:val="-5"/>
        </w:rPr>
        <w:t>Considering the role of solvent, previously Parker</w:t>
      </w:r>
      <w:hyperlink r:id="rId91" w:anchor="cit16" w:history="1">
        <w:r w:rsidRPr="0025334E">
          <w:rPr>
            <w:rStyle w:val="Hyperlink"/>
            <w:rFonts w:asciiTheme="minorHAnsi" w:eastAsiaTheme="majorEastAsia" w:hAnsiTheme="minorHAnsi" w:cstheme="minorHAnsi"/>
            <w:color w:val="991E66"/>
            <w:spacing w:val="-5"/>
            <w:vertAlign w:val="superscript"/>
          </w:rPr>
          <w:t>16</w:t>
        </w:r>
      </w:hyperlink>
      <w:r w:rsidRPr="0025334E">
        <w:rPr>
          <w:rFonts w:asciiTheme="minorHAnsi" w:hAnsiTheme="minorHAnsi" w:cstheme="minorHAnsi"/>
          <w:spacing w:val="-5"/>
        </w:rPr>
        <w:t> and Kochi and co-workers</w:t>
      </w:r>
      <w:hyperlink r:id="rId92" w:anchor="cit17" w:history="1">
        <w:r w:rsidRPr="0025334E">
          <w:rPr>
            <w:rStyle w:val="Hyperlink"/>
            <w:rFonts w:asciiTheme="minorHAnsi" w:eastAsiaTheme="majorEastAsia" w:hAnsiTheme="minorHAnsi" w:cstheme="minorHAnsi"/>
            <w:color w:val="991E66"/>
            <w:spacing w:val="-5"/>
            <w:vertAlign w:val="superscript"/>
          </w:rPr>
          <w:t>17</w:t>
        </w:r>
      </w:hyperlink>
      <w:r w:rsidRPr="0025334E">
        <w:rPr>
          <w:rFonts w:asciiTheme="minorHAnsi" w:hAnsiTheme="minorHAnsi" w:cstheme="minorHAnsi"/>
          <w:spacing w:val="-5"/>
        </w:rPr>
        <w:t> have shown a strong linear correlation of oxidation potentials and VIE in a set of structurally similar molecules. In the former case, a near unity slope was derived, while the latter case found a slope less than unity (</w:t>
      </w:r>
      <w:r w:rsidRPr="0025334E">
        <w:rPr>
          <w:rFonts w:ascii="Cambria Math" w:hAnsi="Cambria Math" w:cs="Cambria Math"/>
          <w:spacing w:val="-5"/>
        </w:rPr>
        <w:t>∼</w:t>
      </w:r>
      <w:r w:rsidRPr="0025334E">
        <w:rPr>
          <w:rFonts w:asciiTheme="minorHAnsi" w:hAnsiTheme="minorHAnsi" w:cstheme="minorHAnsi"/>
          <w:spacing w:val="-5"/>
        </w:rPr>
        <w:t>0.71), which was suggested to reflect differences in the energy of solvation. Our derived slope for the correlation of </w:t>
      </w:r>
      <w:proofErr w:type="spellStart"/>
      <w:r w:rsidRPr="0025334E">
        <w:rPr>
          <w:rStyle w:val="Emphasis"/>
          <w:rFonts w:asciiTheme="minorHAnsi" w:eastAsiaTheme="majorEastAsia" w:hAnsiTheme="minorHAnsi" w:cstheme="minorHAnsi"/>
          <w:spacing w:val="-5"/>
        </w:rPr>
        <w:t>E</w:t>
      </w:r>
      <w:r w:rsidRPr="0025334E">
        <w:rPr>
          <w:rFonts w:asciiTheme="minorHAnsi" w:hAnsiTheme="minorHAnsi" w:cstheme="minorHAnsi"/>
          <w:spacing w:val="-5"/>
          <w:vertAlign w:val="subscript"/>
        </w:rPr>
        <w:t>ox</w:t>
      </w:r>
      <w:proofErr w:type="spellEnd"/>
      <w:r w:rsidRPr="0025334E">
        <w:rPr>
          <w:rFonts w:asciiTheme="minorHAnsi" w:hAnsiTheme="minorHAnsi" w:cstheme="minorHAnsi"/>
          <w:spacing w:val="-5"/>
        </w:rPr>
        <w:t> and AIE (</w:t>
      </w:r>
      <w:hyperlink r:id="rId93" w:anchor="fig5" w:history="1">
        <w:r w:rsidRPr="0025334E">
          <w:rPr>
            <w:rStyle w:val="Hyperlink"/>
            <w:rFonts w:asciiTheme="minorHAnsi" w:eastAsiaTheme="majorEastAsia" w:hAnsiTheme="minorHAnsi" w:cstheme="minorHAnsi"/>
            <w:color w:val="991E66"/>
            <w:spacing w:val="-5"/>
          </w:rPr>
          <w:t>Fig. 5</w:t>
        </w:r>
      </w:hyperlink>
      <w:r w:rsidRPr="0025334E">
        <w:rPr>
          <w:rFonts w:asciiTheme="minorHAnsi" w:hAnsiTheme="minorHAnsi" w:cstheme="minorHAnsi"/>
          <w:spacing w:val="-5"/>
        </w:rPr>
        <w:t>) is of a somewhat similar magnitude (0.52), suggesting some (linear) variations in solvent reorganization amongst this set of actuators.</w:t>
      </w:r>
    </w:p>
    <w:p w14:paraId="308D2A57" w14:textId="77777777" w:rsidR="003C402F" w:rsidRPr="0025334E" w:rsidRDefault="003C402F" w:rsidP="004B0BFF">
      <w:pPr>
        <w:pStyle w:val="NormalWeb"/>
        <w:shd w:val="clear" w:color="auto" w:fill="FFFFFF"/>
        <w:spacing w:before="0" w:beforeAutospacing="0" w:after="0" w:afterAutospacing="0"/>
        <w:ind w:firstLine="240"/>
        <w:rPr>
          <w:rFonts w:asciiTheme="minorHAnsi" w:hAnsiTheme="minorHAnsi" w:cstheme="minorHAnsi"/>
          <w:spacing w:val="-5"/>
        </w:rPr>
      </w:pPr>
    </w:p>
    <w:p w14:paraId="397C0D62" w14:textId="77777777" w:rsidR="004B0BFF" w:rsidRPr="0025334E" w:rsidRDefault="004B0BFF" w:rsidP="003C402F">
      <w:pPr>
        <w:pStyle w:val="Heading2"/>
      </w:pPr>
      <w:r w:rsidRPr="0025334E">
        <w:rPr>
          <w:rStyle w:val="section-title"/>
          <w:rFonts w:asciiTheme="minorHAnsi" w:hAnsiTheme="minorHAnsi" w:cstheme="minorHAnsi"/>
          <w:color w:val="191919"/>
          <w:spacing w:val="-7"/>
        </w:rPr>
        <w:t>Role of intramolecular basis set superposition error (BSSE)</w:t>
      </w:r>
    </w:p>
    <w:p w14:paraId="671A3626" w14:textId="77777777" w:rsidR="004B0BFF" w:rsidRPr="0025334E" w:rsidRDefault="004B0BFF" w:rsidP="004B0BFF">
      <w:pPr>
        <w:pStyle w:val="NormalWeb"/>
        <w:shd w:val="clear" w:color="auto" w:fill="FFFFFF"/>
        <w:spacing w:after="0" w:afterAutospacing="0"/>
        <w:rPr>
          <w:rFonts w:asciiTheme="minorHAnsi" w:hAnsiTheme="minorHAnsi" w:cstheme="minorHAnsi"/>
          <w:spacing w:val="-5"/>
        </w:rPr>
      </w:pPr>
      <w:r w:rsidRPr="0025334E">
        <w:rPr>
          <w:rFonts w:asciiTheme="minorHAnsi" w:hAnsiTheme="minorHAnsi" w:cstheme="minorHAnsi"/>
          <w:spacing w:val="-5"/>
        </w:rPr>
        <w:t xml:space="preserve">While it is widely accepted that the BSSE is critically important for accurate prediction of the binding energies in the intermolecular complexes, the importance of intramolecular BSSE is less recognized. Here, the availability of a set of conformationally-mobile </w:t>
      </w:r>
      <w:proofErr w:type="spellStart"/>
      <w:r w:rsidRPr="0025334E">
        <w:rPr>
          <w:rFonts w:asciiTheme="minorHAnsi" w:hAnsiTheme="minorHAnsi" w:cstheme="minorHAnsi"/>
          <w:spacing w:val="-5"/>
        </w:rPr>
        <w:t>bichromophores</w:t>
      </w:r>
      <w:proofErr w:type="spellEnd"/>
      <w:r w:rsidRPr="0025334E">
        <w:rPr>
          <w:rFonts w:asciiTheme="minorHAnsi" w:hAnsiTheme="minorHAnsi" w:cstheme="minorHAnsi"/>
          <w:spacing w:val="-5"/>
        </w:rPr>
        <w:t xml:space="preserve"> with access to π-stacked (</w:t>
      </w:r>
      <w:r w:rsidRPr="0025334E">
        <w:rPr>
          <w:rStyle w:val="Emphasis"/>
          <w:rFonts w:asciiTheme="minorHAnsi" w:eastAsiaTheme="majorEastAsia" w:hAnsiTheme="minorHAnsi" w:cstheme="minorHAnsi"/>
          <w:spacing w:val="-5"/>
        </w:rPr>
        <w:t>i.e.</w:t>
      </w:r>
      <w:r w:rsidRPr="0025334E">
        <w:rPr>
          <w:rFonts w:asciiTheme="minorHAnsi" w:hAnsiTheme="minorHAnsi" w:cstheme="minorHAnsi"/>
          <w:spacing w:val="-5"/>
        </w:rPr>
        <w:t>, closed) conformations present a unique opportunity to probe the role of intramolecular BSSE; and complete data is summarized in Tables S18 and S19 in ESI.</w:t>
      </w:r>
      <w:hyperlink r:id="rId94" w:anchor="fn1" w:tooltip="Electronic supplementary information (ESI) available: Compounds characterization data, electrochemical data, and computational details. See DOI: 10.1039/c8cp02936a" w:history="1">
        <w:r w:rsidRPr="0025334E">
          <w:rPr>
            <w:rStyle w:val="Hyperlink"/>
            <w:rFonts w:asciiTheme="minorHAnsi" w:eastAsiaTheme="majorEastAsia" w:hAnsiTheme="minorHAnsi" w:cstheme="minorHAnsi"/>
            <w:color w:val="991E66"/>
            <w:spacing w:val="-5"/>
          </w:rPr>
          <w:t>†</w:t>
        </w:r>
      </w:hyperlink>
    </w:p>
    <w:p w14:paraId="739C4FEE" w14:textId="77777777" w:rsidR="004B0BFF" w:rsidRPr="0025334E" w:rsidRDefault="004B0BFF" w:rsidP="004B0BFF">
      <w:pPr>
        <w:pStyle w:val="NormalWeb"/>
        <w:shd w:val="clear" w:color="auto" w:fill="FFFFFF"/>
        <w:spacing w:before="0" w:beforeAutospacing="0" w:after="0" w:afterAutospacing="0"/>
        <w:ind w:firstLine="240"/>
        <w:rPr>
          <w:rFonts w:asciiTheme="minorHAnsi" w:hAnsiTheme="minorHAnsi" w:cstheme="minorHAnsi"/>
          <w:spacing w:val="-5"/>
        </w:rPr>
      </w:pPr>
      <w:r w:rsidRPr="0025334E">
        <w:rPr>
          <w:rFonts w:asciiTheme="minorHAnsi" w:hAnsiTheme="minorHAnsi" w:cstheme="minorHAnsi"/>
          <w:spacing w:val="-5"/>
        </w:rPr>
        <w:t xml:space="preserve">First, we expect that the BSSE should be larger for the closed conformations as compared to open. Indeed, depending on the </w:t>
      </w:r>
      <w:proofErr w:type="spellStart"/>
      <w:r w:rsidRPr="0025334E">
        <w:rPr>
          <w:rFonts w:asciiTheme="minorHAnsi" w:hAnsiTheme="minorHAnsi" w:cstheme="minorHAnsi"/>
          <w:spacing w:val="-5"/>
        </w:rPr>
        <w:t>bichromophore</w:t>
      </w:r>
      <w:proofErr w:type="spellEnd"/>
      <w:r w:rsidRPr="0025334E">
        <w:rPr>
          <w:rFonts w:asciiTheme="minorHAnsi" w:hAnsiTheme="minorHAnsi" w:cstheme="minorHAnsi"/>
          <w:spacing w:val="-5"/>
        </w:rPr>
        <w:t xml:space="preserve"> the difference in BSSE, </w:t>
      </w:r>
      <w:r w:rsidRPr="0025334E">
        <w:rPr>
          <w:rStyle w:val="Emphasis"/>
          <w:rFonts w:asciiTheme="minorHAnsi" w:eastAsiaTheme="majorEastAsia" w:hAnsiTheme="minorHAnsi" w:cstheme="minorHAnsi"/>
          <w:spacing w:val="-5"/>
        </w:rPr>
        <w:t>i.e.</w:t>
      </w:r>
      <w:r w:rsidRPr="0025334E">
        <w:rPr>
          <w:rFonts w:asciiTheme="minorHAnsi" w:hAnsiTheme="minorHAnsi" w:cstheme="minorHAnsi"/>
          <w:spacing w:val="-5"/>
        </w:rPr>
        <w:t>, ΔBSSE = BSSE[closed] − BSSE[open], varies from 2.8 kcal mol</w:t>
      </w:r>
      <w:r w:rsidRPr="0025334E">
        <w:rPr>
          <w:rFonts w:asciiTheme="minorHAnsi" w:hAnsiTheme="minorHAnsi" w:cstheme="minorHAnsi"/>
          <w:spacing w:val="-5"/>
          <w:vertAlign w:val="superscript"/>
        </w:rPr>
        <w:t>−1</w:t>
      </w:r>
      <w:r w:rsidRPr="0025334E">
        <w:rPr>
          <w:rFonts w:asciiTheme="minorHAnsi" w:hAnsiTheme="minorHAnsi" w:cstheme="minorHAnsi"/>
          <w:spacing w:val="-5"/>
        </w:rPr>
        <w:t> in </w:t>
      </w:r>
      <w:r w:rsidRPr="0025334E">
        <w:rPr>
          <w:rStyle w:val="Strong"/>
          <w:rFonts w:asciiTheme="minorHAnsi" w:hAnsiTheme="minorHAnsi" w:cstheme="minorHAnsi"/>
          <w:spacing w:val="-5"/>
        </w:rPr>
        <w:t>V2</w:t>
      </w:r>
      <w:r w:rsidRPr="0025334E">
        <w:rPr>
          <w:rFonts w:asciiTheme="minorHAnsi" w:hAnsiTheme="minorHAnsi" w:cstheme="minorHAnsi"/>
          <w:spacing w:val="-5"/>
        </w:rPr>
        <w:t> to 1.1 kcal mol</w:t>
      </w:r>
      <w:r w:rsidRPr="0025334E">
        <w:rPr>
          <w:rFonts w:asciiTheme="minorHAnsi" w:hAnsiTheme="minorHAnsi" w:cstheme="minorHAnsi"/>
          <w:spacing w:val="-5"/>
          <w:vertAlign w:val="superscript"/>
        </w:rPr>
        <w:t>−1</w:t>
      </w:r>
      <w:r w:rsidRPr="0025334E">
        <w:rPr>
          <w:rFonts w:asciiTheme="minorHAnsi" w:hAnsiTheme="minorHAnsi" w:cstheme="minorHAnsi"/>
          <w:spacing w:val="-5"/>
        </w:rPr>
        <w:t> in </w:t>
      </w:r>
      <w:r w:rsidRPr="0025334E">
        <w:rPr>
          <w:rStyle w:val="Strong"/>
          <w:rFonts w:asciiTheme="minorHAnsi" w:hAnsiTheme="minorHAnsi" w:cstheme="minorHAnsi"/>
          <w:spacing w:val="-5"/>
        </w:rPr>
        <w:t>Ac2</w:t>
      </w:r>
      <w:r w:rsidRPr="0025334E">
        <w:rPr>
          <w:rFonts w:asciiTheme="minorHAnsi" w:hAnsiTheme="minorHAnsi" w:cstheme="minorHAnsi"/>
          <w:spacing w:val="-5"/>
        </w:rPr>
        <w:t>-CH2 to 0.6 kcal mol</w:t>
      </w:r>
      <w:r w:rsidRPr="0025334E">
        <w:rPr>
          <w:rFonts w:asciiTheme="minorHAnsi" w:hAnsiTheme="minorHAnsi" w:cstheme="minorHAnsi"/>
          <w:spacing w:val="-5"/>
          <w:vertAlign w:val="superscript"/>
        </w:rPr>
        <w:t>−1</w:t>
      </w:r>
      <w:r w:rsidRPr="0025334E">
        <w:rPr>
          <w:rFonts w:asciiTheme="minorHAnsi" w:hAnsiTheme="minorHAnsi" w:cstheme="minorHAnsi"/>
          <w:spacing w:val="-5"/>
        </w:rPr>
        <w:t> in </w:t>
      </w:r>
      <w:r w:rsidRPr="0025334E">
        <w:rPr>
          <w:rStyle w:val="Strong"/>
          <w:rFonts w:asciiTheme="minorHAnsi" w:hAnsiTheme="minorHAnsi" w:cstheme="minorHAnsi"/>
          <w:spacing w:val="-5"/>
        </w:rPr>
        <w:t>Ac2</w:t>
      </w:r>
      <w:r w:rsidRPr="0025334E">
        <w:rPr>
          <w:rFonts w:asciiTheme="minorHAnsi" w:hAnsiTheme="minorHAnsi" w:cstheme="minorHAnsi"/>
          <w:spacing w:val="-5"/>
        </w:rPr>
        <w:t>-C2H4. These relatively minor differences are, however, sufficient to incorrectly assign global minimum conformations of </w:t>
      </w:r>
      <w:r w:rsidRPr="0025334E">
        <w:rPr>
          <w:rStyle w:val="Strong"/>
          <w:rFonts w:asciiTheme="minorHAnsi" w:hAnsiTheme="minorHAnsi" w:cstheme="minorHAnsi"/>
          <w:spacing w:val="-5"/>
        </w:rPr>
        <w:t>V2</w:t>
      </w:r>
      <w:r w:rsidRPr="0025334E">
        <w:rPr>
          <w:rFonts w:asciiTheme="minorHAnsi" w:hAnsiTheme="minorHAnsi" w:cstheme="minorHAnsi"/>
          <w:spacing w:val="-5"/>
        </w:rPr>
        <w:t> and </w:t>
      </w:r>
      <w:r w:rsidRPr="0025334E">
        <w:rPr>
          <w:rStyle w:val="Strong"/>
          <w:rFonts w:asciiTheme="minorHAnsi" w:hAnsiTheme="minorHAnsi" w:cstheme="minorHAnsi"/>
          <w:spacing w:val="-5"/>
        </w:rPr>
        <w:t>Ac2</w:t>
      </w:r>
      <w:r w:rsidRPr="0025334E">
        <w:rPr>
          <w:rFonts w:asciiTheme="minorHAnsi" w:hAnsiTheme="minorHAnsi" w:cstheme="minorHAnsi"/>
          <w:spacing w:val="-5"/>
        </w:rPr>
        <w:t>-CH2 if the BSSE is not corrected. At the same time, the varied orientation of the methoxy groups adds an additional 0.0–0.4 kcal mol</w:t>
      </w:r>
      <w:r w:rsidRPr="0025334E">
        <w:rPr>
          <w:rFonts w:asciiTheme="minorHAnsi" w:hAnsiTheme="minorHAnsi" w:cstheme="minorHAnsi"/>
          <w:spacing w:val="-5"/>
          <w:vertAlign w:val="superscript"/>
        </w:rPr>
        <w:t>−1</w:t>
      </w:r>
      <w:r w:rsidRPr="0025334E">
        <w:rPr>
          <w:rFonts w:asciiTheme="minorHAnsi" w:hAnsiTheme="minorHAnsi" w:cstheme="minorHAnsi"/>
          <w:spacing w:val="-5"/>
        </w:rPr>
        <w:t> to the BSSE. Interestingly, for the cation radical state the BSSE is generally smaller, by 0.6–2.4 kcal mol</w:t>
      </w:r>
      <w:r w:rsidRPr="0025334E">
        <w:rPr>
          <w:rFonts w:asciiTheme="minorHAnsi" w:hAnsiTheme="minorHAnsi" w:cstheme="minorHAnsi"/>
          <w:spacing w:val="-5"/>
          <w:vertAlign w:val="superscript"/>
        </w:rPr>
        <w:t>−1</w:t>
      </w:r>
      <w:r w:rsidRPr="0025334E">
        <w:rPr>
          <w:rFonts w:asciiTheme="minorHAnsi" w:hAnsiTheme="minorHAnsi" w:cstheme="minorHAnsi"/>
          <w:spacing w:val="-5"/>
        </w:rPr>
        <w:t>, than in the neutral state. Yet, the BSSE of the cation radical state is also conformation-dependent and is the largest for closed conformations. Due to a significant overall stabilization of the closed conformation at the cation radical, absence of BSSE correction does not lead to errors in assignment of the global minimum structures.</w:t>
      </w:r>
    </w:p>
    <w:p w14:paraId="4EB34E87" w14:textId="77777777" w:rsidR="004B0BFF" w:rsidRPr="0025334E" w:rsidRDefault="004B0BFF" w:rsidP="004B0BFF">
      <w:pPr>
        <w:pStyle w:val="NormalWeb"/>
        <w:shd w:val="clear" w:color="auto" w:fill="FFFFFF"/>
        <w:spacing w:before="0" w:beforeAutospacing="0" w:after="0" w:afterAutospacing="0"/>
        <w:ind w:firstLine="240"/>
        <w:rPr>
          <w:rFonts w:asciiTheme="minorHAnsi" w:hAnsiTheme="minorHAnsi" w:cstheme="minorHAnsi"/>
          <w:spacing w:val="-5"/>
        </w:rPr>
      </w:pPr>
      <w:r w:rsidRPr="0025334E">
        <w:rPr>
          <w:rFonts w:asciiTheme="minorHAnsi" w:hAnsiTheme="minorHAnsi" w:cstheme="minorHAnsi"/>
          <w:spacing w:val="-5"/>
        </w:rPr>
        <w:t>Finally, the choice of the atomic composition, spin and multiplicity of the fragments in the counterpoise (CP) method implies uncertainty in the estimate of BSSE correction. For example, when the molecule is fragmented differently than that shown in </w:t>
      </w:r>
      <w:hyperlink r:id="rId95" w:anchor="fig6" w:history="1">
        <w:r w:rsidRPr="0025334E">
          <w:rPr>
            <w:rStyle w:val="Hyperlink"/>
            <w:rFonts w:asciiTheme="minorHAnsi" w:eastAsiaTheme="majorEastAsia" w:hAnsiTheme="minorHAnsi" w:cstheme="minorHAnsi"/>
            <w:color w:val="991E66"/>
            <w:spacing w:val="-5"/>
          </w:rPr>
          <w:t>Fig. 6</w:t>
        </w:r>
      </w:hyperlink>
      <w:r w:rsidRPr="0025334E">
        <w:rPr>
          <w:rFonts w:asciiTheme="minorHAnsi" w:hAnsiTheme="minorHAnsi" w:cstheme="minorHAnsi"/>
          <w:spacing w:val="-5"/>
        </w:rPr>
        <w:t> (see Fig. S18 in ESI</w:t>
      </w:r>
      <w:hyperlink r:id="rId96" w:anchor="fn1" w:tooltip="Electronic supplementary information (ESI) available: Compounds characterization data, electrochemical data, and computational details. See DOI: 10.1039/c8cp02936a" w:history="1">
        <w:r w:rsidRPr="0025334E">
          <w:rPr>
            <w:rStyle w:val="Hyperlink"/>
            <w:rFonts w:asciiTheme="minorHAnsi" w:eastAsiaTheme="majorEastAsia" w:hAnsiTheme="minorHAnsi" w:cstheme="minorHAnsi"/>
            <w:color w:val="991E66"/>
            <w:spacing w:val="-5"/>
          </w:rPr>
          <w:t>†</w:t>
        </w:r>
      </w:hyperlink>
      <w:r w:rsidRPr="0025334E">
        <w:rPr>
          <w:rFonts w:asciiTheme="minorHAnsi" w:hAnsiTheme="minorHAnsi" w:cstheme="minorHAnsi"/>
          <w:spacing w:val="-5"/>
        </w:rPr>
        <w:t>), the BSSE differs by less than 2.1 kcal mol</w:t>
      </w:r>
      <w:r w:rsidRPr="0025334E">
        <w:rPr>
          <w:rFonts w:asciiTheme="minorHAnsi" w:hAnsiTheme="minorHAnsi" w:cstheme="minorHAnsi"/>
          <w:spacing w:val="-5"/>
          <w:vertAlign w:val="superscript"/>
        </w:rPr>
        <w:t>−1</w:t>
      </w:r>
      <w:r w:rsidRPr="0025334E">
        <w:rPr>
          <w:rFonts w:asciiTheme="minorHAnsi" w:hAnsiTheme="minorHAnsi" w:cstheme="minorHAnsi"/>
          <w:spacing w:val="-5"/>
        </w:rPr>
        <w:t> in </w:t>
      </w:r>
      <w:r w:rsidRPr="0025334E">
        <w:rPr>
          <w:rStyle w:val="Strong"/>
          <w:rFonts w:asciiTheme="minorHAnsi" w:hAnsiTheme="minorHAnsi" w:cstheme="minorHAnsi"/>
          <w:spacing w:val="-5"/>
        </w:rPr>
        <w:t>V2</w:t>
      </w:r>
      <w:r w:rsidRPr="0025334E">
        <w:rPr>
          <w:rFonts w:asciiTheme="minorHAnsi" w:hAnsiTheme="minorHAnsi" w:cstheme="minorHAnsi"/>
          <w:spacing w:val="-5"/>
        </w:rPr>
        <w:t> and </w:t>
      </w:r>
      <w:r w:rsidRPr="0025334E">
        <w:rPr>
          <w:rStyle w:val="Strong"/>
          <w:rFonts w:asciiTheme="minorHAnsi" w:hAnsiTheme="minorHAnsi" w:cstheme="minorHAnsi"/>
          <w:spacing w:val="-5"/>
        </w:rPr>
        <w:t>V2</w:t>
      </w:r>
      <w:r w:rsidRPr="0025334E">
        <w:rPr>
          <w:rFonts w:asciiTheme="minorHAnsi" w:hAnsiTheme="minorHAnsi" w:cstheme="minorHAnsi"/>
          <w:spacing w:val="-5"/>
        </w:rPr>
        <w:t>-locked and by 3.8–6.0 kcal mol</w:t>
      </w:r>
      <w:r w:rsidRPr="0025334E">
        <w:rPr>
          <w:rFonts w:asciiTheme="minorHAnsi" w:hAnsiTheme="minorHAnsi" w:cstheme="minorHAnsi"/>
          <w:spacing w:val="-5"/>
          <w:vertAlign w:val="superscript"/>
        </w:rPr>
        <w:t>−1</w:t>
      </w:r>
      <w:r w:rsidRPr="0025334E">
        <w:rPr>
          <w:rFonts w:asciiTheme="minorHAnsi" w:hAnsiTheme="minorHAnsi" w:cstheme="minorHAnsi"/>
          <w:spacing w:val="-5"/>
        </w:rPr>
        <w:t> in </w:t>
      </w:r>
      <w:r w:rsidRPr="0025334E">
        <w:rPr>
          <w:rStyle w:val="Strong"/>
          <w:rFonts w:asciiTheme="minorHAnsi" w:hAnsiTheme="minorHAnsi" w:cstheme="minorHAnsi"/>
          <w:spacing w:val="-5"/>
        </w:rPr>
        <w:t>Ac2</w:t>
      </w:r>
      <w:r w:rsidRPr="0025334E">
        <w:rPr>
          <w:rFonts w:asciiTheme="minorHAnsi" w:hAnsiTheme="minorHAnsi" w:cstheme="minorHAnsi"/>
          <w:spacing w:val="-5"/>
        </w:rPr>
        <w:t>-CH2 and </w:t>
      </w:r>
      <w:r w:rsidRPr="0025334E">
        <w:rPr>
          <w:rStyle w:val="Strong"/>
          <w:rFonts w:asciiTheme="minorHAnsi" w:hAnsiTheme="minorHAnsi" w:cstheme="minorHAnsi"/>
          <w:spacing w:val="-5"/>
        </w:rPr>
        <w:t>Ac2</w:t>
      </w:r>
      <w:r w:rsidRPr="0025334E">
        <w:rPr>
          <w:rFonts w:asciiTheme="minorHAnsi" w:hAnsiTheme="minorHAnsi" w:cstheme="minorHAnsi"/>
          <w:spacing w:val="-5"/>
        </w:rPr>
        <w:t>-C2H4. Such a significant difference for </w:t>
      </w:r>
      <w:r w:rsidRPr="0025334E">
        <w:rPr>
          <w:rStyle w:val="Strong"/>
          <w:rFonts w:asciiTheme="minorHAnsi" w:hAnsiTheme="minorHAnsi" w:cstheme="minorHAnsi"/>
          <w:spacing w:val="-5"/>
        </w:rPr>
        <w:t>Ac2</w:t>
      </w:r>
      <w:r w:rsidRPr="0025334E">
        <w:rPr>
          <w:rFonts w:asciiTheme="minorHAnsi" w:hAnsiTheme="minorHAnsi" w:cstheme="minorHAnsi"/>
          <w:spacing w:val="-5"/>
        </w:rPr>
        <w:t>-CH2 and </w:t>
      </w:r>
      <w:r w:rsidRPr="0025334E">
        <w:rPr>
          <w:rStyle w:val="Strong"/>
          <w:rFonts w:asciiTheme="minorHAnsi" w:hAnsiTheme="minorHAnsi" w:cstheme="minorHAnsi"/>
          <w:spacing w:val="-5"/>
        </w:rPr>
        <w:t>Ac2</w:t>
      </w:r>
      <w:r w:rsidRPr="0025334E">
        <w:rPr>
          <w:rFonts w:asciiTheme="minorHAnsi" w:hAnsiTheme="minorHAnsi" w:cstheme="minorHAnsi"/>
          <w:spacing w:val="-5"/>
        </w:rPr>
        <w:t>-C2H4 arises from the completely different electronic structures of the isolated fragments in the two approaches (Fig. S18 in ESI</w:t>
      </w:r>
      <w:hyperlink r:id="rId97" w:anchor="fn1" w:tooltip="Electronic supplementary information (ESI) available: Compounds characterization data, electrochemical data, and computational details. See DOI: 10.1039/c8cp02936a" w:history="1">
        <w:r w:rsidRPr="0025334E">
          <w:rPr>
            <w:rStyle w:val="Hyperlink"/>
            <w:rFonts w:asciiTheme="minorHAnsi" w:eastAsiaTheme="majorEastAsia" w:hAnsiTheme="minorHAnsi" w:cstheme="minorHAnsi"/>
            <w:color w:val="991E66"/>
            <w:spacing w:val="-5"/>
          </w:rPr>
          <w:t>†</w:t>
        </w:r>
      </w:hyperlink>
      <w:r w:rsidRPr="0025334E">
        <w:rPr>
          <w:rFonts w:asciiTheme="minorHAnsi" w:hAnsiTheme="minorHAnsi" w:cstheme="minorHAnsi"/>
          <w:spacing w:val="-5"/>
        </w:rPr>
        <w:t>). We thus conclude that the counterpoise correction is more reliable when the electronic structure of the isolated fragment is close to the electronic structure of that fragment within the molecule.</w:t>
      </w:r>
      <w:hyperlink r:id="rId98" w:anchor="cit41" w:history="1">
        <w:r w:rsidRPr="0025334E">
          <w:rPr>
            <w:rStyle w:val="Hyperlink"/>
            <w:rFonts w:asciiTheme="minorHAnsi" w:eastAsiaTheme="majorEastAsia" w:hAnsiTheme="minorHAnsi" w:cstheme="minorHAnsi"/>
            <w:color w:val="991E66"/>
            <w:spacing w:val="-5"/>
            <w:vertAlign w:val="superscript"/>
          </w:rPr>
          <w:t>41</w:t>
        </w:r>
      </w:hyperlink>
      <w:r w:rsidRPr="0025334E">
        <w:rPr>
          <w:rFonts w:asciiTheme="minorHAnsi" w:hAnsiTheme="minorHAnsi" w:cstheme="minorHAnsi"/>
          <w:spacing w:val="-5"/>
        </w:rPr>
        <w:t> Importantly, we recognize that the only method to fully eliminate BSSE is to increase the size of the basis set, which may not be practical.</w:t>
      </w:r>
      <w:hyperlink r:id="rId99" w:anchor="cit28" w:history="1">
        <w:r w:rsidRPr="0025334E">
          <w:rPr>
            <w:rStyle w:val="Hyperlink"/>
            <w:rFonts w:asciiTheme="minorHAnsi" w:eastAsiaTheme="majorEastAsia" w:hAnsiTheme="minorHAnsi" w:cstheme="minorHAnsi"/>
            <w:color w:val="991E66"/>
            <w:spacing w:val="-5"/>
            <w:vertAlign w:val="superscript"/>
          </w:rPr>
          <w:t>28</w:t>
        </w:r>
      </w:hyperlink>
    </w:p>
    <w:p w14:paraId="4FD86EA1" w14:textId="77777777" w:rsidR="004B0BFF" w:rsidRPr="0025334E" w:rsidRDefault="004B0BFF" w:rsidP="003C402F">
      <w:pPr>
        <w:pStyle w:val="Heading1"/>
      </w:pPr>
      <w:r w:rsidRPr="0025334E">
        <w:rPr>
          <w:rStyle w:val="section-title"/>
          <w:rFonts w:asciiTheme="minorHAnsi" w:hAnsiTheme="minorHAnsi" w:cstheme="minorHAnsi"/>
          <w:color w:val="191919"/>
          <w:spacing w:val="-7"/>
          <w:sz w:val="33"/>
          <w:szCs w:val="33"/>
        </w:rPr>
        <w:t>Conclusions</w:t>
      </w:r>
    </w:p>
    <w:p w14:paraId="3D18EB4F" w14:textId="77777777" w:rsidR="004B0BFF" w:rsidRPr="0025334E" w:rsidRDefault="004B0BFF" w:rsidP="004B0BFF">
      <w:pPr>
        <w:pStyle w:val="NormalWeb"/>
        <w:shd w:val="clear" w:color="auto" w:fill="FFFFFF"/>
        <w:spacing w:after="0" w:afterAutospacing="0"/>
        <w:rPr>
          <w:rFonts w:asciiTheme="minorHAnsi" w:hAnsiTheme="minorHAnsi" w:cstheme="minorHAnsi"/>
          <w:spacing w:val="-5"/>
        </w:rPr>
      </w:pPr>
      <w:r w:rsidRPr="0025334E">
        <w:rPr>
          <w:rFonts w:asciiTheme="minorHAnsi" w:hAnsiTheme="minorHAnsi" w:cstheme="minorHAnsi"/>
          <w:spacing w:val="-5"/>
        </w:rPr>
        <w:t>In this work, we have examined structural, conformational, and solvent reorganization in a set of conformationally mobile bichromophoric donors (</w:t>
      </w:r>
      <w:r w:rsidRPr="0025334E">
        <w:rPr>
          <w:rStyle w:val="Emphasis"/>
          <w:rFonts w:asciiTheme="minorHAnsi" w:eastAsiaTheme="majorEastAsia" w:hAnsiTheme="minorHAnsi" w:cstheme="minorHAnsi"/>
          <w:spacing w:val="-5"/>
        </w:rPr>
        <w:t>i.e.</w:t>
      </w:r>
      <w:r w:rsidRPr="0025334E">
        <w:rPr>
          <w:rFonts w:asciiTheme="minorHAnsi" w:hAnsiTheme="minorHAnsi" w:cstheme="minorHAnsi"/>
          <w:spacing w:val="-5"/>
        </w:rPr>
        <w:t>, actuators), </w:t>
      </w:r>
      <w:r w:rsidRPr="0025334E">
        <w:rPr>
          <w:rStyle w:val="Emphasis"/>
          <w:rFonts w:asciiTheme="minorHAnsi" w:eastAsiaTheme="majorEastAsia" w:hAnsiTheme="minorHAnsi" w:cstheme="minorHAnsi"/>
          <w:spacing w:val="-5"/>
        </w:rPr>
        <w:t>via</w:t>
      </w:r>
      <w:r w:rsidRPr="0025334E">
        <w:rPr>
          <w:rFonts w:asciiTheme="minorHAnsi" w:hAnsiTheme="minorHAnsi" w:cstheme="minorHAnsi"/>
          <w:spacing w:val="-5"/>
        </w:rPr>
        <w:t> gas-phase photoelectron spectroscopy, solution phase electrochemistry, and DFT calculations. From gas-phase photoelectron spectra, both adiabatic and vertical ionization energies (AIE/VIE) were derived, which we compared with measured solution phase oxidation potentials (</w:t>
      </w:r>
      <w:proofErr w:type="spellStart"/>
      <w:r w:rsidRPr="0025334E">
        <w:rPr>
          <w:rStyle w:val="Emphasis"/>
          <w:rFonts w:asciiTheme="minorHAnsi" w:eastAsiaTheme="majorEastAsia" w:hAnsiTheme="minorHAnsi" w:cstheme="minorHAnsi"/>
          <w:spacing w:val="-5"/>
        </w:rPr>
        <w:t>E</w:t>
      </w:r>
      <w:r w:rsidRPr="0025334E">
        <w:rPr>
          <w:rFonts w:asciiTheme="minorHAnsi" w:hAnsiTheme="minorHAnsi" w:cstheme="minorHAnsi"/>
          <w:spacing w:val="-5"/>
          <w:vertAlign w:val="subscript"/>
        </w:rPr>
        <w:t>ox</w:t>
      </w:r>
      <w:proofErr w:type="spellEnd"/>
      <w:r w:rsidRPr="0025334E">
        <w:rPr>
          <w:rFonts w:asciiTheme="minorHAnsi" w:hAnsiTheme="minorHAnsi" w:cstheme="minorHAnsi"/>
          <w:spacing w:val="-5"/>
        </w:rPr>
        <w:t>). A strong correlation was found of </w:t>
      </w:r>
      <w:proofErr w:type="spellStart"/>
      <w:r w:rsidRPr="0025334E">
        <w:rPr>
          <w:rStyle w:val="Emphasis"/>
          <w:rFonts w:asciiTheme="minorHAnsi" w:eastAsiaTheme="majorEastAsia" w:hAnsiTheme="minorHAnsi" w:cstheme="minorHAnsi"/>
          <w:spacing w:val="-5"/>
        </w:rPr>
        <w:t>E</w:t>
      </w:r>
      <w:r w:rsidRPr="0025334E">
        <w:rPr>
          <w:rFonts w:asciiTheme="minorHAnsi" w:hAnsiTheme="minorHAnsi" w:cstheme="minorHAnsi"/>
          <w:spacing w:val="-5"/>
          <w:vertAlign w:val="subscript"/>
        </w:rPr>
        <w:t>ox</w:t>
      </w:r>
      <w:proofErr w:type="spellEnd"/>
      <w:r w:rsidRPr="0025334E">
        <w:rPr>
          <w:rFonts w:asciiTheme="minorHAnsi" w:hAnsiTheme="minorHAnsi" w:cstheme="minorHAnsi"/>
          <w:spacing w:val="-5"/>
        </w:rPr>
        <w:t> with AIE, but not VIE, reflecting variations in structural and/or conformational reorganization upon ionization. These changes were further delineated </w:t>
      </w:r>
      <w:r w:rsidRPr="0025334E">
        <w:rPr>
          <w:rStyle w:val="Emphasis"/>
          <w:rFonts w:asciiTheme="minorHAnsi" w:eastAsiaTheme="majorEastAsia" w:hAnsiTheme="minorHAnsi" w:cstheme="minorHAnsi"/>
          <w:spacing w:val="-5"/>
        </w:rPr>
        <w:t>via</w:t>
      </w:r>
      <w:r w:rsidRPr="0025334E">
        <w:rPr>
          <w:rFonts w:asciiTheme="minorHAnsi" w:hAnsiTheme="minorHAnsi" w:cstheme="minorHAnsi"/>
          <w:spacing w:val="-5"/>
        </w:rPr>
        <w:t xml:space="preserve"> a detailed conformational analysis, using a combination of DFT calculations and experimental data. This analysis allowed us to pinpoint the extent of hole stabilization in various actuators </w:t>
      </w:r>
      <w:r w:rsidRPr="0025334E">
        <w:rPr>
          <w:rFonts w:asciiTheme="minorHAnsi" w:hAnsiTheme="minorHAnsi" w:cstheme="minorHAnsi"/>
          <w:spacing w:val="-5"/>
        </w:rPr>
        <w:lastRenderedPageBreak/>
        <w:t>and parse the reorganization energy into its various components, providing deeper insight into the mechanisms of actuation in these model compounds. Finally, we noted the importance of the intramolecular basis set superposition error in accurately predicting potential energy surfaces when π-stacked (</w:t>
      </w:r>
      <w:r w:rsidRPr="0025334E">
        <w:rPr>
          <w:rStyle w:val="Emphasis"/>
          <w:rFonts w:asciiTheme="minorHAnsi" w:eastAsiaTheme="majorEastAsia" w:hAnsiTheme="minorHAnsi" w:cstheme="minorHAnsi"/>
          <w:spacing w:val="-5"/>
        </w:rPr>
        <w:t>i.e.</w:t>
      </w:r>
      <w:r w:rsidRPr="0025334E">
        <w:rPr>
          <w:rFonts w:asciiTheme="minorHAnsi" w:hAnsiTheme="minorHAnsi" w:cstheme="minorHAnsi"/>
          <w:spacing w:val="-5"/>
        </w:rPr>
        <w:t>, closed) conformations are present. Overall, this study highlights the importance of a synergistic approach of experiment and theory in the study of ionization-induced conformational and structural reorganization.</w:t>
      </w:r>
    </w:p>
    <w:p w14:paraId="000800DB" w14:textId="77777777" w:rsidR="004B0BFF" w:rsidRPr="0025334E" w:rsidRDefault="004B0BFF" w:rsidP="003C402F">
      <w:pPr>
        <w:pStyle w:val="Heading1"/>
      </w:pPr>
      <w:r w:rsidRPr="0025334E">
        <w:rPr>
          <w:rStyle w:val="section-title"/>
          <w:rFonts w:asciiTheme="minorHAnsi" w:hAnsiTheme="minorHAnsi" w:cstheme="minorHAnsi"/>
          <w:color w:val="191919"/>
          <w:spacing w:val="-7"/>
          <w:sz w:val="33"/>
          <w:szCs w:val="33"/>
        </w:rPr>
        <w:t>Conflicts of interest</w:t>
      </w:r>
    </w:p>
    <w:p w14:paraId="4E158C27" w14:textId="77777777" w:rsidR="004B0BFF" w:rsidRPr="0025334E" w:rsidRDefault="004B0BFF" w:rsidP="004B0BFF">
      <w:pPr>
        <w:pStyle w:val="NormalWeb"/>
        <w:shd w:val="clear" w:color="auto" w:fill="FFFFFF"/>
        <w:spacing w:after="0" w:afterAutospacing="0"/>
        <w:rPr>
          <w:rFonts w:asciiTheme="minorHAnsi" w:hAnsiTheme="minorHAnsi" w:cstheme="minorHAnsi"/>
          <w:spacing w:val="-5"/>
        </w:rPr>
      </w:pPr>
      <w:r w:rsidRPr="0025334E">
        <w:rPr>
          <w:rFonts w:asciiTheme="minorHAnsi" w:hAnsiTheme="minorHAnsi" w:cstheme="minorHAnsi"/>
          <w:spacing w:val="-5"/>
        </w:rPr>
        <w:t>There are no conflicts to declare.</w:t>
      </w:r>
    </w:p>
    <w:p w14:paraId="2BAE8FA9" w14:textId="77777777" w:rsidR="004B0BFF" w:rsidRPr="0025334E" w:rsidRDefault="004B0BFF" w:rsidP="003C402F">
      <w:pPr>
        <w:pStyle w:val="Heading1"/>
      </w:pPr>
      <w:r w:rsidRPr="0025334E">
        <w:t>Acknowledgements</w:t>
      </w:r>
    </w:p>
    <w:p w14:paraId="62C9FF30" w14:textId="77777777" w:rsidR="004B0BFF" w:rsidRPr="0025334E" w:rsidRDefault="004B0BFF" w:rsidP="004B0BFF">
      <w:pPr>
        <w:pStyle w:val="NormalWeb"/>
        <w:shd w:val="clear" w:color="auto" w:fill="FFFFFF"/>
        <w:spacing w:after="0" w:afterAutospacing="0"/>
        <w:rPr>
          <w:rFonts w:asciiTheme="minorHAnsi" w:hAnsiTheme="minorHAnsi" w:cstheme="minorHAnsi"/>
          <w:spacing w:val="-5"/>
        </w:rPr>
      </w:pPr>
      <w:r w:rsidRPr="0025334E">
        <w:rPr>
          <w:rFonts w:asciiTheme="minorHAnsi" w:hAnsiTheme="minorHAnsi" w:cstheme="minorHAnsi"/>
          <w:spacing w:val="-5"/>
        </w:rPr>
        <w:t xml:space="preserve">We thank the NSF (CHE-1508677) and NIH (R01-HL112639-04) for financial support, Dr Nadine E. </w:t>
      </w:r>
      <w:proofErr w:type="spellStart"/>
      <w:r w:rsidRPr="0025334E">
        <w:rPr>
          <w:rFonts w:asciiTheme="minorHAnsi" w:hAnsiTheme="minorHAnsi" w:cstheme="minorHAnsi"/>
          <w:spacing w:val="-5"/>
        </w:rPr>
        <w:t>Gruhn</w:t>
      </w:r>
      <w:proofErr w:type="spellEnd"/>
      <w:r w:rsidRPr="0025334E">
        <w:rPr>
          <w:rFonts w:asciiTheme="minorHAnsi" w:hAnsiTheme="minorHAnsi" w:cstheme="minorHAnsi"/>
          <w:spacing w:val="-5"/>
        </w:rPr>
        <w:t xml:space="preserve"> for photoelectron spectroscopy and Prof. Qadir Timerghazin for helpful discussions. The calculations were performed on the high-performance computing cluster Père at Marquette University and the Extreme Science and Engineering Discovery Environment (XSEDE).</w:t>
      </w:r>
    </w:p>
    <w:p w14:paraId="7A4FC880" w14:textId="77777777" w:rsidR="004B0BFF" w:rsidRPr="0025334E" w:rsidRDefault="004B0BFF" w:rsidP="003C402F">
      <w:pPr>
        <w:pStyle w:val="Heading1"/>
      </w:pPr>
      <w:r w:rsidRPr="0025334E">
        <w:t>Notes and references</w:t>
      </w:r>
    </w:p>
    <w:p w14:paraId="61CBBE33" w14:textId="40A68F6A" w:rsidR="004B0BFF" w:rsidRPr="0025334E" w:rsidRDefault="004B0BFF" w:rsidP="004B0BFF">
      <w:pPr>
        <w:numPr>
          <w:ilvl w:val="0"/>
          <w:numId w:val="3"/>
        </w:numPr>
        <w:shd w:val="clear" w:color="auto" w:fill="FFFFFF"/>
        <w:spacing w:after="0" w:line="240" w:lineRule="auto"/>
        <w:ind w:left="360"/>
        <w:rPr>
          <w:rFonts w:cstheme="minorHAnsi"/>
          <w:spacing w:val="-5"/>
          <w:sz w:val="24"/>
          <w:szCs w:val="24"/>
        </w:rPr>
      </w:pPr>
      <w:r w:rsidRPr="0025334E">
        <w:rPr>
          <w:rFonts w:cstheme="minorHAnsi"/>
          <w:spacing w:val="-5"/>
        </w:rPr>
        <w:t xml:space="preserve">Z. </w:t>
      </w:r>
      <w:proofErr w:type="gramStart"/>
      <w:r w:rsidRPr="0025334E">
        <w:rPr>
          <w:rFonts w:cstheme="minorHAnsi"/>
          <w:spacing w:val="-5"/>
        </w:rPr>
        <w:t>Zheng ,</w:t>
      </w:r>
      <w:proofErr w:type="gramEnd"/>
      <w:r w:rsidRPr="0025334E">
        <w:rPr>
          <w:rFonts w:cstheme="minorHAnsi"/>
          <w:spacing w:val="-5"/>
        </w:rPr>
        <w:t xml:space="preserve"> N. R. </w:t>
      </w:r>
      <w:proofErr w:type="spellStart"/>
      <w:r w:rsidRPr="0025334E">
        <w:rPr>
          <w:rFonts w:cstheme="minorHAnsi"/>
          <w:spacing w:val="-5"/>
        </w:rPr>
        <w:t>Tummala</w:t>
      </w:r>
      <w:proofErr w:type="spellEnd"/>
      <w:r w:rsidRPr="0025334E">
        <w:rPr>
          <w:rFonts w:cstheme="minorHAnsi"/>
          <w:spacing w:val="-5"/>
        </w:rPr>
        <w:t xml:space="preserve"> , Y.-T. Fu , V. </w:t>
      </w:r>
      <w:proofErr w:type="spellStart"/>
      <w:r w:rsidRPr="0025334E">
        <w:rPr>
          <w:rFonts w:cstheme="minorHAnsi"/>
          <w:spacing w:val="-5"/>
        </w:rPr>
        <w:t>Coropceanu</w:t>
      </w:r>
      <w:proofErr w:type="spellEnd"/>
      <w:r w:rsidRPr="0025334E">
        <w:rPr>
          <w:rFonts w:cstheme="minorHAnsi"/>
          <w:spacing w:val="-5"/>
        </w:rPr>
        <w:t xml:space="preserve"> and J.-L. </w:t>
      </w:r>
      <w:proofErr w:type="spellStart"/>
      <w:r w:rsidRPr="0025334E">
        <w:rPr>
          <w:rFonts w:cstheme="minorHAnsi"/>
          <w:spacing w:val="-5"/>
        </w:rPr>
        <w:t>Brédas</w:t>
      </w:r>
      <w:proofErr w:type="spellEnd"/>
      <w:r w:rsidRPr="0025334E">
        <w:rPr>
          <w:rFonts w:cstheme="minorHAnsi"/>
          <w:spacing w:val="-5"/>
        </w:rPr>
        <w:t> , </w:t>
      </w:r>
      <w:r w:rsidRPr="0025334E">
        <w:rPr>
          <w:rStyle w:val="Emphasis"/>
          <w:rFonts w:cstheme="minorHAnsi"/>
          <w:spacing w:val="-5"/>
        </w:rPr>
        <w:t>ACS Appl. Mater. Interfaces</w:t>
      </w:r>
      <w:r w:rsidRPr="0025334E">
        <w:rPr>
          <w:rFonts w:cstheme="minorHAnsi"/>
          <w:spacing w:val="-5"/>
        </w:rPr>
        <w:t>, 2017, </w:t>
      </w:r>
      <w:proofErr w:type="gramStart"/>
      <w:r w:rsidRPr="0025334E">
        <w:rPr>
          <w:rStyle w:val="Strong"/>
          <w:rFonts w:cstheme="minorHAnsi"/>
          <w:spacing w:val="-5"/>
        </w:rPr>
        <w:t>9</w:t>
      </w:r>
      <w:r w:rsidRPr="0025334E">
        <w:rPr>
          <w:rFonts w:cstheme="minorHAnsi"/>
          <w:spacing w:val="-5"/>
        </w:rPr>
        <w:t> ,</w:t>
      </w:r>
      <w:proofErr w:type="gramEnd"/>
      <w:r w:rsidRPr="0025334E">
        <w:rPr>
          <w:rFonts w:cstheme="minorHAnsi"/>
          <w:spacing w:val="-5"/>
        </w:rPr>
        <w:t xml:space="preserve"> 18095 -18102 </w:t>
      </w:r>
    </w:p>
    <w:p w14:paraId="604C935A" w14:textId="50D8AA8D" w:rsidR="004B0BFF" w:rsidRPr="0025334E" w:rsidRDefault="004B0BFF" w:rsidP="004B0BFF">
      <w:pPr>
        <w:numPr>
          <w:ilvl w:val="0"/>
          <w:numId w:val="3"/>
        </w:numPr>
        <w:shd w:val="clear" w:color="auto" w:fill="FFFFFF"/>
        <w:spacing w:after="0" w:line="240" w:lineRule="auto"/>
        <w:ind w:left="360"/>
        <w:rPr>
          <w:rFonts w:cstheme="minorHAnsi"/>
          <w:spacing w:val="-5"/>
        </w:rPr>
      </w:pPr>
      <w:r w:rsidRPr="0025334E">
        <w:rPr>
          <w:rFonts w:cstheme="minorHAnsi"/>
          <w:spacing w:val="-5"/>
        </w:rPr>
        <w:t xml:space="preserve">D. B. </w:t>
      </w:r>
      <w:proofErr w:type="gramStart"/>
      <w:r w:rsidRPr="0025334E">
        <w:rPr>
          <w:rFonts w:cstheme="minorHAnsi"/>
          <w:spacing w:val="-5"/>
        </w:rPr>
        <w:t>Bucher ,</w:t>
      </w:r>
      <w:proofErr w:type="gramEnd"/>
      <w:r w:rsidRPr="0025334E">
        <w:rPr>
          <w:rFonts w:cstheme="minorHAnsi"/>
          <w:spacing w:val="-5"/>
        </w:rPr>
        <w:t xml:space="preserve"> B. M. </w:t>
      </w:r>
      <w:proofErr w:type="spellStart"/>
      <w:r w:rsidRPr="0025334E">
        <w:rPr>
          <w:rFonts w:cstheme="minorHAnsi"/>
          <w:spacing w:val="-5"/>
        </w:rPr>
        <w:t>Pilles</w:t>
      </w:r>
      <w:proofErr w:type="spellEnd"/>
      <w:r w:rsidRPr="0025334E">
        <w:rPr>
          <w:rFonts w:cstheme="minorHAnsi"/>
          <w:spacing w:val="-5"/>
        </w:rPr>
        <w:t> , T. Carell and W. Zinth , </w:t>
      </w:r>
      <w:r w:rsidRPr="0025334E">
        <w:rPr>
          <w:rStyle w:val="Emphasis"/>
          <w:rFonts w:cstheme="minorHAnsi"/>
          <w:spacing w:val="-5"/>
        </w:rPr>
        <w:t>Proc. Natl. Acad. Sci. U. S. A.</w:t>
      </w:r>
      <w:r w:rsidRPr="0025334E">
        <w:rPr>
          <w:rFonts w:cstheme="minorHAnsi"/>
          <w:spacing w:val="-5"/>
        </w:rPr>
        <w:t>, 2014, </w:t>
      </w:r>
      <w:r w:rsidRPr="0025334E">
        <w:rPr>
          <w:rStyle w:val="Strong"/>
          <w:rFonts w:cstheme="minorHAnsi"/>
          <w:spacing w:val="-5"/>
        </w:rPr>
        <w:t>111</w:t>
      </w:r>
      <w:r w:rsidRPr="0025334E">
        <w:rPr>
          <w:rFonts w:cstheme="minorHAnsi"/>
          <w:spacing w:val="-5"/>
        </w:rPr>
        <w:t> , 4369 -4374 </w:t>
      </w:r>
    </w:p>
    <w:p w14:paraId="74BDC1F4" w14:textId="2313C348" w:rsidR="004B0BFF" w:rsidRPr="0025334E" w:rsidRDefault="004B0BFF" w:rsidP="004B0BFF">
      <w:pPr>
        <w:numPr>
          <w:ilvl w:val="0"/>
          <w:numId w:val="3"/>
        </w:numPr>
        <w:shd w:val="clear" w:color="auto" w:fill="FFFFFF"/>
        <w:spacing w:after="0" w:line="240" w:lineRule="auto"/>
        <w:ind w:left="360"/>
        <w:rPr>
          <w:rFonts w:cstheme="minorHAnsi"/>
          <w:spacing w:val="-5"/>
        </w:rPr>
      </w:pPr>
      <w:r w:rsidRPr="0025334E">
        <w:rPr>
          <w:rFonts w:cstheme="minorHAnsi"/>
          <w:spacing w:val="-5"/>
        </w:rPr>
        <w:t xml:space="preserve">T. M. </w:t>
      </w:r>
      <w:proofErr w:type="gramStart"/>
      <w:r w:rsidRPr="0025334E">
        <w:rPr>
          <w:rFonts w:cstheme="minorHAnsi"/>
          <w:spacing w:val="-5"/>
        </w:rPr>
        <w:t>Wilson ,</w:t>
      </w:r>
      <w:proofErr w:type="gramEnd"/>
      <w:r w:rsidRPr="0025334E">
        <w:rPr>
          <w:rFonts w:cstheme="minorHAnsi"/>
          <w:spacing w:val="-5"/>
        </w:rPr>
        <w:t xml:space="preserve"> T. A. </w:t>
      </w:r>
      <w:proofErr w:type="spellStart"/>
      <w:r w:rsidRPr="0025334E">
        <w:rPr>
          <w:rFonts w:cstheme="minorHAnsi"/>
          <w:spacing w:val="-5"/>
        </w:rPr>
        <w:t>Zeidan</w:t>
      </w:r>
      <w:proofErr w:type="spellEnd"/>
      <w:r w:rsidRPr="0025334E">
        <w:rPr>
          <w:rFonts w:cstheme="minorHAnsi"/>
          <w:spacing w:val="-5"/>
        </w:rPr>
        <w:t xml:space="preserve"> , M. Hariharan , F. D. Lewis and M. R. </w:t>
      </w:r>
      <w:proofErr w:type="spellStart"/>
      <w:r w:rsidRPr="0025334E">
        <w:rPr>
          <w:rFonts w:cstheme="minorHAnsi"/>
          <w:spacing w:val="-5"/>
        </w:rPr>
        <w:t>Wasielewski</w:t>
      </w:r>
      <w:proofErr w:type="spellEnd"/>
      <w:r w:rsidRPr="0025334E">
        <w:rPr>
          <w:rFonts w:cstheme="minorHAnsi"/>
          <w:spacing w:val="-5"/>
        </w:rPr>
        <w:t> , </w:t>
      </w:r>
      <w:proofErr w:type="spellStart"/>
      <w:r w:rsidRPr="0025334E">
        <w:rPr>
          <w:rStyle w:val="Emphasis"/>
          <w:rFonts w:cstheme="minorHAnsi"/>
          <w:spacing w:val="-5"/>
        </w:rPr>
        <w:t>Angew</w:t>
      </w:r>
      <w:proofErr w:type="spellEnd"/>
      <w:r w:rsidRPr="0025334E">
        <w:rPr>
          <w:rStyle w:val="Emphasis"/>
          <w:rFonts w:cstheme="minorHAnsi"/>
          <w:spacing w:val="-5"/>
        </w:rPr>
        <w:t>. Chem., Int. Ed. Engl.</w:t>
      </w:r>
      <w:r w:rsidRPr="0025334E">
        <w:rPr>
          <w:rFonts w:cstheme="minorHAnsi"/>
          <w:spacing w:val="-5"/>
        </w:rPr>
        <w:t>, 2010, </w:t>
      </w:r>
      <w:proofErr w:type="gramStart"/>
      <w:r w:rsidRPr="0025334E">
        <w:rPr>
          <w:rStyle w:val="Strong"/>
          <w:rFonts w:cstheme="minorHAnsi"/>
          <w:spacing w:val="-5"/>
        </w:rPr>
        <w:t>49</w:t>
      </w:r>
      <w:r w:rsidRPr="0025334E">
        <w:rPr>
          <w:rFonts w:cstheme="minorHAnsi"/>
          <w:spacing w:val="-5"/>
        </w:rPr>
        <w:t> ,</w:t>
      </w:r>
      <w:proofErr w:type="gramEnd"/>
      <w:r w:rsidRPr="0025334E">
        <w:rPr>
          <w:rFonts w:cstheme="minorHAnsi"/>
          <w:spacing w:val="-5"/>
        </w:rPr>
        <w:t xml:space="preserve"> 2385 -2388 </w:t>
      </w:r>
    </w:p>
    <w:p w14:paraId="2EC69AD0" w14:textId="483775C0" w:rsidR="004B0BFF" w:rsidRPr="0025334E" w:rsidRDefault="004B0BFF" w:rsidP="004B0BFF">
      <w:pPr>
        <w:numPr>
          <w:ilvl w:val="0"/>
          <w:numId w:val="3"/>
        </w:numPr>
        <w:shd w:val="clear" w:color="auto" w:fill="FFFFFF"/>
        <w:spacing w:after="0" w:line="240" w:lineRule="auto"/>
        <w:ind w:left="360"/>
        <w:rPr>
          <w:rFonts w:cstheme="minorHAnsi"/>
          <w:spacing w:val="-5"/>
        </w:rPr>
      </w:pPr>
      <w:r w:rsidRPr="0025334E">
        <w:rPr>
          <w:rFonts w:cstheme="minorHAnsi"/>
          <w:spacing w:val="-5"/>
        </w:rPr>
        <w:t xml:space="preserve">J. </w:t>
      </w:r>
      <w:proofErr w:type="gramStart"/>
      <w:r w:rsidRPr="0025334E">
        <w:rPr>
          <w:rFonts w:cstheme="minorHAnsi"/>
          <w:spacing w:val="-5"/>
        </w:rPr>
        <w:t>Casado ,</w:t>
      </w:r>
      <w:proofErr w:type="gramEnd"/>
      <w:r w:rsidRPr="0025334E">
        <w:rPr>
          <w:rFonts w:cstheme="minorHAnsi"/>
          <w:spacing w:val="-5"/>
        </w:rPr>
        <w:t xml:space="preserve"> K. </w:t>
      </w:r>
      <w:proofErr w:type="spellStart"/>
      <w:r w:rsidRPr="0025334E">
        <w:rPr>
          <w:rFonts w:cstheme="minorHAnsi"/>
          <w:spacing w:val="-5"/>
        </w:rPr>
        <w:t>Takimiya</w:t>
      </w:r>
      <w:proofErr w:type="spellEnd"/>
      <w:r w:rsidRPr="0025334E">
        <w:rPr>
          <w:rFonts w:cstheme="minorHAnsi"/>
          <w:spacing w:val="-5"/>
        </w:rPr>
        <w:t xml:space="preserve"> , T. </w:t>
      </w:r>
      <w:proofErr w:type="spellStart"/>
      <w:r w:rsidRPr="0025334E">
        <w:rPr>
          <w:rFonts w:cstheme="minorHAnsi"/>
          <w:spacing w:val="-5"/>
        </w:rPr>
        <w:t>Otsubo</w:t>
      </w:r>
      <w:proofErr w:type="spellEnd"/>
      <w:r w:rsidRPr="0025334E">
        <w:rPr>
          <w:rFonts w:cstheme="minorHAnsi"/>
          <w:spacing w:val="-5"/>
        </w:rPr>
        <w:t xml:space="preserve"> , F. J. Ramírez , J. J. </w:t>
      </w:r>
      <w:proofErr w:type="spellStart"/>
      <w:r w:rsidRPr="0025334E">
        <w:rPr>
          <w:rFonts w:cstheme="minorHAnsi"/>
          <w:spacing w:val="-5"/>
        </w:rPr>
        <w:t>Quirante</w:t>
      </w:r>
      <w:proofErr w:type="spellEnd"/>
      <w:r w:rsidRPr="0025334E">
        <w:rPr>
          <w:rFonts w:cstheme="minorHAnsi"/>
          <w:spacing w:val="-5"/>
        </w:rPr>
        <w:t> , R. Ponce Ortiz , S. R. González , M. Moreno Oliva and J. T. López Navarrete , </w:t>
      </w:r>
      <w:r w:rsidRPr="0025334E">
        <w:rPr>
          <w:rStyle w:val="Emphasis"/>
          <w:rFonts w:cstheme="minorHAnsi"/>
          <w:spacing w:val="-5"/>
        </w:rPr>
        <w:t>J. Am. Chem. Soc.</w:t>
      </w:r>
      <w:r w:rsidRPr="0025334E">
        <w:rPr>
          <w:rFonts w:cstheme="minorHAnsi"/>
          <w:spacing w:val="-5"/>
        </w:rPr>
        <w:t>, 2008, </w:t>
      </w:r>
      <w:r w:rsidRPr="0025334E">
        <w:rPr>
          <w:rStyle w:val="Strong"/>
          <w:rFonts w:cstheme="minorHAnsi"/>
          <w:spacing w:val="-5"/>
        </w:rPr>
        <w:t>130</w:t>
      </w:r>
      <w:r w:rsidRPr="0025334E">
        <w:rPr>
          <w:rFonts w:cstheme="minorHAnsi"/>
          <w:spacing w:val="-5"/>
        </w:rPr>
        <w:t> , 14028 -14029 </w:t>
      </w:r>
    </w:p>
    <w:p w14:paraId="142DEA11" w14:textId="12AD235D" w:rsidR="004B0BFF" w:rsidRPr="0025334E" w:rsidRDefault="004B0BFF" w:rsidP="004B0BFF">
      <w:pPr>
        <w:numPr>
          <w:ilvl w:val="0"/>
          <w:numId w:val="3"/>
        </w:numPr>
        <w:shd w:val="clear" w:color="auto" w:fill="FFFFFF"/>
        <w:spacing w:after="0" w:line="240" w:lineRule="auto"/>
        <w:ind w:left="360"/>
        <w:rPr>
          <w:rFonts w:cstheme="minorHAnsi"/>
          <w:spacing w:val="-5"/>
        </w:rPr>
      </w:pPr>
      <w:r w:rsidRPr="0025334E">
        <w:rPr>
          <w:rFonts w:cstheme="minorHAnsi"/>
          <w:spacing w:val="-5"/>
        </w:rPr>
        <w:t xml:space="preserve">G. C. </w:t>
      </w:r>
      <w:proofErr w:type="gramStart"/>
      <w:r w:rsidRPr="0025334E">
        <w:rPr>
          <w:rFonts w:cstheme="minorHAnsi"/>
          <w:spacing w:val="-5"/>
        </w:rPr>
        <w:t>Solomon ,</w:t>
      </w:r>
      <w:proofErr w:type="gramEnd"/>
      <w:r w:rsidRPr="0025334E">
        <w:rPr>
          <w:rFonts w:cstheme="minorHAnsi"/>
          <w:spacing w:val="-5"/>
        </w:rPr>
        <w:t xml:space="preserve"> C. Herrmann , J. </w:t>
      </w:r>
      <w:proofErr w:type="spellStart"/>
      <w:r w:rsidRPr="0025334E">
        <w:rPr>
          <w:rFonts w:cstheme="minorHAnsi"/>
          <w:spacing w:val="-5"/>
        </w:rPr>
        <w:t>Vura</w:t>
      </w:r>
      <w:proofErr w:type="spellEnd"/>
      <w:r w:rsidRPr="0025334E">
        <w:rPr>
          <w:rFonts w:cstheme="minorHAnsi"/>
          <w:spacing w:val="-5"/>
        </w:rPr>
        <w:t xml:space="preserve">-Weis , M. R. </w:t>
      </w:r>
      <w:proofErr w:type="spellStart"/>
      <w:r w:rsidRPr="0025334E">
        <w:rPr>
          <w:rFonts w:cstheme="minorHAnsi"/>
          <w:spacing w:val="-5"/>
        </w:rPr>
        <w:t>Wasielewski</w:t>
      </w:r>
      <w:proofErr w:type="spellEnd"/>
      <w:r w:rsidRPr="0025334E">
        <w:rPr>
          <w:rFonts w:cstheme="minorHAnsi"/>
          <w:spacing w:val="-5"/>
        </w:rPr>
        <w:t> and M. A. Ratner , </w:t>
      </w:r>
      <w:r w:rsidRPr="0025334E">
        <w:rPr>
          <w:rStyle w:val="Emphasis"/>
          <w:rFonts w:cstheme="minorHAnsi"/>
          <w:spacing w:val="-5"/>
        </w:rPr>
        <w:t>J. Am. Chem. Soc.</w:t>
      </w:r>
      <w:r w:rsidRPr="0025334E">
        <w:rPr>
          <w:rFonts w:cstheme="minorHAnsi"/>
          <w:spacing w:val="-5"/>
        </w:rPr>
        <w:t>, 2010, </w:t>
      </w:r>
      <w:r w:rsidRPr="0025334E">
        <w:rPr>
          <w:rStyle w:val="Strong"/>
          <w:rFonts w:cstheme="minorHAnsi"/>
          <w:spacing w:val="-5"/>
        </w:rPr>
        <w:t>132</w:t>
      </w:r>
      <w:r w:rsidRPr="0025334E">
        <w:rPr>
          <w:rFonts w:cstheme="minorHAnsi"/>
          <w:spacing w:val="-5"/>
        </w:rPr>
        <w:t> , 7887 -7889 </w:t>
      </w:r>
    </w:p>
    <w:p w14:paraId="4079531C" w14:textId="17326DBF" w:rsidR="004B0BFF" w:rsidRPr="0025334E" w:rsidRDefault="004B0BFF" w:rsidP="004B0BFF">
      <w:pPr>
        <w:numPr>
          <w:ilvl w:val="0"/>
          <w:numId w:val="3"/>
        </w:numPr>
        <w:shd w:val="clear" w:color="auto" w:fill="FFFFFF"/>
        <w:spacing w:after="0" w:line="240" w:lineRule="auto"/>
        <w:ind w:left="360"/>
        <w:rPr>
          <w:rFonts w:cstheme="minorHAnsi"/>
          <w:spacing w:val="-5"/>
        </w:rPr>
      </w:pPr>
      <w:r w:rsidRPr="0025334E">
        <w:rPr>
          <w:rFonts w:cstheme="minorHAnsi"/>
          <w:spacing w:val="-5"/>
        </w:rPr>
        <w:t xml:space="preserve">M. V. </w:t>
      </w:r>
      <w:proofErr w:type="gramStart"/>
      <w:r w:rsidRPr="0025334E">
        <w:rPr>
          <w:rFonts w:cstheme="minorHAnsi"/>
          <w:spacing w:val="-5"/>
        </w:rPr>
        <w:t>Ivanov ,</w:t>
      </w:r>
      <w:proofErr w:type="gramEnd"/>
      <w:r w:rsidRPr="0025334E">
        <w:rPr>
          <w:rFonts w:cstheme="minorHAnsi"/>
          <w:spacing w:val="-5"/>
        </w:rPr>
        <w:t xml:space="preserve"> N. J. Reilly , B. </w:t>
      </w:r>
      <w:proofErr w:type="spellStart"/>
      <w:r w:rsidRPr="0025334E">
        <w:rPr>
          <w:rFonts w:cstheme="minorHAnsi"/>
          <w:spacing w:val="-5"/>
        </w:rPr>
        <w:t>Uhler</w:t>
      </w:r>
      <w:proofErr w:type="spellEnd"/>
      <w:r w:rsidRPr="0025334E">
        <w:rPr>
          <w:rFonts w:cstheme="minorHAnsi"/>
          <w:spacing w:val="-5"/>
        </w:rPr>
        <w:t xml:space="preserve"> , D. </w:t>
      </w:r>
      <w:proofErr w:type="spellStart"/>
      <w:r w:rsidRPr="0025334E">
        <w:rPr>
          <w:rFonts w:cstheme="minorHAnsi"/>
          <w:spacing w:val="-5"/>
        </w:rPr>
        <w:t>Kokkin</w:t>
      </w:r>
      <w:proofErr w:type="spellEnd"/>
      <w:r w:rsidRPr="0025334E">
        <w:rPr>
          <w:rFonts w:cstheme="minorHAnsi"/>
          <w:spacing w:val="-5"/>
        </w:rPr>
        <w:t> , R. Rathore and S. A. Reid , </w:t>
      </w:r>
      <w:r w:rsidRPr="0025334E">
        <w:rPr>
          <w:rStyle w:val="Emphasis"/>
          <w:rFonts w:cstheme="minorHAnsi"/>
          <w:spacing w:val="-5"/>
        </w:rPr>
        <w:t>J. Phys. Chem. Lett.</w:t>
      </w:r>
      <w:r w:rsidRPr="0025334E">
        <w:rPr>
          <w:rFonts w:cstheme="minorHAnsi"/>
          <w:spacing w:val="-5"/>
        </w:rPr>
        <w:t>, 2017, </w:t>
      </w:r>
      <w:r w:rsidRPr="0025334E">
        <w:rPr>
          <w:rStyle w:val="Strong"/>
          <w:rFonts w:cstheme="minorHAnsi"/>
          <w:spacing w:val="-5"/>
        </w:rPr>
        <w:t>8</w:t>
      </w:r>
      <w:r w:rsidRPr="0025334E">
        <w:rPr>
          <w:rFonts w:cstheme="minorHAnsi"/>
          <w:spacing w:val="-5"/>
        </w:rPr>
        <w:t> , 5272 -5276 </w:t>
      </w:r>
    </w:p>
    <w:p w14:paraId="09763736" w14:textId="04A8EC64" w:rsidR="004B0BFF" w:rsidRPr="0025334E" w:rsidRDefault="004B0BFF" w:rsidP="004B0BFF">
      <w:pPr>
        <w:numPr>
          <w:ilvl w:val="0"/>
          <w:numId w:val="3"/>
        </w:numPr>
        <w:shd w:val="clear" w:color="auto" w:fill="FFFFFF"/>
        <w:spacing w:after="0" w:line="240" w:lineRule="auto"/>
        <w:ind w:left="360"/>
        <w:rPr>
          <w:rFonts w:cstheme="minorHAnsi"/>
          <w:spacing w:val="-5"/>
        </w:rPr>
      </w:pPr>
      <w:r w:rsidRPr="0025334E">
        <w:rPr>
          <w:rFonts w:cstheme="minorHAnsi"/>
          <w:spacing w:val="-5"/>
        </w:rPr>
        <w:t xml:space="preserve">T. S. </w:t>
      </w:r>
      <w:proofErr w:type="spellStart"/>
      <w:proofErr w:type="gramStart"/>
      <w:r w:rsidRPr="0025334E">
        <w:rPr>
          <w:rFonts w:cstheme="minorHAnsi"/>
          <w:spacing w:val="-5"/>
        </w:rPr>
        <w:t>Navale</w:t>
      </w:r>
      <w:proofErr w:type="spellEnd"/>
      <w:r w:rsidRPr="0025334E">
        <w:rPr>
          <w:rFonts w:cstheme="minorHAnsi"/>
          <w:spacing w:val="-5"/>
        </w:rPr>
        <w:t> ,</w:t>
      </w:r>
      <w:proofErr w:type="gramEnd"/>
      <w:r w:rsidRPr="0025334E">
        <w:rPr>
          <w:rFonts w:cstheme="minorHAnsi"/>
          <w:spacing w:val="-5"/>
        </w:rPr>
        <w:t xml:space="preserve"> K. Thakur , V. S. Vyas , S. H. </w:t>
      </w:r>
      <w:proofErr w:type="spellStart"/>
      <w:r w:rsidRPr="0025334E">
        <w:rPr>
          <w:rFonts w:cstheme="minorHAnsi"/>
          <w:spacing w:val="-5"/>
        </w:rPr>
        <w:t>Wadumethrige</w:t>
      </w:r>
      <w:proofErr w:type="spellEnd"/>
      <w:r w:rsidRPr="0025334E">
        <w:rPr>
          <w:rFonts w:cstheme="minorHAnsi"/>
          <w:spacing w:val="-5"/>
        </w:rPr>
        <w:t> , R. Shukla , S. V. Lindeman and R. Rathore , </w:t>
      </w:r>
      <w:r w:rsidRPr="0025334E">
        <w:rPr>
          <w:rStyle w:val="Emphasis"/>
          <w:rFonts w:cstheme="minorHAnsi"/>
          <w:spacing w:val="-5"/>
        </w:rPr>
        <w:t>Langmuir</w:t>
      </w:r>
      <w:r w:rsidRPr="0025334E">
        <w:rPr>
          <w:rFonts w:cstheme="minorHAnsi"/>
          <w:spacing w:val="-5"/>
        </w:rPr>
        <w:t>, 2012, </w:t>
      </w:r>
      <w:r w:rsidRPr="0025334E">
        <w:rPr>
          <w:rStyle w:val="Strong"/>
          <w:rFonts w:cstheme="minorHAnsi"/>
          <w:spacing w:val="-5"/>
        </w:rPr>
        <w:t>28</w:t>
      </w:r>
      <w:r w:rsidRPr="0025334E">
        <w:rPr>
          <w:rFonts w:cstheme="minorHAnsi"/>
          <w:spacing w:val="-5"/>
        </w:rPr>
        <w:t> , 71 -83 </w:t>
      </w:r>
    </w:p>
    <w:p w14:paraId="1730C486" w14:textId="5F816E0D" w:rsidR="004B0BFF" w:rsidRPr="0025334E" w:rsidRDefault="004B0BFF" w:rsidP="004B0BFF">
      <w:pPr>
        <w:numPr>
          <w:ilvl w:val="0"/>
          <w:numId w:val="3"/>
        </w:numPr>
        <w:shd w:val="clear" w:color="auto" w:fill="FFFFFF"/>
        <w:spacing w:after="0" w:line="240" w:lineRule="auto"/>
        <w:ind w:left="360"/>
        <w:rPr>
          <w:rFonts w:cstheme="minorHAnsi"/>
          <w:spacing w:val="-5"/>
        </w:rPr>
      </w:pPr>
      <w:r w:rsidRPr="0025334E">
        <w:rPr>
          <w:rFonts w:cstheme="minorHAnsi"/>
          <w:spacing w:val="-5"/>
        </w:rPr>
        <w:t xml:space="preserve">A. A. </w:t>
      </w:r>
      <w:proofErr w:type="spellStart"/>
      <w:r w:rsidRPr="0025334E">
        <w:rPr>
          <w:rFonts w:cstheme="minorHAnsi"/>
          <w:spacing w:val="-5"/>
        </w:rPr>
        <w:t>Zadorozhnaya</w:t>
      </w:r>
      <w:proofErr w:type="spellEnd"/>
      <w:r w:rsidRPr="0025334E">
        <w:rPr>
          <w:rFonts w:cstheme="minorHAnsi"/>
          <w:spacing w:val="-5"/>
        </w:rPr>
        <w:t xml:space="preserve"> and A. I. </w:t>
      </w:r>
      <w:proofErr w:type="spellStart"/>
      <w:proofErr w:type="gramStart"/>
      <w:r w:rsidRPr="0025334E">
        <w:rPr>
          <w:rFonts w:cstheme="minorHAnsi"/>
          <w:spacing w:val="-5"/>
        </w:rPr>
        <w:t>Krylov</w:t>
      </w:r>
      <w:proofErr w:type="spellEnd"/>
      <w:r w:rsidRPr="0025334E">
        <w:rPr>
          <w:rFonts w:cstheme="minorHAnsi"/>
          <w:spacing w:val="-5"/>
        </w:rPr>
        <w:t> ,</w:t>
      </w:r>
      <w:proofErr w:type="gramEnd"/>
      <w:r w:rsidRPr="0025334E">
        <w:rPr>
          <w:rFonts w:cstheme="minorHAnsi"/>
          <w:spacing w:val="-5"/>
        </w:rPr>
        <w:t> </w:t>
      </w:r>
      <w:r w:rsidRPr="0025334E">
        <w:rPr>
          <w:rStyle w:val="Emphasis"/>
          <w:rFonts w:cstheme="minorHAnsi"/>
          <w:spacing w:val="-5"/>
        </w:rPr>
        <w:t xml:space="preserve">J. Chem. Theory </w:t>
      </w:r>
      <w:proofErr w:type="spellStart"/>
      <w:r w:rsidRPr="0025334E">
        <w:rPr>
          <w:rStyle w:val="Emphasis"/>
          <w:rFonts w:cstheme="minorHAnsi"/>
          <w:spacing w:val="-5"/>
        </w:rPr>
        <w:t>Comput</w:t>
      </w:r>
      <w:proofErr w:type="spellEnd"/>
      <w:r w:rsidRPr="0025334E">
        <w:rPr>
          <w:rStyle w:val="Emphasis"/>
          <w:rFonts w:cstheme="minorHAnsi"/>
          <w:spacing w:val="-5"/>
        </w:rPr>
        <w:t>.</w:t>
      </w:r>
      <w:r w:rsidRPr="0025334E">
        <w:rPr>
          <w:rFonts w:cstheme="minorHAnsi"/>
          <w:spacing w:val="-5"/>
        </w:rPr>
        <w:t>, 2010, </w:t>
      </w:r>
      <w:r w:rsidRPr="0025334E">
        <w:rPr>
          <w:rStyle w:val="Strong"/>
          <w:rFonts w:cstheme="minorHAnsi"/>
          <w:spacing w:val="-5"/>
        </w:rPr>
        <w:t>6</w:t>
      </w:r>
      <w:r w:rsidRPr="0025334E">
        <w:rPr>
          <w:rFonts w:cstheme="minorHAnsi"/>
          <w:spacing w:val="-5"/>
        </w:rPr>
        <w:t> , 705 -717 </w:t>
      </w:r>
    </w:p>
    <w:p w14:paraId="44EFFB1B" w14:textId="0367CBA2" w:rsidR="004B0BFF" w:rsidRPr="0025334E" w:rsidRDefault="004B0BFF" w:rsidP="004B0BFF">
      <w:pPr>
        <w:numPr>
          <w:ilvl w:val="0"/>
          <w:numId w:val="3"/>
        </w:numPr>
        <w:shd w:val="clear" w:color="auto" w:fill="FFFFFF"/>
        <w:spacing w:after="0" w:line="240" w:lineRule="auto"/>
        <w:ind w:left="360"/>
        <w:rPr>
          <w:rFonts w:cstheme="minorHAnsi"/>
          <w:spacing w:val="-5"/>
        </w:rPr>
      </w:pPr>
      <w:r w:rsidRPr="0025334E">
        <w:rPr>
          <w:rFonts w:cstheme="minorHAnsi"/>
          <w:spacing w:val="-5"/>
        </w:rPr>
        <w:t xml:space="preserve">K. B. </w:t>
      </w:r>
      <w:proofErr w:type="spellStart"/>
      <w:proofErr w:type="gramStart"/>
      <w:r w:rsidRPr="0025334E">
        <w:rPr>
          <w:rFonts w:cstheme="minorHAnsi"/>
          <w:spacing w:val="-5"/>
        </w:rPr>
        <w:t>Bravaya</w:t>
      </w:r>
      <w:proofErr w:type="spellEnd"/>
      <w:r w:rsidRPr="0025334E">
        <w:rPr>
          <w:rFonts w:cstheme="minorHAnsi"/>
          <w:spacing w:val="-5"/>
        </w:rPr>
        <w:t> ,</w:t>
      </w:r>
      <w:proofErr w:type="gramEnd"/>
      <w:r w:rsidRPr="0025334E">
        <w:rPr>
          <w:rFonts w:cstheme="minorHAnsi"/>
          <w:spacing w:val="-5"/>
        </w:rPr>
        <w:t xml:space="preserve"> O. </w:t>
      </w:r>
      <w:proofErr w:type="spellStart"/>
      <w:r w:rsidRPr="0025334E">
        <w:rPr>
          <w:rFonts w:cstheme="minorHAnsi"/>
          <w:spacing w:val="-5"/>
        </w:rPr>
        <w:t>Kostko</w:t>
      </w:r>
      <w:proofErr w:type="spellEnd"/>
      <w:r w:rsidRPr="0025334E">
        <w:rPr>
          <w:rFonts w:cstheme="minorHAnsi"/>
          <w:spacing w:val="-5"/>
        </w:rPr>
        <w:t xml:space="preserve"> , M. Ahmed and A. I. </w:t>
      </w:r>
      <w:proofErr w:type="spellStart"/>
      <w:r w:rsidRPr="0025334E">
        <w:rPr>
          <w:rFonts w:cstheme="minorHAnsi"/>
          <w:spacing w:val="-5"/>
        </w:rPr>
        <w:t>Krylov</w:t>
      </w:r>
      <w:proofErr w:type="spellEnd"/>
      <w:r w:rsidRPr="0025334E">
        <w:rPr>
          <w:rFonts w:cstheme="minorHAnsi"/>
          <w:spacing w:val="-5"/>
        </w:rPr>
        <w:t> , </w:t>
      </w:r>
      <w:r w:rsidRPr="0025334E">
        <w:rPr>
          <w:rStyle w:val="Emphasis"/>
          <w:rFonts w:cstheme="minorHAnsi"/>
          <w:spacing w:val="-5"/>
        </w:rPr>
        <w:t>Phys. Chem. Chem. Phys.</w:t>
      </w:r>
      <w:r w:rsidRPr="0025334E">
        <w:rPr>
          <w:rFonts w:cstheme="minorHAnsi"/>
          <w:spacing w:val="-5"/>
        </w:rPr>
        <w:t>, 2010, </w:t>
      </w:r>
      <w:r w:rsidRPr="0025334E">
        <w:rPr>
          <w:rStyle w:val="Strong"/>
          <w:rFonts w:cstheme="minorHAnsi"/>
          <w:spacing w:val="-5"/>
        </w:rPr>
        <w:t>12</w:t>
      </w:r>
      <w:r w:rsidRPr="0025334E">
        <w:rPr>
          <w:rFonts w:cstheme="minorHAnsi"/>
          <w:spacing w:val="-5"/>
        </w:rPr>
        <w:t> , 2292 -2307 </w:t>
      </w:r>
    </w:p>
    <w:p w14:paraId="45811E03" w14:textId="3FFBB056" w:rsidR="004B0BFF" w:rsidRPr="0025334E" w:rsidRDefault="004B0BFF" w:rsidP="004B0BFF">
      <w:pPr>
        <w:numPr>
          <w:ilvl w:val="0"/>
          <w:numId w:val="3"/>
        </w:numPr>
        <w:shd w:val="clear" w:color="auto" w:fill="FFFFFF"/>
        <w:spacing w:after="0" w:line="240" w:lineRule="auto"/>
        <w:ind w:left="360"/>
        <w:rPr>
          <w:rFonts w:cstheme="minorHAnsi"/>
          <w:spacing w:val="-5"/>
        </w:rPr>
      </w:pPr>
      <w:r w:rsidRPr="0025334E">
        <w:rPr>
          <w:rFonts w:cstheme="minorHAnsi"/>
          <w:spacing w:val="-5"/>
        </w:rPr>
        <w:t xml:space="preserve">R. </w:t>
      </w:r>
      <w:proofErr w:type="gramStart"/>
      <w:r w:rsidRPr="0025334E">
        <w:rPr>
          <w:rFonts w:cstheme="minorHAnsi"/>
          <w:spacing w:val="-5"/>
        </w:rPr>
        <w:t>Shukla ,</w:t>
      </w:r>
      <w:proofErr w:type="gramEnd"/>
      <w:r w:rsidRPr="0025334E">
        <w:rPr>
          <w:rFonts w:cstheme="minorHAnsi"/>
          <w:spacing w:val="-5"/>
        </w:rPr>
        <w:t xml:space="preserve"> K. Thakur , V. J. </w:t>
      </w:r>
      <w:proofErr w:type="spellStart"/>
      <w:r w:rsidRPr="0025334E">
        <w:rPr>
          <w:rFonts w:cstheme="minorHAnsi"/>
          <w:spacing w:val="-5"/>
        </w:rPr>
        <w:t>Chebny</w:t>
      </w:r>
      <w:proofErr w:type="spellEnd"/>
      <w:r w:rsidRPr="0025334E">
        <w:rPr>
          <w:rFonts w:cstheme="minorHAnsi"/>
          <w:spacing w:val="-5"/>
        </w:rPr>
        <w:t> , S. A. Reid and R. Rathore , </w:t>
      </w:r>
      <w:r w:rsidRPr="0025334E">
        <w:rPr>
          <w:rStyle w:val="Emphasis"/>
          <w:rFonts w:cstheme="minorHAnsi"/>
          <w:spacing w:val="-5"/>
        </w:rPr>
        <w:t>J. Phys. Chem. B</w:t>
      </w:r>
      <w:r w:rsidRPr="0025334E">
        <w:rPr>
          <w:rFonts w:cstheme="minorHAnsi"/>
          <w:spacing w:val="-5"/>
        </w:rPr>
        <w:t>, 2010, </w:t>
      </w:r>
      <w:r w:rsidRPr="0025334E">
        <w:rPr>
          <w:rStyle w:val="Strong"/>
          <w:rFonts w:cstheme="minorHAnsi"/>
          <w:spacing w:val="-5"/>
        </w:rPr>
        <w:t>114</w:t>
      </w:r>
      <w:r w:rsidRPr="0025334E">
        <w:rPr>
          <w:rFonts w:cstheme="minorHAnsi"/>
          <w:spacing w:val="-5"/>
        </w:rPr>
        <w:t> , 14592 -14595 </w:t>
      </w:r>
    </w:p>
    <w:p w14:paraId="056945D1" w14:textId="35A8ACB5" w:rsidR="004B0BFF" w:rsidRPr="0025334E" w:rsidRDefault="004B0BFF" w:rsidP="004B0BFF">
      <w:pPr>
        <w:numPr>
          <w:ilvl w:val="0"/>
          <w:numId w:val="3"/>
        </w:numPr>
        <w:shd w:val="clear" w:color="auto" w:fill="FFFFFF"/>
        <w:spacing w:after="0" w:line="240" w:lineRule="auto"/>
        <w:ind w:left="360"/>
        <w:rPr>
          <w:rFonts w:cstheme="minorHAnsi"/>
          <w:spacing w:val="-5"/>
        </w:rPr>
      </w:pPr>
      <w:r w:rsidRPr="0025334E">
        <w:rPr>
          <w:rFonts w:cstheme="minorHAnsi"/>
          <w:spacing w:val="-5"/>
        </w:rPr>
        <w:t xml:space="preserve">V. J. </w:t>
      </w:r>
      <w:proofErr w:type="spellStart"/>
      <w:proofErr w:type="gramStart"/>
      <w:r w:rsidRPr="0025334E">
        <w:rPr>
          <w:rFonts w:cstheme="minorHAnsi"/>
          <w:spacing w:val="-5"/>
        </w:rPr>
        <w:t>Chebny</w:t>
      </w:r>
      <w:proofErr w:type="spellEnd"/>
      <w:r w:rsidRPr="0025334E">
        <w:rPr>
          <w:rFonts w:cstheme="minorHAnsi"/>
          <w:spacing w:val="-5"/>
        </w:rPr>
        <w:t> ,</w:t>
      </w:r>
      <w:proofErr w:type="gramEnd"/>
      <w:r w:rsidRPr="0025334E">
        <w:rPr>
          <w:rFonts w:cstheme="minorHAnsi"/>
          <w:spacing w:val="-5"/>
        </w:rPr>
        <w:t> R. Shukla , S. V. Lindeman and R. Rathore , </w:t>
      </w:r>
      <w:r w:rsidRPr="0025334E">
        <w:rPr>
          <w:rStyle w:val="Emphasis"/>
          <w:rFonts w:cstheme="minorHAnsi"/>
          <w:spacing w:val="-5"/>
        </w:rPr>
        <w:t>Org. Lett.</w:t>
      </w:r>
      <w:r w:rsidRPr="0025334E">
        <w:rPr>
          <w:rFonts w:cstheme="minorHAnsi"/>
          <w:spacing w:val="-5"/>
        </w:rPr>
        <w:t>, 2009, </w:t>
      </w:r>
      <w:r w:rsidRPr="0025334E">
        <w:rPr>
          <w:rStyle w:val="Strong"/>
          <w:rFonts w:cstheme="minorHAnsi"/>
          <w:spacing w:val="-5"/>
        </w:rPr>
        <w:t>11</w:t>
      </w:r>
      <w:r w:rsidRPr="0025334E">
        <w:rPr>
          <w:rFonts w:cstheme="minorHAnsi"/>
          <w:spacing w:val="-5"/>
        </w:rPr>
        <w:t> , 1939 -1942 </w:t>
      </w:r>
    </w:p>
    <w:p w14:paraId="32A8058B" w14:textId="22F670F3" w:rsidR="004B0BFF" w:rsidRPr="0025334E" w:rsidRDefault="004B0BFF" w:rsidP="004B0BFF">
      <w:pPr>
        <w:numPr>
          <w:ilvl w:val="0"/>
          <w:numId w:val="3"/>
        </w:numPr>
        <w:shd w:val="clear" w:color="auto" w:fill="FFFFFF"/>
        <w:spacing w:after="0" w:line="240" w:lineRule="auto"/>
        <w:ind w:left="360"/>
        <w:rPr>
          <w:rFonts w:cstheme="minorHAnsi"/>
          <w:spacing w:val="-5"/>
        </w:rPr>
      </w:pPr>
      <w:r w:rsidRPr="0025334E">
        <w:rPr>
          <w:rFonts w:cstheme="minorHAnsi"/>
          <w:spacing w:val="-5"/>
        </w:rPr>
        <w:t xml:space="preserve">R. </w:t>
      </w:r>
      <w:proofErr w:type="gramStart"/>
      <w:r w:rsidRPr="0025334E">
        <w:rPr>
          <w:rFonts w:cstheme="minorHAnsi"/>
          <w:spacing w:val="-5"/>
        </w:rPr>
        <w:t>Rathore ,</w:t>
      </w:r>
      <w:proofErr w:type="gramEnd"/>
      <w:r w:rsidRPr="0025334E">
        <w:rPr>
          <w:rFonts w:cstheme="minorHAnsi"/>
          <w:spacing w:val="-5"/>
        </w:rPr>
        <w:t xml:space="preserve"> V. J. </w:t>
      </w:r>
      <w:proofErr w:type="spellStart"/>
      <w:r w:rsidRPr="0025334E">
        <w:rPr>
          <w:rFonts w:cstheme="minorHAnsi"/>
          <w:spacing w:val="-5"/>
        </w:rPr>
        <w:t>Chebny</w:t>
      </w:r>
      <w:proofErr w:type="spellEnd"/>
      <w:r w:rsidRPr="0025334E">
        <w:rPr>
          <w:rFonts w:cstheme="minorHAnsi"/>
          <w:spacing w:val="-5"/>
        </w:rPr>
        <w:t xml:space="preserve"> , E. J. </w:t>
      </w:r>
      <w:proofErr w:type="spellStart"/>
      <w:r w:rsidRPr="0025334E">
        <w:rPr>
          <w:rFonts w:cstheme="minorHAnsi"/>
          <w:spacing w:val="-5"/>
        </w:rPr>
        <w:t>Kopatz</w:t>
      </w:r>
      <w:proofErr w:type="spellEnd"/>
      <w:r w:rsidRPr="0025334E">
        <w:rPr>
          <w:rFonts w:cstheme="minorHAnsi"/>
          <w:spacing w:val="-5"/>
        </w:rPr>
        <w:t xml:space="preserve"> and I. A. </w:t>
      </w:r>
      <w:proofErr w:type="spellStart"/>
      <w:r w:rsidRPr="0025334E">
        <w:rPr>
          <w:rFonts w:cstheme="minorHAnsi"/>
          <w:spacing w:val="-5"/>
        </w:rPr>
        <w:t>Guzei</w:t>
      </w:r>
      <w:proofErr w:type="spellEnd"/>
      <w:r w:rsidRPr="0025334E">
        <w:rPr>
          <w:rFonts w:cstheme="minorHAnsi"/>
          <w:spacing w:val="-5"/>
        </w:rPr>
        <w:t> , </w:t>
      </w:r>
      <w:proofErr w:type="spellStart"/>
      <w:r w:rsidRPr="0025334E">
        <w:rPr>
          <w:rStyle w:val="Emphasis"/>
          <w:rFonts w:cstheme="minorHAnsi"/>
          <w:spacing w:val="-5"/>
        </w:rPr>
        <w:t>Angew</w:t>
      </w:r>
      <w:proofErr w:type="spellEnd"/>
      <w:r w:rsidRPr="0025334E">
        <w:rPr>
          <w:rStyle w:val="Emphasis"/>
          <w:rFonts w:cstheme="minorHAnsi"/>
          <w:spacing w:val="-5"/>
        </w:rPr>
        <w:t>. Chem., Int. Ed.</w:t>
      </w:r>
      <w:r w:rsidRPr="0025334E">
        <w:rPr>
          <w:rFonts w:cstheme="minorHAnsi"/>
          <w:spacing w:val="-5"/>
        </w:rPr>
        <w:t>, 2005, </w:t>
      </w:r>
      <w:proofErr w:type="gramStart"/>
      <w:r w:rsidRPr="0025334E">
        <w:rPr>
          <w:rStyle w:val="Strong"/>
          <w:rFonts w:cstheme="minorHAnsi"/>
          <w:spacing w:val="-5"/>
        </w:rPr>
        <w:t>44</w:t>
      </w:r>
      <w:r w:rsidRPr="0025334E">
        <w:rPr>
          <w:rFonts w:cstheme="minorHAnsi"/>
          <w:spacing w:val="-5"/>
        </w:rPr>
        <w:t> ,</w:t>
      </w:r>
      <w:proofErr w:type="gramEnd"/>
      <w:r w:rsidRPr="0025334E">
        <w:rPr>
          <w:rFonts w:cstheme="minorHAnsi"/>
          <w:spacing w:val="-5"/>
        </w:rPr>
        <w:t xml:space="preserve"> 2771 -2774 </w:t>
      </w:r>
    </w:p>
    <w:p w14:paraId="72E97C2F" w14:textId="6357E1E8" w:rsidR="004B0BFF" w:rsidRPr="0025334E" w:rsidRDefault="004B0BFF" w:rsidP="004B0BFF">
      <w:pPr>
        <w:numPr>
          <w:ilvl w:val="0"/>
          <w:numId w:val="3"/>
        </w:numPr>
        <w:shd w:val="clear" w:color="auto" w:fill="FFFFFF"/>
        <w:spacing w:after="0" w:line="240" w:lineRule="auto"/>
        <w:ind w:left="360"/>
        <w:rPr>
          <w:rFonts w:cstheme="minorHAnsi"/>
          <w:spacing w:val="-5"/>
        </w:rPr>
      </w:pPr>
      <w:r w:rsidRPr="0025334E">
        <w:rPr>
          <w:rFonts w:cstheme="minorHAnsi"/>
          <w:spacing w:val="-5"/>
        </w:rPr>
        <w:t xml:space="preserve">Y. </w:t>
      </w:r>
      <w:proofErr w:type="gramStart"/>
      <w:r w:rsidRPr="0025334E">
        <w:rPr>
          <w:rFonts w:cstheme="minorHAnsi"/>
          <w:spacing w:val="-5"/>
        </w:rPr>
        <w:t>Wang ,</w:t>
      </w:r>
      <w:proofErr w:type="gramEnd"/>
      <w:r w:rsidRPr="0025334E">
        <w:rPr>
          <w:rFonts w:cstheme="minorHAnsi"/>
          <w:spacing w:val="-5"/>
        </w:rPr>
        <w:t xml:space="preserve"> J. Sun , Z. Liu , M. S. Nassar , Y. Y. </w:t>
      </w:r>
      <w:proofErr w:type="spellStart"/>
      <w:r w:rsidRPr="0025334E">
        <w:rPr>
          <w:rFonts w:cstheme="minorHAnsi"/>
          <w:spacing w:val="-5"/>
        </w:rPr>
        <w:t>Botros</w:t>
      </w:r>
      <w:proofErr w:type="spellEnd"/>
      <w:r w:rsidRPr="0025334E">
        <w:rPr>
          <w:rFonts w:cstheme="minorHAnsi"/>
          <w:spacing w:val="-5"/>
        </w:rPr>
        <w:t> and J. F. Stoddart , </w:t>
      </w:r>
      <w:r w:rsidRPr="0025334E">
        <w:rPr>
          <w:rStyle w:val="Emphasis"/>
          <w:rFonts w:cstheme="minorHAnsi"/>
          <w:spacing w:val="-5"/>
        </w:rPr>
        <w:t>Chem. Sci.</w:t>
      </w:r>
      <w:r w:rsidRPr="0025334E">
        <w:rPr>
          <w:rFonts w:cstheme="minorHAnsi"/>
          <w:spacing w:val="-5"/>
        </w:rPr>
        <w:t>, 2017, </w:t>
      </w:r>
      <w:r w:rsidRPr="0025334E">
        <w:rPr>
          <w:rStyle w:val="Strong"/>
          <w:rFonts w:cstheme="minorHAnsi"/>
          <w:spacing w:val="-5"/>
        </w:rPr>
        <w:t>8</w:t>
      </w:r>
      <w:r w:rsidRPr="0025334E">
        <w:rPr>
          <w:rFonts w:cstheme="minorHAnsi"/>
          <w:spacing w:val="-5"/>
        </w:rPr>
        <w:t> , 2562 -2568 </w:t>
      </w:r>
    </w:p>
    <w:p w14:paraId="024E1D5A" w14:textId="3D8273FF" w:rsidR="004B0BFF" w:rsidRPr="0025334E" w:rsidRDefault="004B0BFF" w:rsidP="004B0BFF">
      <w:pPr>
        <w:numPr>
          <w:ilvl w:val="0"/>
          <w:numId w:val="3"/>
        </w:numPr>
        <w:shd w:val="clear" w:color="auto" w:fill="FFFFFF"/>
        <w:spacing w:after="0" w:line="240" w:lineRule="auto"/>
        <w:ind w:left="360"/>
        <w:rPr>
          <w:rFonts w:cstheme="minorHAnsi"/>
          <w:spacing w:val="-5"/>
        </w:rPr>
      </w:pPr>
      <w:r w:rsidRPr="0025334E">
        <w:rPr>
          <w:rFonts w:cstheme="minorHAnsi"/>
          <w:spacing w:val="-5"/>
        </w:rPr>
        <w:t xml:space="preserve">T. </w:t>
      </w:r>
      <w:proofErr w:type="spellStart"/>
      <w:proofErr w:type="gramStart"/>
      <w:r w:rsidRPr="0025334E">
        <w:rPr>
          <w:rFonts w:cstheme="minorHAnsi"/>
          <w:spacing w:val="-5"/>
        </w:rPr>
        <w:t>Fukino</w:t>
      </w:r>
      <w:proofErr w:type="spellEnd"/>
      <w:r w:rsidRPr="0025334E">
        <w:rPr>
          <w:rFonts w:cstheme="minorHAnsi"/>
          <w:spacing w:val="-5"/>
        </w:rPr>
        <w:t> ,</w:t>
      </w:r>
      <w:proofErr w:type="gramEnd"/>
      <w:r w:rsidRPr="0025334E">
        <w:rPr>
          <w:rFonts w:cstheme="minorHAnsi"/>
          <w:spacing w:val="-5"/>
        </w:rPr>
        <w:t> H. Yamagishi and T. Aida , </w:t>
      </w:r>
      <w:r w:rsidRPr="0025334E">
        <w:rPr>
          <w:rStyle w:val="Emphasis"/>
          <w:rFonts w:cstheme="minorHAnsi"/>
          <w:spacing w:val="-5"/>
        </w:rPr>
        <w:t>Adv. Mater.</w:t>
      </w:r>
      <w:r w:rsidRPr="0025334E">
        <w:rPr>
          <w:rFonts w:cstheme="minorHAnsi"/>
          <w:spacing w:val="-5"/>
        </w:rPr>
        <w:t>, 2017, 29 </w:t>
      </w:r>
    </w:p>
    <w:p w14:paraId="09C8A5FE" w14:textId="50A8DAFF" w:rsidR="004B0BFF" w:rsidRPr="0025334E" w:rsidRDefault="004B0BFF" w:rsidP="004B0BFF">
      <w:pPr>
        <w:numPr>
          <w:ilvl w:val="0"/>
          <w:numId w:val="3"/>
        </w:numPr>
        <w:shd w:val="clear" w:color="auto" w:fill="FFFFFF"/>
        <w:spacing w:after="0" w:line="240" w:lineRule="auto"/>
        <w:ind w:left="360"/>
        <w:rPr>
          <w:rFonts w:cstheme="minorHAnsi"/>
          <w:spacing w:val="-5"/>
        </w:rPr>
      </w:pPr>
      <w:r w:rsidRPr="0025334E">
        <w:rPr>
          <w:rFonts w:cstheme="minorHAnsi"/>
          <w:spacing w:val="-5"/>
        </w:rPr>
        <w:t xml:space="preserve">P. </w:t>
      </w:r>
      <w:proofErr w:type="spellStart"/>
      <w:r w:rsidRPr="0025334E">
        <w:rPr>
          <w:rFonts w:cstheme="minorHAnsi"/>
          <w:spacing w:val="-5"/>
        </w:rPr>
        <w:t>Beaujean</w:t>
      </w:r>
      <w:proofErr w:type="spellEnd"/>
      <w:r w:rsidRPr="0025334E">
        <w:rPr>
          <w:rFonts w:cstheme="minorHAnsi"/>
          <w:spacing w:val="-5"/>
        </w:rPr>
        <w:t xml:space="preserve"> and M. </w:t>
      </w:r>
      <w:proofErr w:type="spellStart"/>
      <w:proofErr w:type="gramStart"/>
      <w:r w:rsidRPr="0025334E">
        <w:rPr>
          <w:rFonts w:cstheme="minorHAnsi"/>
          <w:spacing w:val="-5"/>
        </w:rPr>
        <w:t>Kertesz</w:t>
      </w:r>
      <w:proofErr w:type="spellEnd"/>
      <w:r w:rsidRPr="0025334E">
        <w:rPr>
          <w:rFonts w:cstheme="minorHAnsi"/>
          <w:spacing w:val="-5"/>
        </w:rPr>
        <w:t> ,</w:t>
      </w:r>
      <w:proofErr w:type="gramEnd"/>
      <w:r w:rsidRPr="0025334E">
        <w:rPr>
          <w:rFonts w:cstheme="minorHAnsi"/>
          <w:spacing w:val="-5"/>
        </w:rPr>
        <w:t> </w:t>
      </w:r>
      <w:proofErr w:type="spellStart"/>
      <w:r w:rsidRPr="0025334E">
        <w:rPr>
          <w:rStyle w:val="Emphasis"/>
          <w:rFonts w:cstheme="minorHAnsi"/>
          <w:spacing w:val="-5"/>
        </w:rPr>
        <w:t>Theor</w:t>
      </w:r>
      <w:proofErr w:type="spellEnd"/>
      <w:r w:rsidRPr="0025334E">
        <w:rPr>
          <w:rStyle w:val="Emphasis"/>
          <w:rFonts w:cstheme="minorHAnsi"/>
          <w:spacing w:val="-5"/>
        </w:rPr>
        <w:t>. Chem. Acc.</w:t>
      </w:r>
      <w:r w:rsidRPr="0025334E">
        <w:rPr>
          <w:rFonts w:cstheme="minorHAnsi"/>
          <w:spacing w:val="-5"/>
        </w:rPr>
        <w:t>, 2015, </w:t>
      </w:r>
      <w:proofErr w:type="gramStart"/>
      <w:r w:rsidRPr="0025334E">
        <w:rPr>
          <w:rStyle w:val="Strong"/>
          <w:rFonts w:cstheme="minorHAnsi"/>
          <w:spacing w:val="-5"/>
        </w:rPr>
        <w:t>134</w:t>
      </w:r>
      <w:r w:rsidRPr="0025334E">
        <w:rPr>
          <w:rFonts w:cstheme="minorHAnsi"/>
          <w:spacing w:val="-5"/>
        </w:rPr>
        <w:t> ,</w:t>
      </w:r>
      <w:proofErr w:type="gramEnd"/>
      <w:r w:rsidRPr="0025334E">
        <w:rPr>
          <w:rFonts w:cstheme="minorHAnsi"/>
          <w:spacing w:val="-5"/>
        </w:rPr>
        <w:t xml:space="preserve"> 147 </w:t>
      </w:r>
    </w:p>
    <w:p w14:paraId="7194BFC3" w14:textId="78E64EE9" w:rsidR="004B0BFF" w:rsidRPr="0025334E" w:rsidRDefault="004B0BFF" w:rsidP="004B0BFF">
      <w:pPr>
        <w:numPr>
          <w:ilvl w:val="0"/>
          <w:numId w:val="3"/>
        </w:numPr>
        <w:shd w:val="clear" w:color="auto" w:fill="FFFFFF"/>
        <w:spacing w:after="0" w:line="240" w:lineRule="auto"/>
        <w:ind w:left="360"/>
        <w:rPr>
          <w:rFonts w:cstheme="minorHAnsi"/>
          <w:spacing w:val="-5"/>
        </w:rPr>
      </w:pPr>
      <w:r w:rsidRPr="0025334E">
        <w:rPr>
          <w:rFonts w:cstheme="minorHAnsi"/>
          <w:spacing w:val="-5"/>
        </w:rPr>
        <w:t>V. D. Parker </w:t>
      </w:r>
      <w:r w:rsidRPr="0025334E">
        <w:rPr>
          <w:rStyle w:val="Emphasis"/>
          <w:rFonts w:cstheme="minorHAnsi"/>
          <w:spacing w:val="-5"/>
        </w:rPr>
        <w:t>J. Am. Chem. Soc.</w:t>
      </w:r>
      <w:r w:rsidRPr="0025334E">
        <w:rPr>
          <w:rFonts w:cstheme="minorHAnsi"/>
          <w:spacing w:val="-5"/>
        </w:rPr>
        <w:t>, 1976, </w:t>
      </w:r>
      <w:proofErr w:type="gramStart"/>
      <w:r w:rsidRPr="0025334E">
        <w:rPr>
          <w:rStyle w:val="Strong"/>
          <w:rFonts w:cstheme="minorHAnsi"/>
          <w:spacing w:val="-5"/>
        </w:rPr>
        <w:t>98</w:t>
      </w:r>
      <w:r w:rsidRPr="0025334E">
        <w:rPr>
          <w:rFonts w:cstheme="minorHAnsi"/>
          <w:spacing w:val="-5"/>
        </w:rPr>
        <w:t> ,</w:t>
      </w:r>
      <w:proofErr w:type="gramEnd"/>
      <w:r w:rsidRPr="0025334E">
        <w:rPr>
          <w:rFonts w:cstheme="minorHAnsi"/>
          <w:spacing w:val="-5"/>
        </w:rPr>
        <w:t xml:space="preserve"> 98 -103 </w:t>
      </w:r>
    </w:p>
    <w:p w14:paraId="728D9F67" w14:textId="366E3E86" w:rsidR="004B0BFF" w:rsidRPr="0025334E" w:rsidRDefault="004B0BFF" w:rsidP="004B0BFF">
      <w:pPr>
        <w:numPr>
          <w:ilvl w:val="0"/>
          <w:numId w:val="3"/>
        </w:numPr>
        <w:shd w:val="clear" w:color="auto" w:fill="FFFFFF"/>
        <w:spacing w:after="0" w:line="240" w:lineRule="auto"/>
        <w:ind w:left="360"/>
        <w:rPr>
          <w:rFonts w:cstheme="minorHAnsi"/>
          <w:spacing w:val="-5"/>
        </w:rPr>
      </w:pPr>
      <w:r w:rsidRPr="0025334E">
        <w:rPr>
          <w:rFonts w:cstheme="minorHAnsi"/>
          <w:spacing w:val="-5"/>
        </w:rPr>
        <w:t xml:space="preserve">J. O. </w:t>
      </w:r>
      <w:proofErr w:type="gramStart"/>
      <w:r w:rsidRPr="0025334E">
        <w:rPr>
          <w:rFonts w:cstheme="minorHAnsi"/>
          <w:spacing w:val="-5"/>
        </w:rPr>
        <w:t>Howell ,</w:t>
      </w:r>
      <w:proofErr w:type="gramEnd"/>
      <w:r w:rsidRPr="0025334E">
        <w:rPr>
          <w:rFonts w:cstheme="minorHAnsi"/>
          <w:spacing w:val="-5"/>
        </w:rPr>
        <w:t xml:space="preserve"> J. M. Goncalves , C. </w:t>
      </w:r>
      <w:proofErr w:type="spellStart"/>
      <w:r w:rsidRPr="0025334E">
        <w:rPr>
          <w:rFonts w:cstheme="minorHAnsi"/>
          <w:spacing w:val="-5"/>
        </w:rPr>
        <w:t>Amatore</w:t>
      </w:r>
      <w:proofErr w:type="spellEnd"/>
      <w:r w:rsidRPr="0025334E">
        <w:rPr>
          <w:rFonts w:cstheme="minorHAnsi"/>
          <w:spacing w:val="-5"/>
        </w:rPr>
        <w:t xml:space="preserve"> , L. </w:t>
      </w:r>
      <w:proofErr w:type="spellStart"/>
      <w:r w:rsidRPr="0025334E">
        <w:rPr>
          <w:rFonts w:cstheme="minorHAnsi"/>
          <w:spacing w:val="-5"/>
        </w:rPr>
        <w:t>Klasinc</w:t>
      </w:r>
      <w:proofErr w:type="spellEnd"/>
      <w:r w:rsidRPr="0025334E">
        <w:rPr>
          <w:rFonts w:cstheme="minorHAnsi"/>
          <w:spacing w:val="-5"/>
        </w:rPr>
        <w:t> , R. M. Wightman and J. K. Kochi , </w:t>
      </w:r>
      <w:r w:rsidRPr="0025334E">
        <w:rPr>
          <w:rStyle w:val="Emphasis"/>
          <w:rFonts w:cstheme="minorHAnsi"/>
          <w:spacing w:val="-5"/>
        </w:rPr>
        <w:t>J. Am. Chem. Soc.</w:t>
      </w:r>
      <w:r w:rsidRPr="0025334E">
        <w:rPr>
          <w:rFonts w:cstheme="minorHAnsi"/>
          <w:spacing w:val="-5"/>
        </w:rPr>
        <w:t>, 1984, </w:t>
      </w:r>
      <w:r w:rsidRPr="0025334E">
        <w:rPr>
          <w:rStyle w:val="Strong"/>
          <w:rFonts w:cstheme="minorHAnsi"/>
          <w:spacing w:val="-5"/>
        </w:rPr>
        <w:t>106</w:t>
      </w:r>
      <w:r w:rsidRPr="0025334E">
        <w:rPr>
          <w:rFonts w:cstheme="minorHAnsi"/>
          <w:spacing w:val="-5"/>
        </w:rPr>
        <w:t> , 3968 -3976 </w:t>
      </w:r>
    </w:p>
    <w:p w14:paraId="3E2921FD" w14:textId="3E617A83" w:rsidR="004B0BFF" w:rsidRPr="0025334E" w:rsidRDefault="004B0BFF" w:rsidP="004B0BFF">
      <w:pPr>
        <w:numPr>
          <w:ilvl w:val="0"/>
          <w:numId w:val="3"/>
        </w:numPr>
        <w:shd w:val="clear" w:color="auto" w:fill="FFFFFF"/>
        <w:spacing w:after="0" w:line="240" w:lineRule="auto"/>
        <w:ind w:left="360"/>
        <w:rPr>
          <w:rFonts w:cstheme="minorHAnsi"/>
          <w:spacing w:val="-5"/>
        </w:rPr>
      </w:pPr>
      <w:r w:rsidRPr="0025334E">
        <w:rPr>
          <w:rFonts w:cstheme="minorHAnsi"/>
          <w:spacing w:val="-5"/>
        </w:rPr>
        <w:t xml:space="preserve">M. R. </w:t>
      </w:r>
      <w:proofErr w:type="spellStart"/>
      <w:proofErr w:type="gramStart"/>
      <w:r w:rsidRPr="0025334E">
        <w:rPr>
          <w:rFonts w:cstheme="minorHAnsi"/>
          <w:spacing w:val="-5"/>
        </w:rPr>
        <w:t>Talipov</w:t>
      </w:r>
      <w:proofErr w:type="spellEnd"/>
      <w:r w:rsidRPr="0025334E">
        <w:rPr>
          <w:rFonts w:cstheme="minorHAnsi"/>
          <w:spacing w:val="-5"/>
        </w:rPr>
        <w:t> ,</w:t>
      </w:r>
      <w:proofErr w:type="gramEnd"/>
      <w:r w:rsidRPr="0025334E">
        <w:rPr>
          <w:rFonts w:cstheme="minorHAnsi"/>
          <w:spacing w:val="-5"/>
        </w:rPr>
        <w:t xml:space="preserve"> A. </w:t>
      </w:r>
      <w:proofErr w:type="spellStart"/>
      <w:r w:rsidRPr="0025334E">
        <w:rPr>
          <w:rFonts w:cstheme="minorHAnsi"/>
          <w:spacing w:val="-5"/>
        </w:rPr>
        <w:t>Boddeda</w:t>
      </w:r>
      <w:proofErr w:type="spellEnd"/>
      <w:r w:rsidRPr="0025334E">
        <w:rPr>
          <w:rFonts w:cstheme="minorHAnsi"/>
          <w:spacing w:val="-5"/>
        </w:rPr>
        <w:t> , S. V. Lindeman and R. Rathore , </w:t>
      </w:r>
      <w:r w:rsidRPr="0025334E">
        <w:rPr>
          <w:rStyle w:val="Emphasis"/>
          <w:rFonts w:cstheme="minorHAnsi"/>
          <w:spacing w:val="-5"/>
        </w:rPr>
        <w:t>J. Phys. Chem. Lett.</w:t>
      </w:r>
      <w:r w:rsidRPr="0025334E">
        <w:rPr>
          <w:rFonts w:cstheme="minorHAnsi"/>
          <w:spacing w:val="-5"/>
        </w:rPr>
        <w:t>, 2015, </w:t>
      </w:r>
      <w:r w:rsidRPr="0025334E">
        <w:rPr>
          <w:rStyle w:val="Strong"/>
          <w:rFonts w:cstheme="minorHAnsi"/>
          <w:spacing w:val="-5"/>
        </w:rPr>
        <w:t>6</w:t>
      </w:r>
      <w:r w:rsidRPr="0025334E">
        <w:rPr>
          <w:rFonts w:cstheme="minorHAnsi"/>
          <w:spacing w:val="-5"/>
        </w:rPr>
        <w:t> , 3373 -3378 </w:t>
      </w:r>
    </w:p>
    <w:p w14:paraId="4B09AC38" w14:textId="3CA5D9A5" w:rsidR="004B0BFF" w:rsidRPr="0025334E" w:rsidRDefault="004B0BFF" w:rsidP="004B0BFF">
      <w:pPr>
        <w:numPr>
          <w:ilvl w:val="0"/>
          <w:numId w:val="3"/>
        </w:numPr>
        <w:shd w:val="clear" w:color="auto" w:fill="FFFFFF"/>
        <w:spacing w:after="0" w:line="240" w:lineRule="auto"/>
        <w:ind w:left="360"/>
        <w:rPr>
          <w:rFonts w:cstheme="minorHAnsi"/>
          <w:spacing w:val="-5"/>
        </w:rPr>
      </w:pPr>
      <w:r w:rsidRPr="0025334E">
        <w:rPr>
          <w:rFonts w:cstheme="minorHAnsi"/>
          <w:spacing w:val="-5"/>
        </w:rPr>
        <w:t xml:space="preserve">M. V. </w:t>
      </w:r>
      <w:proofErr w:type="gramStart"/>
      <w:r w:rsidRPr="0025334E">
        <w:rPr>
          <w:rFonts w:cstheme="minorHAnsi"/>
          <w:spacing w:val="-5"/>
        </w:rPr>
        <w:t>Ivanov ,</w:t>
      </w:r>
      <w:proofErr w:type="gramEnd"/>
      <w:r w:rsidRPr="0025334E">
        <w:rPr>
          <w:rFonts w:cstheme="minorHAnsi"/>
          <w:spacing w:val="-5"/>
        </w:rPr>
        <w:t xml:space="preserve"> D. Wang , S. H. </w:t>
      </w:r>
      <w:proofErr w:type="spellStart"/>
      <w:r w:rsidRPr="0025334E">
        <w:rPr>
          <w:rFonts w:cstheme="minorHAnsi"/>
          <w:spacing w:val="-5"/>
        </w:rPr>
        <w:t>Wadumethridge</w:t>
      </w:r>
      <w:proofErr w:type="spellEnd"/>
      <w:r w:rsidRPr="0025334E">
        <w:rPr>
          <w:rFonts w:cstheme="minorHAnsi"/>
          <w:spacing w:val="-5"/>
        </w:rPr>
        <w:t> and R. Rathore , </w:t>
      </w:r>
      <w:r w:rsidRPr="0025334E">
        <w:rPr>
          <w:rStyle w:val="Emphasis"/>
          <w:rFonts w:cstheme="minorHAnsi"/>
          <w:spacing w:val="-5"/>
        </w:rPr>
        <w:t>J. Phys. Chem. Lett.</w:t>
      </w:r>
      <w:r w:rsidRPr="0025334E">
        <w:rPr>
          <w:rFonts w:cstheme="minorHAnsi"/>
          <w:spacing w:val="-5"/>
        </w:rPr>
        <w:t>, 2017, </w:t>
      </w:r>
      <w:r w:rsidRPr="0025334E">
        <w:rPr>
          <w:rStyle w:val="Strong"/>
          <w:rFonts w:cstheme="minorHAnsi"/>
          <w:spacing w:val="-5"/>
        </w:rPr>
        <w:t>8</w:t>
      </w:r>
      <w:r w:rsidRPr="0025334E">
        <w:rPr>
          <w:rFonts w:cstheme="minorHAnsi"/>
          <w:spacing w:val="-5"/>
        </w:rPr>
        <w:t> , 4226 -4230 </w:t>
      </w:r>
    </w:p>
    <w:p w14:paraId="4D20BADB" w14:textId="419B518E" w:rsidR="004B0BFF" w:rsidRPr="0025334E" w:rsidRDefault="004B0BFF" w:rsidP="004B0BFF">
      <w:pPr>
        <w:numPr>
          <w:ilvl w:val="0"/>
          <w:numId w:val="3"/>
        </w:numPr>
        <w:shd w:val="clear" w:color="auto" w:fill="FFFFFF"/>
        <w:spacing w:after="0" w:line="240" w:lineRule="auto"/>
        <w:ind w:left="360"/>
        <w:rPr>
          <w:rFonts w:cstheme="minorHAnsi"/>
          <w:spacing w:val="-5"/>
        </w:rPr>
      </w:pPr>
      <w:r w:rsidRPr="0025334E">
        <w:rPr>
          <w:rFonts w:cstheme="minorHAnsi"/>
          <w:spacing w:val="-5"/>
        </w:rPr>
        <w:t xml:space="preserve">C. R. </w:t>
      </w:r>
      <w:proofErr w:type="gramStart"/>
      <w:r w:rsidRPr="0025334E">
        <w:rPr>
          <w:rFonts w:cstheme="minorHAnsi"/>
          <w:spacing w:val="-5"/>
        </w:rPr>
        <w:t>Groom ,</w:t>
      </w:r>
      <w:proofErr w:type="gramEnd"/>
      <w:r w:rsidRPr="0025334E">
        <w:rPr>
          <w:rFonts w:cstheme="minorHAnsi"/>
          <w:spacing w:val="-5"/>
        </w:rPr>
        <w:t> I. J. Bruno , M. P. Lightfoot and S. C. Ward , </w:t>
      </w:r>
      <w:r w:rsidRPr="0025334E">
        <w:rPr>
          <w:rStyle w:val="Emphasis"/>
          <w:rFonts w:cstheme="minorHAnsi"/>
          <w:spacing w:val="-5"/>
        </w:rPr>
        <w:t xml:space="preserve">Acta </w:t>
      </w:r>
      <w:proofErr w:type="spellStart"/>
      <w:r w:rsidRPr="0025334E">
        <w:rPr>
          <w:rStyle w:val="Emphasis"/>
          <w:rFonts w:cstheme="minorHAnsi"/>
          <w:spacing w:val="-5"/>
        </w:rPr>
        <w:t>Crystallogr</w:t>
      </w:r>
      <w:proofErr w:type="spellEnd"/>
      <w:r w:rsidRPr="0025334E">
        <w:rPr>
          <w:rStyle w:val="Emphasis"/>
          <w:rFonts w:cstheme="minorHAnsi"/>
          <w:spacing w:val="-5"/>
        </w:rPr>
        <w:t xml:space="preserve">., Sect. B: Struct. Sci., </w:t>
      </w:r>
      <w:proofErr w:type="spellStart"/>
      <w:r w:rsidRPr="0025334E">
        <w:rPr>
          <w:rStyle w:val="Emphasis"/>
          <w:rFonts w:cstheme="minorHAnsi"/>
          <w:spacing w:val="-5"/>
        </w:rPr>
        <w:t>Cryst</w:t>
      </w:r>
      <w:proofErr w:type="spellEnd"/>
      <w:r w:rsidRPr="0025334E">
        <w:rPr>
          <w:rStyle w:val="Emphasis"/>
          <w:rFonts w:cstheme="minorHAnsi"/>
          <w:spacing w:val="-5"/>
        </w:rPr>
        <w:t>. Eng. Mater.</w:t>
      </w:r>
      <w:r w:rsidRPr="0025334E">
        <w:rPr>
          <w:rFonts w:cstheme="minorHAnsi"/>
          <w:spacing w:val="-5"/>
        </w:rPr>
        <w:t>, 2016, </w:t>
      </w:r>
      <w:proofErr w:type="gramStart"/>
      <w:r w:rsidRPr="0025334E">
        <w:rPr>
          <w:rStyle w:val="Strong"/>
          <w:rFonts w:cstheme="minorHAnsi"/>
          <w:spacing w:val="-5"/>
        </w:rPr>
        <w:t>72</w:t>
      </w:r>
      <w:r w:rsidRPr="0025334E">
        <w:rPr>
          <w:rFonts w:cstheme="minorHAnsi"/>
          <w:spacing w:val="-5"/>
        </w:rPr>
        <w:t> ,</w:t>
      </w:r>
      <w:proofErr w:type="gramEnd"/>
      <w:r w:rsidRPr="0025334E">
        <w:rPr>
          <w:rFonts w:cstheme="minorHAnsi"/>
          <w:spacing w:val="-5"/>
        </w:rPr>
        <w:t xml:space="preserve"> 171 -179 </w:t>
      </w:r>
    </w:p>
    <w:p w14:paraId="7BAD4D94" w14:textId="7E947A6A" w:rsidR="004B0BFF" w:rsidRPr="0025334E" w:rsidRDefault="004B0BFF" w:rsidP="004B0BFF">
      <w:pPr>
        <w:numPr>
          <w:ilvl w:val="0"/>
          <w:numId w:val="3"/>
        </w:numPr>
        <w:shd w:val="clear" w:color="auto" w:fill="FFFFFF"/>
        <w:spacing w:after="0" w:line="240" w:lineRule="auto"/>
        <w:ind w:left="360"/>
        <w:rPr>
          <w:rFonts w:cstheme="minorHAnsi"/>
          <w:spacing w:val="-5"/>
        </w:rPr>
      </w:pPr>
      <w:r w:rsidRPr="0025334E">
        <w:rPr>
          <w:rFonts w:cstheme="minorHAnsi"/>
          <w:spacing w:val="-5"/>
        </w:rPr>
        <w:t xml:space="preserve">A. J. </w:t>
      </w:r>
      <w:proofErr w:type="gramStart"/>
      <w:r w:rsidRPr="0025334E">
        <w:rPr>
          <w:rFonts w:cstheme="minorHAnsi"/>
          <w:spacing w:val="-5"/>
        </w:rPr>
        <w:t>Cohen ,</w:t>
      </w:r>
      <w:proofErr w:type="gramEnd"/>
      <w:r w:rsidRPr="0025334E">
        <w:rPr>
          <w:rFonts w:cstheme="minorHAnsi"/>
          <w:spacing w:val="-5"/>
        </w:rPr>
        <w:t> P. Mori-Sánchez and W. Yang , </w:t>
      </w:r>
      <w:r w:rsidRPr="0025334E">
        <w:rPr>
          <w:rStyle w:val="Emphasis"/>
          <w:rFonts w:cstheme="minorHAnsi"/>
          <w:spacing w:val="-5"/>
        </w:rPr>
        <w:t>Chem. Rev.</w:t>
      </w:r>
      <w:r w:rsidRPr="0025334E">
        <w:rPr>
          <w:rFonts w:cstheme="minorHAnsi"/>
          <w:spacing w:val="-5"/>
        </w:rPr>
        <w:t>, 2012, </w:t>
      </w:r>
      <w:r w:rsidRPr="0025334E">
        <w:rPr>
          <w:rStyle w:val="Strong"/>
          <w:rFonts w:cstheme="minorHAnsi"/>
          <w:spacing w:val="-5"/>
        </w:rPr>
        <w:t>112</w:t>
      </w:r>
      <w:r w:rsidRPr="0025334E">
        <w:rPr>
          <w:rFonts w:cstheme="minorHAnsi"/>
          <w:spacing w:val="-5"/>
        </w:rPr>
        <w:t> , 289 -320 </w:t>
      </w:r>
    </w:p>
    <w:p w14:paraId="428627CB" w14:textId="21293FCD" w:rsidR="004B0BFF" w:rsidRPr="0025334E" w:rsidRDefault="004B0BFF" w:rsidP="004B0BFF">
      <w:pPr>
        <w:numPr>
          <w:ilvl w:val="0"/>
          <w:numId w:val="3"/>
        </w:numPr>
        <w:shd w:val="clear" w:color="auto" w:fill="FFFFFF"/>
        <w:spacing w:after="0" w:line="240" w:lineRule="auto"/>
        <w:ind w:left="360"/>
        <w:rPr>
          <w:rFonts w:cstheme="minorHAnsi"/>
          <w:spacing w:val="-5"/>
        </w:rPr>
      </w:pPr>
      <w:r w:rsidRPr="0025334E">
        <w:rPr>
          <w:rFonts w:cstheme="minorHAnsi"/>
          <w:spacing w:val="-5"/>
        </w:rPr>
        <w:t xml:space="preserve">S. </w:t>
      </w:r>
      <w:proofErr w:type="spellStart"/>
      <w:r w:rsidRPr="0025334E">
        <w:rPr>
          <w:rFonts w:cstheme="minorHAnsi"/>
          <w:spacing w:val="-5"/>
        </w:rPr>
        <w:t>Kristyán</w:t>
      </w:r>
      <w:proofErr w:type="spellEnd"/>
      <w:r w:rsidRPr="0025334E">
        <w:rPr>
          <w:rFonts w:cstheme="minorHAnsi"/>
          <w:spacing w:val="-5"/>
        </w:rPr>
        <w:t xml:space="preserve"> and P. </w:t>
      </w:r>
      <w:proofErr w:type="spellStart"/>
      <w:proofErr w:type="gramStart"/>
      <w:r w:rsidRPr="0025334E">
        <w:rPr>
          <w:rFonts w:cstheme="minorHAnsi"/>
          <w:spacing w:val="-5"/>
        </w:rPr>
        <w:t>Pulay</w:t>
      </w:r>
      <w:proofErr w:type="spellEnd"/>
      <w:r w:rsidRPr="0025334E">
        <w:rPr>
          <w:rFonts w:cstheme="minorHAnsi"/>
          <w:spacing w:val="-5"/>
        </w:rPr>
        <w:t> ,</w:t>
      </w:r>
      <w:proofErr w:type="gramEnd"/>
      <w:r w:rsidRPr="0025334E">
        <w:rPr>
          <w:rFonts w:cstheme="minorHAnsi"/>
          <w:spacing w:val="-5"/>
        </w:rPr>
        <w:t> </w:t>
      </w:r>
      <w:r w:rsidRPr="0025334E">
        <w:rPr>
          <w:rStyle w:val="Emphasis"/>
          <w:rFonts w:cstheme="minorHAnsi"/>
          <w:spacing w:val="-5"/>
        </w:rPr>
        <w:t>Chem. Phys. Lett.</w:t>
      </w:r>
      <w:r w:rsidRPr="0025334E">
        <w:rPr>
          <w:rFonts w:cstheme="minorHAnsi"/>
          <w:spacing w:val="-5"/>
        </w:rPr>
        <w:t>, 1994, </w:t>
      </w:r>
      <w:r w:rsidRPr="0025334E">
        <w:rPr>
          <w:rStyle w:val="Strong"/>
          <w:rFonts w:cstheme="minorHAnsi"/>
          <w:spacing w:val="-5"/>
        </w:rPr>
        <w:t>229</w:t>
      </w:r>
      <w:r w:rsidRPr="0025334E">
        <w:rPr>
          <w:rFonts w:cstheme="minorHAnsi"/>
          <w:spacing w:val="-5"/>
        </w:rPr>
        <w:t> , 175 -180 </w:t>
      </w:r>
    </w:p>
    <w:p w14:paraId="2FB1687F" w14:textId="468168B9" w:rsidR="004B0BFF" w:rsidRPr="0025334E" w:rsidRDefault="004B0BFF" w:rsidP="004B0BFF">
      <w:pPr>
        <w:numPr>
          <w:ilvl w:val="0"/>
          <w:numId w:val="3"/>
        </w:numPr>
        <w:shd w:val="clear" w:color="auto" w:fill="FFFFFF"/>
        <w:spacing w:after="0" w:line="240" w:lineRule="auto"/>
        <w:ind w:left="360"/>
        <w:rPr>
          <w:rFonts w:cstheme="minorHAnsi"/>
          <w:spacing w:val="-5"/>
        </w:rPr>
      </w:pPr>
      <w:r w:rsidRPr="0025334E">
        <w:rPr>
          <w:rFonts w:cstheme="minorHAnsi"/>
          <w:spacing w:val="-5"/>
        </w:rPr>
        <w:lastRenderedPageBreak/>
        <w:t xml:space="preserve">S. </w:t>
      </w:r>
      <w:proofErr w:type="gramStart"/>
      <w:r w:rsidRPr="0025334E">
        <w:rPr>
          <w:rFonts w:cstheme="minorHAnsi"/>
          <w:spacing w:val="-5"/>
        </w:rPr>
        <w:t>Ehrlich ,</w:t>
      </w:r>
      <w:proofErr w:type="gramEnd"/>
      <w:r w:rsidRPr="0025334E">
        <w:rPr>
          <w:rFonts w:cstheme="minorHAnsi"/>
          <w:spacing w:val="-5"/>
        </w:rPr>
        <w:t xml:space="preserve"> J. </w:t>
      </w:r>
      <w:proofErr w:type="spellStart"/>
      <w:r w:rsidRPr="0025334E">
        <w:rPr>
          <w:rFonts w:cstheme="minorHAnsi"/>
          <w:spacing w:val="-5"/>
        </w:rPr>
        <w:t>Moellmann</w:t>
      </w:r>
      <w:proofErr w:type="spellEnd"/>
      <w:r w:rsidRPr="0025334E">
        <w:rPr>
          <w:rFonts w:cstheme="minorHAnsi"/>
          <w:spacing w:val="-5"/>
        </w:rPr>
        <w:t xml:space="preserve"> and S. </w:t>
      </w:r>
      <w:proofErr w:type="spellStart"/>
      <w:r w:rsidRPr="0025334E">
        <w:rPr>
          <w:rFonts w:cstheme="minorHAnsi"/>
          <w:spacing w:val="-5"/>
        </w:rPr>
        <w:t>Grimme</w:t>
      </w:r>
      <w:proofErr w:type="spellEnd"/>
      <w:r w:rsidRPr="0025334E">
        <w:rPr>
          <w:rFonts w:cstheme="minorHAnsi"/>
          <w:spacing w:val="-5"/>
        </w:rPr>
        <w:t> , </w:t>
      </w:r>
      <w:r w:rsidRPr="0025334E">
        <w:rPr>
          <w:rStyle w:val="Emphasis"/>
          <w:rFonts w:cstheme="minorHAnsi"/>
          <w:spacing w:val="-5"/>
        </w:rPr>
        <w:t>Acc. Chem. Res.</w:t>
      </w:r>
      <w:r w:rsidRPr="0025334E">
        <w:rPr>
          <w:rFonts w:cstheme="minorHAnsi"/>
          <w:spacing w:val="-5"/>
        </w:rPr>
        <w:t>, 2012, </w:t>
      </w:r>
      <w:r w:rsidRPr="0025334E">
        <w:rPr>
          <w:rStyle w:val="Strong"/>
          <w:rFonts w:cstheme="minorHAnsi"/>
          <w:spacing w:val="-5"/>
        </w:rPr>
        <w:t>46</w:t>
      </w:r>
      <w:r w:rsidRPr="0025334E">
        <w:rPr>
          <w:rFonts w:cstheme="minorHAnsi"/>
          <w:spacing w:val="-5"/>
        </w:rPr>
        <w:t> , 916 -926 </w:t>
      </w:r>
    </w:p>
    <w:p w14:paraId="44028A22" w14:textId="6D9B6575" w:rsidR="004B0BFF" w:rsidRPr="0025334E" w:rsidRDefault="004B0BFF" w:rsidP="004B0BFF">
      <w:pPr>
        <w:numPr>
          <w:ilvl w:val="0"/>
          <w:numId w:val="3"/>
        </w:numPr>
        <w:shd w:val="clear" w:color="auto" w:fill="FFFFFF"/>
        <w:spacing w:after="0" w:line="240" w:lineRule="auto"/>
        <w:ind w:left="360"/>
        <w:rPr>
          <w:rFonts w:cstheme="minorHAnsi"/>
          <w:spacing w:val="-5"/>
        </w:rPr>
      </w:pPr>
      <w:r w:rsidRPr="0025334E">
        <w:rPr>
          <w:rFonts w:cstheme="minorHAnsi"/>
          <w:spacing w:val="-5"/>
        </w:rPr>
        <w:t xml:space="preserve">P. </w:t>
      </w:r>
      <w:proofErr w:type="gramStart"/>
      <w:r w:rsidRPr="0025334E">
        <w:rPr>
          <w:rFonts w:cstheme="minorHAnsi"/>
          <w:spacing w:val="-5"/>
        </w:rPr>
        <w:t>Kraus ,</w:t>
      </w:r>
      <w:proofErr w:type="gramEnd"/>
      <w:r w:rsidRPr="0025334E">
        <w:rPr>
          <w:rFonts w:cstheme="minorHAnsi"/>
          <w:spacing w:val="-5"/>
        </w:rPr>
        <w:t xml:space="preserve"> D. A. </w:t>
      </w:r>
      <w:proofErr w:type="spellStart"/>
      <w:r w:rsidRPr="0025334E">
        <w:rPr>
          <w:rFonts w:cstheme="minorHAnsi"/>
          <w:spacing w:val="-5"/>
        </w:rPr>
        <w:t>Obenchain</w:t>
      </w:r>
      <w:proofErr w:type="spellEnd"/>
      <w:r w:rsidRPr="0025334E">
        <w:rPr>
          <w:rFonts w:cstheme="minorHAnsi"/>
          <w:spacing w:val="-5"/>
        </w:rPr>
        <w:t> and I. Frank , </w:t>
      </w:r>
      <w:r w:rsidRPr="0025334E">
        <w:rPr>
          <w:rStyle w:val="Emphasis"/>
          <w:rFonts w:cstheme="minorHAnsi"/>
          <w:spacing w:val="-5"/>
        </w:rPr>
        <w:t>J. Phys. Chem. A</w:t>
      </w:r>
      <w:r w:rsidRPr="0025334E">
        <w:rPr>
          <w:rFonts w:cstheme="minorHAnsi"/>
          <w:spacing w:val="-5"/>
        </w:rPr>
        <w:t>, 2018, </w:t>
      </w:r>
      <w:proofErr w:type="gramStart"/>
      <w:r w:rsidRPr="0025334E">
        <w:rPr>
          <w:rStyle w:val="Strong"/>
          <w:rFonts w:cstheme="minorHAnsi"/>
          <w:spacing w:val="-5"/>
        </w:rPr>
        <w:t>122</w:t>
      </w:r>
      <w:r w:rsidRPr="0025334E">
        <w:rPr>
          <w:rFonts w:cstheme="minorHAnsi"/>
          <w:spacing w:val="-5"/>
        </w:rPr>
        <w:t> ,</w:t>
      </w:r>
      <w:proofErr w:type="gramEnd"/>
      <w:r w:rsidRPr="0025334E">
        <w:rPr>
          <w:rFonts w:cstheme="minorHAnsi"/>
          <w:spacing w:val="-5"/>
        </w:rPr>
        <w:t xml:space="preserve"> 1077 -1087 </w:t>
      </w:r>
    </w:p>
    <w:p w14:paraId="307A0475" w14:textId="7D903B0D" w:rsidR="004B0BFF" w:rsidRPr="0025334E" w:rsidRDefault="004B0BFF" w:rsidP="004B0BFF">
      <w:pPr>
        <w:numPr>
          <w:ilvl w:val="0"/>
          <w:numId w:val="3"/>
        </w:numPr>
        <w:shd w:val="clear" w:color="auto" w:fill="FFFFFF"/>
        <w:spacing w:after="0" w:line="240" w:lineRule="auto"/>
        <w:ind w:left="360"/>
        <w:rPr>
          <w:rFonts w:cstheme="minorHAnsi"/>
          <w:spacing w:val="-5"/>
        </w:rPr>
      </w:pPr>
      <w:r w:rsidRPr="0025334E">
        <w:rPr>
          <w:rFonts w:cstheme="minorHAnsi"/>
          <w:spacing w:val="-5"/>
        </w:rPr>
        <w:t xml:space="preserve">J. L. </w:t>
      </w:r>
      <w:proofErr w:type="gramStart"/>
      <w:r w:rsidRPr="0025334E">
        <w:rPr>
          <w:rFonts w:cstheme="minorHAnsi"/>
          <w:spacing w:val="-5"/>
        </w:rPr>
        <w:t>Bao ,</w:t>
      </w:r>
      <w:proofErr w:type="gramEnd"/>
      <w:r w:rsidRPr="0025334E">
        <w:rPr>
          <w:rFonts w:cstheme="minorHAnsi"/>
          <w:spacing w:val="-5"/>
        </w:rPr>
        <w:t xml:space="preserve"> L. Gagliardi and D. G. </w:t>
      </w:r>
      <w:proofErr w:type="spellStart"/>
      <w:r w:rsidRPr="0025334E">
        <w:rPr>
          <w:rFonts w:cstheme="minorHAnsi"/>
          <w:spacing w:val="-5"/>
        </w:rPr>
        <w:t>Truhlar</w:t>
      </w:r>
      <w:proofErr w:type="spellEnd"/>
      <w:r w:rsidRPr="0025334E">
        <w:rPr>
          <w:rFonts w:cstheme="minorHAnsi"/>
          <w:spacing w:val="-5"/>
        </w:rPr>
        <w:t> , </w:t>
      </w:r>
      <w:r w:rsidRPr="0025334E">
        <w:rPr>
          <w:rStyle w:val="Emphasis"/>
          <w:rFonts w:cstheme="minorHAnsi"/>
          <w:spacing w:val="-5"/>
        </w:rPr>
        <w:t>J. Phys. Chem. Lett.</w:t>
      </w:r>
      <w:r w:rsidRPr="0025334E">
        <w:rPr>
          <w:rFonts w:cstheme="minorHAnsi"/>
          <w:spacing w:val="-5"/>
        </w:rPr>
        <w:t>, 2018, </w:t>
      </w:r>
      <w:r w:rsidRPr="0025334E">
        <w:rPr>
          <w:rStyle w:val="Strong"/>
          <w:rFonts w:cstheme="minorHAnsi"/>
          <w:spacing w:val="-5"/>
        </w:rPr>
        <w:t>9</w:t>
      </w:r>
      <w:r w:rsidRPr="0025334E">
        <w:rPr>
          <w:rFonts w:cstheme="minorHAnsi"/>
          <w:spacing w:val="-5"/>
        </w:rPr>
        <w:t> , 2353 -2358 </w:t>
      </w:r>
    </w:p>
    <w:p w14:paraId="5409C8A1" w14:textId="2136642D" w:rsidR="004B0BFF" w:rsidRPr="0025334E" w:rsidRDefault="004B0BFF" w:rsidP="004B0BFF">
      <w:pPr>
        <w:numPr>
          <w:ilvl w:val="0"/>
          <w:numId w:val="3"/>
        </w:numPr>
        <w:shd w:val="clear" w:color="auto" w:fill="FFFFFF"/>
        <w:spacing w:after="0" w:line="240" w:lineRule="auto"/>
        <w:ind w:left="360"/>
        <w:rPr>
          <w:rFonts w:cstheme="minorHAnsi"/>
          <w:spacing w:val="-5"/>
        </w:rPr>
      </w:pPr>
      <w:r w:rsidRPr="0025334E">
        <w:rPr>
          <w:rFonts w:cstheme="minorHAnsi"/>
          <w:spacing w:val="-5"/>
        </w:rPr>
        <w:t xml:space="preserve">M. Lundberg and P. E. M. </w:t>
      </w:r>
      <w:proofErr w:type="gramStart"/>
      <w:r w:rsidRPr="0025334E">
        <w:rPr>
          <w:rFonts w:cstheme="minorHAnsi"/>
          <w:spacing w:val="-5"/>
        </w:rPr>
        <w:t>Siegbahn ,</w:t>
      </w:r>
      <w:proofErr w:type="gramEnd"/>
      <w:r w:rsidRPr="0025334E">
        <w:rPr>
          <w:rFonts w:cstheme="minorHAnsi"/>
          <w:spacing w:val="-5"/>
        </w:rPr>
        <w:t> </w:t>
      </w:r>
      <w:r w:rsidRPr="0025334E">
        <w:rPr>
          <w:rStyle w:val="Emphasis"/>
          <w:rFonts w:cstheme="minorHAnsi"/>
          <w:spacing w:val="-5"/>
        </w:rPr>
        <w:t>J. Chem. Phys.</w:t>
      </w:r>
      <w:r w:rsidRPr="0025334E">
        <w:rPr>
          <w:rFonts w:cstheme="minorHAnsi"/>
          <w:spacing w:val="-5"/>
        </w:rPr>
        <w:t>, 2005, </w:t>
      </w:r>
      <w:r w:rsidRPr="0025334E">
        <w:rPr>
          <w:rStyle w:val="Strong"/>
          <w:rFonts w:cstheme="minorHAnsi"/>
          <w:spacing w:val="-5"/>
        </w:rPr>
        <w:t>122</w:t>
      </w:r>
      <w:r w:rsidRPr="0025334E">
        <w:rPr>
          <w:rFonts w:cstheme="minorHAnsi"/>
          <w:spacing w:val="-5"/>
        </w:rPr>
        <w:t> , 224103 </w:t>
      </w:r>
    </w:p>
    <w:p w14:paraId="1662B74F" w14:textId="3EADCEF7" w:rsidR="004B0BFF" w:rsidRPr="0025334E" w:rsidRDefault="004B0BFF" w:rsidP="004B0BFF">
      <w:pPr>
        <w:numPr>
          <w:ilvl w:val="0"/>
          <w:numId w:val="3"/>
        </w:numPr>
        <w:shd w:val="clear" w:color="auto" w:fill="FFFFFF"/>
        <w:spacing w:after="0" w:line="240" w:lineRule="auto"/>
        <w:ind w:left="360"/>
        <w:rPr>
          <w:rFonts w:cstheme="minorHAnsi"/>
          <w:spacing w:val="-5"/>
        </w:rPr>
      </w:pPr>
      <w:r w:rsidRPr="0025334E">
        <w:rPr>
          <w:rFonts w:cstheme="minorHAnsi"/>
          <w:spacing w:val="-5"/>
        </w:rPr>
        <w:t xml:space="preserve">Y. Zhang and W. </w:t>
      </w:r>
      <w:proofErr w:type="gramStart"/>
      <w:r w:rsidRPr="0025334E">
        <w:rPr>
          <w:rFonts w:cstheme="minorHAnsi"/>
          <w:spacing w:val="-5"/>
        </w:rPr>
        <w:t>Yang ,</w:t>
      </w:r>
      <w:proofErr w:type="gramEnd"/>
      <w:r w:rsidRPr="0025334E">
        <w:rPr>
          <w:rFonts w:cstheme="minorHAnsi"/>
          <w:spacing w:val="-5"/>
        </w:rPr>
        <w:t> </w:t>
      </w:r>
      <w:r w:rsidRPr="0025334E">
        <w:rPr>
          <w:rStyle w:val="Emphasis"/>
          <w:rFonts w:cstheme="minorHAnsi"/>
          <w:spacing w:val="-5"/>
        </w:rPr>
        <w:t>J. Chem. Phys.</w:t>
      </w:r>
      <w:r w:rsidRPr="0025334E">
        <w:rPr>
          <w:rFonts w:cstheme="minorHAnsi"/>
          <w:spacing w:val="-5"/>
        </w:rPr>
        <w:t>, 1998, </w:t>
      </w:r>
      <w:r w:rsidRPr="0025334E">
        <w:rPr>
          <w:rStyle w:val="Strong"/>
          <w:rFonts w:cstheme="minorHAnsi"/>
          <w:spacing w:val="-5"/>
        </w:rPr>
        <w:t>109</w:t>
      </w:r>
      <w:r w:rsidRPr="0025334E">
        <w:rPr>
          <w:rFonts w:cstheme="minorHAnsi"/>
          <w:spacing w:val="-5"/>
        </w:rPr>
        <w:t> , 2604 -2608 </w:t>
      </w:r>
    </w:p>
    <w:p w14:paraId="641F1DF9" w14:textId="2CE9B18C" w:rsidR="004B0BFF" w:rsidRPr="0025334E" w:rsidRDefault="004B0BFF" w:rsidP="004B0BFF">
      <w:pPr>
        <w:numPr>
          <w:ilvl w:val="0"/>
          <w:numId w:val="3"/>
        </w:numPr>
        <w:shd w:val="clear" w:color="auto" w:fill="FFFFFF"/>
        <w:spacing w:after="0" w:line="240" w:lineRule="auto"/>
        <w:ind w:left="360"/>
        <w:rPr>
          <w:rFonts w:cstheme="minorHAnsi"/>
          <w:spacing w:val="-5"/>
        </w:rPr>
      </w:pPr>
      <w:r w:rsidRPr="0025334E">
        <w:rPr>
          <w:rFonts w:cstheme="minorHAnsi"/>
          <w:spacing w:val="-5"/>
        </w:rPr>
        <w:t>F. Jensen </w:t>
      </w:r>
      <w:r w:rsidRPr="0025334E">
        <w:rPr>
          <w:rStyle w:val="Emphasis"/>
          <w:rFonts w:cstheme="minorHAnsi"/>
          <w:spacing w:val="-5"/>
        </w:rPr>
        <w:t>Chem. Phys. Lett.</w:t>
      </w:r>
      <w:r w:rsidRPr="0025334E">
        <w:rPr>
          <w:rFonts w:cstheme="minorHAnsi"/>
          <w:spacing w:val="-5"/>
        </w:rPr>
        <w:t>, 1996, </w:t>
      </w:r>
      <w:proofErr w:type="gramStart"/>
      <w:r w:rsidRPr="0025334E">
        <w:rPr>
          <w:rStyle w:val="Strong"/>
          <w:rFonts w:cstheme="minorHAnsi"/>
          <w:spacing w:val="-5"/>
        </w:rPr>
        <w:t>261</w:t>
      </w:r>
      <w:r w:rsidRPr="0025334E">
        <w:rPr>
          <w:rFonts w:cstheme="minorHAnsi"/>
          <w:spacing w:val="-5"/>
        </w:rPr>
        <w:t> ,</w:t>
      </w:r>
      <w:proofErr w:type="gramEnd"/>
      <w:r w:rsidRPr="0025334E">
        <w:rPr>
          <w:rFonts w:cstheme="minorHAnsi"/>
          <w:spacing w:val="-5"/>
        </w:rPr>
        <w:t xml:space="preserve"> 633 -636 </w:t>
      </w:r>
    </w:p>
    <w:p w14:paraId="18CDD637" w14:textId="1C4D1D35" w:rsidR="004B0BFF" w:rsidRPr="0025334E" w:rsidRDefault="004B0BFF" w:rsidP="004B0BFF">
      <w:pPr>
        <w:numPr>
          <w:ilvl w:val="0"/>
          <w:numId w:val="3"/>
        </w:numPr>
        <w:shd w:val="clear" w:color="auto" w:fill="FFFFFF"/>
        <w:spacing w:after="0" w:line="240" w:lineRule="auto"/>
        <w:ind w:left="360"/>
        <w:rPr>
          <w:rFonts w:cstheme="minorHAnsi"/>
          <w:spacing w:val="-5"/>
        </w:rPr>
      </w:pPr>
      <w:r w:rsidRPr="0025334E">
        <w:rPr>
          <w:rFonts w:cstheme="minorHAnsi"/>
          <w:spacing w:val="-5"/>
        </w:rPr>
        <w:t xml:space="preserve">S. </w:t>
      </w:r>
      <w:proofErr w:type="spellStart"/>
      <w:proofErr w:type="gramStart"/>
      <w:r w:rsidRPr="0025334E">
        <w:rPr>
          <w:rFonts w:cstheme="minorHAnsi"/>
          <w:spacing w:val="-5"/>
        </w:rPr>
        <w:t>Grimme</w:t>
      </w:r>
      <w:proofErr w:type="spellEnd"/>
      <w:r w:rsidRPr="0025334E">
        <w:rPr>
          <w:rFonts w:cstheme="minorHAnsi"/>
          <w:spacing w:val="-5"/>
        </w:rPr>
        <w:t> ,</w:t>
      </w:r>
      <w:proofErr w:type="gramEnd"/>
      <w:r w:rsidRPr="0025334E">
        <w:rPr>
          <w:rFonts w:cstheme="minorHAnsi"/>
          <w:spacing w:val="-5"/>
        </w:rPr>
        <w:t> J. Antony , S. Ehrlich and H. Krieg , </w:t>
      </w:r>
      <w:r w:rsidRPr="0025334E">
        <w:rPr>
          <w:rStyle w:val="Emphasis"/>
          <w:rFonts w:cstheme="minorHAnsi"/>
          <w:spacing w:val="-5"/>
        </w:rPr>
        <w:t>J. Chem. Phys.</w:t>
      </w:r>
      <w:r w:rsidRPr="0025334E">
        <w:rPr>
          <w:rFonts w:cstheme="minorHAnsi"/>
          <w:spacing w:val="-5"/>
        </w:rPr>
        <w:t>, 2010, </w:t>
      </w:r>
      <w:r w:rsidRPr="0025334E">
        <w:rPr>
          <w:rStyle w:val="Strong"/>
          <w:rFonts w:cstheme="minorHAnsi"/>
          <w:spacing w:val="-5"/>
        </w:rPr>
        <w:t>132</w:t>
      </w:r>
      <w:r w:rsidRPr="0025334E">
        <w:rPr>
          <w:rFonts w:cstheme="minorHAnsi"/>
          <w:spacing w:val="-5"/>
        </w:rPr>
        <w:t> , 154104 </w:t>
      </w:r>
    </w:p>
    <w:p w14:paraId="2B9FC004" w14:textId="55662975" w:rsidR="004B0BFF" w:rsidRPr="0025334E" w:rsidRDefault="004B0BFF" w:rsidP="004B0BFF">
      <w:pPr>
        <w:numPr>
          <w:ilvl w:val="0"/>
          <w:numId w:val="3"/>
        </w:numPr>
        <w:shd w:val="clear" w:color="auto" w:fill="FFFFFF"/>
        <w:spacing w:after="0" w:line="240" w:lineRule="auto"/>
        <w:ind w:left="360"/>
        <w:rPr>
          <w:rFonts w:cstheme="minorHAnsi"/>
          <w:spacing w:val="-5"/>
        </w:rPr>
      </w:pPr>
      <w:r w:rsidRPr="0025334E">
        <w:rPr>
          <w:rFonts w:cstheme="minorHAnsi"/>
          <w:spacing w:val="-5"/>
        </w:rPr>
        <w:t xml:space="preserve">K. </w:t>
      </w:r>
      <w:proofErr w:type="gramStart"/>
      <w:r w:rsidRPr="0025334E">
        <w:rPr>
          <w:rFonts w:cstheme="minorHAnsi"/>
          <w:spacing w:val="-5"/>
        </w:rPr>
        <w:t>Berland ,</w:t>
      </w:r>
      <w:proofErr w:type="gramEnd"/>
      <w:r w:rsidRPr="0025334E">
        <w:rPr>
          <w:rFonts w:cstheme="minorHAnsi"/>
          <w:spacing w:val="-5"/>
        </w:rPr>
        <w:t xml:space="preserve"> V. R. Cooper , K. Lee , E. </w:t>
      </w:r>
      <w:proofErr w:type="spellStart"/>
      <w:r w:rsidRPr="0025334E">
        <w:rPr>
          <w:rFonts w:cstheme="minorHAnsi"/>
          <w:spacing w:val="-5"/>
        </w:rPr>
        <w:t>Schröder</w:t>
      </w:r>
      <w:proofErr w:type="spellEnd"/>
      <w:r w:rsidRPr="0025334E">
        <w:rPr>
          <w:rFonts w:cstheme="minorHAnsi"/>
          <w:spacing w:val="-5"/>
        </w:rPr>
        <w:t xml:space="preserve"> , T. </w:t>
      </w:r>
      <w:proofErr w:type="spellStart"/>
      <w:r w:rsidRPr="0025334E">
        <w:rPr>
          <w:rFonts w:cstheme="minorHAnsi"/>
          <w:spacing w:val="-5"/>
        </w:rPr>
        <w:t>Thonhauser</w:t>
      </w:r>
      <w:proofErr w:type="spellEnd"/>
      <w:r w:rsidRPr="0025334E">
        <w:rPr>
          <w:rFonts w:cstheme="minorHAnsi"/>
          <w:spacing w:val="-5"/>
        </w:rPr>
        <w:t xml:space="preserve"> , P. </w:t>
      </w:r>
      <w:proofErr w:type="spellStart"/>
      <w:r w:rsidRPr="0025334E">
        <w:rPr>
          <w:rFonts w:cstheme="minorHAnsi"/>
          <w:spacing w:val="-5"/>
        </w:rPr>
        <w:t>Hyldgaard</w:t>
      </w:r>
      <w:proofErr w:type="spellEnd"/>
      <w:r w:rsidRPr="0025334E">
        <w:rPr>
          <w:rFonts w:cstheme="minorHAnsi"/>
          <w:spacing w:val="-5"/>
        </w:rPr>
        <w:t> and B. I. Lundqvist , </w:t>
      </w:r>
      <w:r w:rsidRPr="0025334E">
        <w:rPr>
          <w:rStyle w:val="Emphasis"/>
          <w:rFonts w:cstheme="minorHAnsi"/>
          <w:spacing w:val="-5"/>
        </w:rPr>
        <w:t>Rep. Prog. Phys.</w:t>
      </w:r>
      <w:r w:rsidRPr="0025334E">
        <w:rPr>
          <w:rFonts w:cstheme="minorHAnsi"/>
          <w:spacing w:val="-5"/>
        </w:rPr>
        <w:t>, 2015, </w:t>
      </w:r>
      <w:proofErr w:type="gramStart"/>
      <w:r w:rsidRPr="0025334E">
        <w:rPr>
          <w:rStyle w:val="Strong"/>
          <w:rFonts w:cstheme="minorHAnsi"/>
          <w:spacing w:val="-5"/>
        </w:rPr>
        <w:t>78</w:t>
      </w:r>
      <w:r w:rsidRPr="0025334E">
        <w:rPr>
          <w:rFonts w:cstheme="minorHAnsi"/>
          <w:spacing w:val="-5"/>
        </w:rPr>
        <w:t> ,</w:t>
      </w:r>
      <w:proofErr w:type="gramEnd"/>
      <w:r w:rsidRPr="0025334E">
        <w:rPr>
          <w:rFonts w:cstheme="minorHAnsi"/>
          <w:spacing w:val="-5"/>
        </w:rPr>
        <w:t xml:space="preserve"> 066501 </w:t>
      </w:r>
    </w:p>
    <w:p w14:paraId="2A963099" w14:textId="4B5157FA" w:rsidR="004B0BFF" w:rsidRPr="0025334E" w:rsidRDefault="004B0BFF" w:rsidP="004B0BFF">
      <w:pPr>
        <w:numPr>
          <w:ilvl w:val="0"/>
          <w:numId w:val="3"/>
        </w:numPr>
        <w:shd w:val="clear" w:color="auto" w:fill="FFFFFF"/>
        <w:spacing w:after="0" w:line="240" w:lineRule="auto"/>
        <w:ind w:left="360"/>
        <w:rPr>
          <w:rFonts w:cstheme="minorHAnsi"/>
          <w:spacing w:val="-5"/>
        </w:rPr>
      </w:pPr>
      <w:r w:rsidRPr="0025334E">
        <w:rPr>
          <w:rFonts w:cstheme="minorHAnsi"/>
          <w:spacing w:val="-5"/>
        </w:rPr>
        <w:t xml:space="preserve">M. </w:t>
      </w:r>
      <w:proofErr w:type="gramStart"/>
      <w:r w:rsidRPr="0025334E">
        <w:rPr>
          <w:rFonts w:cstheme="minorHAnsi"/>
          <w:spacing w:val="-5"/>
        </w:rPr>
        <w:t>Renz ,</w:t>
      </w:r>
      <w:proofErr w:type="gramEnd"/>
      <w:r w:rsidRPr="0025334E">
        <w:rPr>
          <w:rFonts w:cstheme="minorHAnsi"/>
          <w:spacing w:val="-5"/>
        </w:rPr>
        <w:t xml:space="preserve"> K. </w:t>
      </w:r>
      <w:proofErr w:type="spellStart"/>
      <w:r w:rsidRPr="0025334E">
        <w:rPr>
          <w:rFonts w:cstheme="minorHAnsi"/>
          <w:spacing w:val="-5"/>
        </w:rPr>
        <w:t>Theilacker</w:t>
      </w:r>
      <w:proofErr w:type="spellEnd"/>
      <w:r w:rsidRPr="0025334E">
        <w:rPr>
          <w:rFonts w:cstheme="minorHAnsi"/>
          <w:spacing w:val="-5"/>
        </w:rPr>
        <w:t xml:space="preserve"> , C. Lambert and M. </w:t>
      </w:r>
      <w:proofErr w:type="spellStart"/>
      <w:r w:rsidRPr="0025334E">
        <w:rPr>
          <w:rFonts w:cstheme="minorHAnsi"/>
          <w:spacing w:val="-5"/>
        </w:rPr>
        <w:t>Kaupp</w:t>
      </w:r>
      <w:proofErr w:type="spellEnd"/>
      <w:r w:rsidRPr="0025334E">
        <w:rPr>
          <w:rFonts w:cstheme="minorHAnsi"/>
          <w:spacing w:val="-5"/>
        </w:rPr>
        <w:t> , </w:t>
      </w:r>
      <w:r w:rsidRPr="0025334E">
        <w:rPr>
          <w:rStyle w:val="Emphasis"/>
          <w:rFonts w:cstheme="minorHAnsi"/>
          <w:spacing w:val="-5"/>
        </w:rPr>
        <w:t>J. Am. Chem. Soc.</w:t>
      </w:r>
      <w:r w:rsidRPr="0025334E">
        <w:rPr>
          <w:rFonts w:cstheme="minorHAnsi"/>
          <w:spacing w:val="-5"/>
        </w:rPr>
        <w:t>, 2009, </w:t>
      </w:r>
      <w:r w:rsidRPr="0025334E">
        <w:rPr>
          <w:rStyle w:val="Strong"/>
          <w:rFonts w:cstheme="minorHAnsi"/>
          <w:spacing w:val="-5"/>
        </w:rPr>
        <w:t>131</w:t>
      </w:r>
      <w:r w:rsidRPr="0025334E">
        <w:rPr>
          <w:rFonts w:cstheme="minorHAnsi"/>
          <w:spacing w:val="-5"/>
        </w:rPr>
        <w:t> , 16292 -16302 </w:t>
      </w:r>
    </w:p>
    <w:p w14:paraId="5ED31A92" w14:textId="0AA8EFEF" w:rsidR="004B0BFF" w:rsidRPr="0025334E" w:rsidRDefault="004B0BFF" w:rsidP="004B0BFF">
      <w:pPr>
        <w:numPr>
          <w:ilvl w:val="0"/>
          <w:numId w:val="3"/>
        </w:numPr>
        <w:shd w:val="clear" w:color="auto" w:fill="FFFFFF"/>
        <w:spacing w:after="0" w:line="240" w:lineRule="auto"/>
        <w:ind w:left="360"/>
        <w:rPr>
          <w:rFonts w:cstheme="minorHAnsi"/>
          <w:spacing w:val="-5"/>
        </w:rPr>
      </w:pPr>
      <w:r w:rsidRPr="0025334E">
        <w:rPr>
          <w:rFonts w:cstheme="minorHAnsi"/>
          <w:spacing w:val="-5"/>
        </w:rPr>
        <w:t xml:space="preserve">R. </w:t>
      </w:r>
      <w:proofErr w:type="gramStart"/>
      <w:r w:rsidRPr="0025334E">
        <w:rPr>
          <w:rFonts w:cstheme="minorHAnsi"/>
          <w:spacing w:val="-5"/>
        </w:rPr>
        <w:t>Baer ,</w:t>
      </w:r>
      <w:proofErr w:type="gramEnd"/>
      <w:r w:rsidRPr="0025334E">
        <w:rPr>
          <w:rFonts w:cstheme="minorHAnsi"/>
          <w:spacing w:val="-5"/>
        </w:rPr>
        <w:t xml:space="preserve"> E. </w:t>
      </w:r>
      <w:proofErr w:type="spellStart"/>
      <w:r w:rsidRPr="0025334E">
        <w:rPr>
          <w:rFonts w:cstheme="minorHAnsi"/>
          <w:spacing w:val="-5"/>
        </w:rPr>
        <w:t>Livshits</w:t>
      </w:r>
      <w:proofErr w:type="spellEnd"/>
      <w:r w:rsidRPr="0025334E">
        <w:rPr>
          <w:rFonts w:cstheme="minorHAnsi"/>
          <w:spacing w:val="-5"/>
        </w:rPr>
        <w:t xml:space="preserve"> and U. </w:t>
      </w:r>
      <w:proofErr w:type="spellStart"/>
      <w:r w:rsidRPr="0025334E">
        <w:rPr>
          <w:rFonts w:cstheme="minorHAnsi"/>
          <w:spacing w:val="-5"/>
        </w:rPr>
        <w:t>Salzner</w:t>
      </w:r>
      <w:proofErr w:type="spellEnd"/>
      <w:r w:rsidRPr="0025334E">
        <w:rPr>
          <w:rFonts w:cstheme="minorHAnsi"/>
          <w:spacing w:val="-5"/>
        </w:rPr>
        <w:t> , </w:t>
      </w:r>
      <w:proofErr w:type="spellStart"/>
      <w:r w:rsidRPr="0025334E">
        <w:rPr>
          <w:rStyle w:val="Emphasis"/>
          <w:rFonts w:cstheme="minorHAnsi"/>
          <w:spacing w:val="-5"/>
        </w:rPr>
        <w:t>Annu</w:t>
      </w:r>
      <w:proofErr w:type="spellEnd"/>
      <w:r w:rsidRPr="0025334E">
        <w:rPr>
          <w:rStyle w:val="Emphasis"/>
          <w:rFonts w:cstheme="minorHAnsi"/>
          <w:spacing w:val="-5"/>
        </w:rPr>
        <w:t>. Rev. Phys. Chem.</w:t>
      </w:r>
      <w:r w:rsidRPr="0025334E">
        <w:rPr>
          <w:rFonts w:cstheme="minorHAnsi"/>
          <w:spacing w:val="-5"/>
        </w:rPr>
        <w:t>, 2010, </w:t>
      </w:r>
      <w:proofErr w:type="gramStart"/>
      <w:r w:rsidRPr="0025334E">
        <w:rPr>
          <w:rStyle w:val="Strong"/>
          <w:rFonts w:cstheme="minorHAnsi"/>
          <w:spacing w:val="-5"/>
        </w:rPr>
        <w:t>61</w:t>
      </w:r>
      <w:r w:rsidRPr="0025334E">
        <w:rPr>
          <w:rFonts w:cstheme="minorHAnsi"/>
          <w:spacing w:val="-5"/>
        </w:rPr>
        <w:t> ,</w:t>
      </w:r>
      <w:proofErr w:type="gramEnd"/>
      <w:r w:rsidRPr="0025334E">
        <w:rPr>
          <w:rFonts w:cstheme="minorHAnsi"/>
          <w:spacing w:val="-5"/>
        </w:rPr>
        <w:t xml:space="preserve"> 85 -109 </w:t>
      </w:r>
    </w:p>
    <w:p w14:paraId="63AF4DB2" w14:textId="0E095CB3" w:rsidR="004B0BFF" w:rsidRPr="0025334E" w:rsidRDefault="004B0BFF" w:rsidP="004B0BFF">
      <w:pPr>
        <w:numPr>
          <w:ilvl w:val="0"/>
          <w:numId w:val="3"/>
        </w:numPr>
        <w:shd w:val="clear" w:color="auto" w:fill="FFFFFF"/>
        <w:spacing w:after="0" w:line="240" w:lineRule="auto"/>
        <w:ind w:left="360"/>
        <w:rPr>
          <w:rFonts w:cstheme="minorHAnsi"/>
          <w:spacing w:val="-5"/>
        </w:rPr>
      </w:pPr>
      <w:r w:rsidRPr="0025334E">
        <w:rPr>
          <w:rFonts w:cstheme="minorHAnsi"/>
          <w:spacing w:val="-5"/>
        </w:rPr>
        <w:t xml:space="preserve">R. </w:t>
      </w:r>
      <w:proofErr w:type="spellStart"/>
      <w:r w:rsidRPr="0025334E">
        <w:rPr>
          <w:rFonts w:cstheme="minorHAnsi"/>
          <w:spacing w:val="-5"/>
        </w:rPr>
        <w:t>Cammi</w:t>
      </w:r>
      <w:proofErr w:type="spellEnd"/>
      <w:r w:rsidRPr="0025334E">
        <w:rPr>
          <w:rFonts w:cstheme="minorHAnsi"/>
          <w:spacing w:val="-5"/>
        </w:rPr>
        <w:t xml:space="preserve"> and J. </w:t>
      </w:r>
      <w:proofErr w:type="spellStart"/>
      <w:proofErr w:type="gramStart"/>
      <w:r w:rsidRPr="0025334E">
        <w:rPr>
          <w:rFonts w:cstheme="minorHAnsi"/>
          <w:spacing w:val="-5"/>
        </w:rPr>
        <w:t>Tomasi</w:t>
      </w:r>
      <w:proofErr w:type="spellEnd"/>
      <w:r w:rsidRPr="0025334E">
        <w:rPr>
          <w:rFonts w:cstheme="minorHAnsi"/>
          <w:spacing w:val="-5"/>
        </w:rPr>
        <w:t> ,</w:t>
      </w:r>
      <w:proofErr w:type="gramEnd"/>
      <w:r w:rsidRPr="0025334E">
        <w:rPr>
          <w:rFonts w:cstheme="minorHAnsi"/>
          <w:spacing w:val="-5"/>
        </w:rPr>
        <w:t> </w:t>
      </w:r>
      <w:proofErr w:type="spellStart"/>
      <w:r w:rsidRPr="0025334E">
        <w:rPr>
          <w:rStyle w:val="Emphasis"/>
          <w:rFonts w:cstheme="minorHAnsi"/>
          <w:spacing w:val="-5"/>
        </w:rPr>
        <w:t>Theor</w:t>
      </w:r>
      <w:proofErr w:type="spellEnd"/>
      <w:r w:rsidRPr="0025334E">
        <w:rPr>
          <w:rStyle w:val="Emphasis"/>
          <w:rFonts w:cstheme="minorHAnsi"/>
          <w:spacing w:val="-5"/>
        </w:rPr>
        <w:t xml:space="preserve">. </w:t>
      </w:r>
      <w:proofErr w:type="spellStart"/>
      <w:r w:rsidRPr="0025334E">
        <w:rPr>
          <w:rStyle w:val="Emphasis"/>
          <w:rFonts w:cstheme="minorHAnsi"/>
          <w:spacing w:val="-5"/>
        </w:rPr>
        <w:t>Chim</w:t>
      </w:r>
      <w:proofErr w:type="spellEnd"/>
      <w:r w:rsidRPr="0025334E">
        <w:rPr>
          <w:rStyle w:val="Emphasis"/>
          <w:rFonts w:cstheme="minorHAnsi"/>
          <w:spacing w:val="-5"/>
        </w:rPr>
        <w:t>. Acta</w:t>
      </w:r>
      <w:r w:rsidRPr="0025334E">
        <w:rPr>
          <w:rFonts w:cstheme="minorHAnsi"/>
          <w:spacing w:val="-5"/>
        </w:rPr>
        <w:t>, 1986, </w:t>
      </w:r>
      <w:proofErr w:type="gramStart"/>
      <w:r w:rsidRPr="0025334E">
        <w:rPr>
          <w:rStyle w:val="Strong"/>
          <w:rFonts w:cstheme="minorHAnsi"/>
          <w:spacing w:val="-5"/>
        </w:rPr>
        <w:t>69</w:t>
      </w:r>
      <w:r w:rsidRPr="0025334E">
        <w:rPr>
          <w:rFonts w:cstheme="minorHAnsi"/>
          <w:spacing w:val="-5"/>
        </w:rPr>
        <w:t> ,</w:t>
      </w:r>
      <w:proofErr w:type="gramEnd"/>
      <w:r w:rsidRPr="0025334E">
        <w:rPr>
          <w:rFonts w:cstheme="minorHAnsi"/>
          <w:spacing w:val="-5"/>
        </w:rPr>
        <w:t xml:space="preserve"> 11 -22 </w:t>
      </w:r>
    </w:p>
    <w:p w14:paraId="57448CC4" w14:textId="1835ED56" w:rsidR="004B0BFF" w:rsidRPr="0025334E" w:rsidRDefault="004B0BFF" w:rsidP="004B0BFF">
      <w:pPr>
        <w:numPr>
          <w:ilvl w:val="0"/>
          <w:numId w:val="3"/>
        </w:numPr>
        <w:shd w:val="clear" w:color="auto" w:fill="FFFFFF"/>
        <w:spacing w:after="0" w:line="240" w:lineRule="auto"/>
        <w:ind w:left="360"/>
        <w:rPr>
          <w:rFonts w:cstheme="minorHAnsi"/>
          <w:spacing w:val="-5"/>
        </w:rPr>
      </w:pPr>
      <w:r w:rsidRPr="0025334E">
        <w:rPr>
          <w:rFonts w:cstheme="minorHAnsi"/>
          <w:spacing w:val="-5"/>
        </w:rPr>
        <w:t xml:space="preserve">R. </w:t>
      </w:r>
      <w:proofErr w:type="spellStart"/>
      <w:proofErr w:type="gramStart"/>
      <w:r w:rsidRPr="0025334E">
        <w:rPr>
          <w:rFonts w:cstheme="minorHAnsi"/>
          <w:spacing w:val="-5"/>
        </w:rPr>
        <w:t>Cammi</w:t>
      </w:r>
      <w:proofErr w:type="spellEnd"/>
      <w:r w:rsidRPr="0025334E">
        <w:rPr>
          <w:rFonts w:cstheme="minorHAnsi"/>
          <w:spacing w:val="-5"/>
        </w:rPr>
        <w:t> ,</w:t>
      </w:r>
      <w:proofErr w:type="gramEnd"/>
      <w:r w:rsidRPr="0025334E">
        <w:rPr>
          <w:rFonts w:cstheme="minorHAnsi"/>
          <w:spacing w:val="-5"/>
        </w:rPr>
        <w:t xml:space="preserve"> R. </w:t>
      </w:r>
      <w:proofErr w:type="spellStart"/>
      <w:r w:rsidRPr="0025334E">
        <w:rPr>
          <w:rFonts w:cstheme="minorHAnsi"/>
          <w:spacing w:val="-5"/>
        </w:rPr>
        <w:t>Bonaccorsi</w:t>
      </w:r>
      <w:proofErr w:type="spellEnd"/>
      <w:r w:rsidRPr="0025334E">
        <w:rPr>
          <w:rFonts w:cstheme="minorHAnsi"/>
          <w:spacing w:val="-5"/>
        </w:rPr>
        <w:t xml:space="preserve"> and J. </w:t>
      </w:r>
      <w:proofErr w:type="spellStart"/>
      <w:r w:rsidRPr="0025334E">
        <w:rPr>
          <w:rFonts w:cstheme="minorHAnsi"/>
          <w:spacing w:val="-5"/>
        </w:rPr>
        <w:t>Tomasi</w:t>
      </w:r>
      <w:proofErr w:type="spellEnd"/>
      <w:r w:rsidRPr="0025334E">
        <w:rPr>
          <w:rFonts w:cstheme="minorHAnsi"/>
          <w:spacing w:val="-5"/>
        </w:rPr>
        <w:t> , </w:t>
      </w:r>
      <w:proofErr w:type="spellStart"/>
      <w:r w:rsidRPr="0025334E">
        <w:rPr>
          <w:rStyle w:val="Emphasis"/>
          <w:rFonts w:cstheme="minorHAnsi"/>
          <w:spacing w:val="-5"/>
        </w:rPr>
        <w:t>Theor</w:t>
      </w:r>
      <w:proofErr w:type="spellEnd"/>
      <w:r w:rsidRPr="0025334E">
        <w:rPr>
          <w:rStyle w:val="Emphasis"/>
          <w:rFonts w:cstheme="minorHAnsi"/>
          <w:spacing w:val="-5"/>
        </w:rPr>
        <w:t xml:space="preserve">. </w:t>
      </w:r>
      <w:proofErr w:type="spellStart"/>
      <w:r w:rsidRPr="0025334E">
        <w:rPr>
          <w:rStyle w:val="Emphasis"/>
          <w:rFonts w:cstheme="minorHAnsi"/>
          <w:spacing w:val="-5"/>
        </w:rPr>
        <w:t>Chim</w:t>
      </w:r>
      <w:proofErr w:type="spellEnd"/>
      <w:r w:rsidRPr="0025334E">
        <w:rPr>
          <w:rStyle w:val="Emphasis"/>
          <w:rFonts w:cstheme="minorHAnsi"/>
          <w:spacing w:val="-5"/>
        </w:rPr>
        <w:t>. Acta</w:t>
      </w:r>
      <w:r w:rsidRPr="0025334E">
        <w:rPr>
          <w:rFonts w:cstheme="minorHAnsi"/>
          <w:spacing w:val="-5"/>
        </w:rPr>
        <w:t>, 1985, </w:t>
      </w:r>
      <w:proofErr w:type="gramStart"/>
      <w:r w:rsidRPr="0025334E">
        <w:rPr>
          <w:rStyle w:val="Strong"/>
          <w:rFonts w:cstheme="minorHAnsi"/>
          <w:spacing w:val="-5"/>
        </w:rPr>
        <w:t>68</w:t>
      </w:r>
      <w:r w:rsidRPr="0025334E">
        <w:rPr>
          <w:rFonts w:cstheme="minorHAnsi"/>
          <w:spacing w:val="-5"/>
        </w:rPr>
        <w:t> ,</w:t>
      </w:r>
      <w:proofErr w:type="gramEnd"/>
      <w:r w:rsidRPr="0025334E">
        <w:rPr>
          <w:rFonts w:cstheme="minorHAnsi"/>
          <w:spacing w:val="-5"/>
        </w:rPr>
        <w:t xml:space="preserve"> 271 -283 </w:t>
      </w:r>
    </w:p>
    <w:p w14:paraId="7BD912A4" w14:textId="67DEB975" w:rsidR="004B0BFF" w:rsidRPr="0025334E" w:rsidRDefault="004B0BFF" w:rsidP="004B0BFF">
      <w:pPr>
        <w:numPr>
          <w:ilvl w:val="0"/>
          <w:numId w:val="3"/>
        </w:numPr>
        <w:shd w:val="clear" w:color="auto" w:fill="FFFFFF"/>
        <w:spacing w:after="0" w:line="240" w:lineRule="auto"/>
        <w:ind w:left="360"/>
        <w:rPr>
          <w:rFonts w:cstheme="minorHAnsi"/>
          <w:spacing w:val="-5"/>
        </w:rPr>
      </w:pPr>
      <w:r w:rsidRPr="0025334E">
        <w:rPr>
          <w:rFonts w:cstheme="minorHAnsi"/>
          <w:spacing w:val="-5"/>
        </w:rPr>
        <w:t xml:space="preserve">D. </w:t>
      </w:r>
      <w:proofErr w:type="spellStart"/>
      <w:proofErr w:type="gramStart"/>
      <w:r w:rsidRPr="0025334E">
        <w:rPr>
          <w:rFonts w:cstheme="minorHAnsi"/>
          <w:spacing w:val="-5"/>
        </w:rPr>
        <w:t>Kokkin</w:t>
      </w:r>
      <w:proofErr w:type="spellEnd"/>
      <w:r w:rsidRPr="0025334E">
        <w:rPr>
          <w:rFonts w:cstheme="minorHAnsi"/>
          <w:spacing w:val="-5"/>
        </w:rPr>
        <w:t> ,</w:t>
      </w:r>
      <w:proofErr w:type="gramEnd"/>
      <w:r w:rsidRPr="0025334E">
        <w:rPr>
          <w:rFonts w:cstheme="minorHAnsi"/>
          <w:spacing w:val="-5"/>
        </w:rPr>
        <w:t> M. V. Ivanov , J. Loman , J.-Z. Cai , R. Rathore and S. A. Reid , </w:t>
      </w:r>
      <w:r w:rsidRPr="0025334E">
        <w:rPr>
          <w:rStyle w:val="Emphasis"/>
          <w:rFonts w:cstheme="minorHAnsi"/>
          <w:spacing w:val="-5"/>
        </w:rPr>
        <w:t>J. Phys. Chem. Lett.</w:t>
      </w:r>
      <w:r w:rsidRPr="0025334E">
        <w:rPr>
          <w:rFonts w:cstheme="minorHAnsi"/>
          <w:spacing w:val="-5"/>
        </w:rPr>
        <w:t>, 2018, </w:t>
      </w:r>
      <w:r w:rsidRPr="0025334E">
        <w:rPr>
          <w:rStyle w:val="Strong"/>
          <w:rFonts w:cstheme="minorHAnsi"/>
          <w:spacing w:val="-5"/>
        </w:rPr>
        <w:t>9</w:t>
      </w:r>
      <w:r w:rsidRPr="0025334E">
        <w:rPr>
          <w:rFonts w:cstheme="minorHAnsi"/>
          <w:spacing w:val="-5"/>
        </w:rPr>
        <w:t> , 2058 -2061 </w:t>
      </w:r>
    </w:p>
    <w:p w14:paraId="51AD1CCE" w14:textId="667DA6B4" w:rsidR="004B0BFF" w:rsidRPr="0025334E" w:rsidRDefault="004B0BFF" w:rsidP="004B0BFF">
      <w:pPr>
        <w:numPr>
          <w:ilvl w:val="0"/>
          <w:numId w:val="3"/>
        </w:numPr>
        <w:shd w:val="clear" w:color="auto" w:fill="FFFFFF"/>
        <w:spacing w:after="0" w:line="240" w:lineRule="auto"/>
        <w:ind w:left="360"/>
        <w:rPr>
          <w:rFonts w:cstheme="minorHAnsi"/>
          <w:spacing w:val="-5"/>
        </w:rPr>
      </w:pPr>
      <w:r w:rsidRPr="0025334E">
        <w:rPr>
          <w:rFonts w:cstheme="minorHAnsi"/>
          <w:spacing w:val="-5"/>
        </w:rPr>
        <w:t xml:space="preserve">T. </w:t>
      </w:r>
      <w:proofErr w:type="spellStart"/>
      <w:proofErr w:type="gramStart"/>
      <w:r w:rsidRPr="0025334E">
        <w:rPr>
          <w:rFonts w:cstheme="minorHAnsi"/>
          <w:spacing w:val="-5"/>
        </w:rPr>
        <w:t>Yanai</w:t>
      </w:r>
      <w:proofErr w:type="spellEnd"/>
      <w:r w:rsidRPr="0025334E">
        <w:rPr>
          <w:rFonts w:cstheme="minorHAnsi"/>
          <w:spacing w:val="-5"/>
        </w:rPr>
        <w:t> ,</w:t>
      </w:r>
      <w:proofErr w:type="gramEnd"/>
      <w:r w:rsidRPr="0025334E">
        <w:rPr>
          <w:rFonts w:cstheme="minorHAnsi"/>
          <w:spacing w:val="-5"/>
        </w:rPr>
        <w:t xml:space="preserve"> D. P. </w:t>
      </w:r>
      <w:proofErr w:type="spellStart"/>
      <w:r w:rsidRPr="0025334E">
        <w:rPr>
          <w:rFonts w:cstheme="minorHAnsi"/>
          <w:spacing w:val="-5"/>
        </w:rPr>
        <w:t>Tew</w:t>
      </w:r>
      <w:proofErr w:type="spellEnd"/>
      <w:r w:rsidRPr="0025334E">
        <w:rPr>
          <w:rFonts w:cstheme="minorHAnsi"/>
          <w:spacing w:val="-5"/>
        </w:rPr>
        <w:t> and N. C. Handy , </w:t>
      </w:r>
      <w:r w:rsidRPr="0025334E">
        <w:rPr>
          <w:rStyle w:val="Emphasis"/>
          <w:rFonts w:cstheme="minorHAnsi"/>
          <w:spacing w:val="-5"/>
        </w:rPr>
        <w:t>Chem. Phys. Lett.</w:t>
      </w:r>
      <w:r w:rsidRPr="0025334E">
        <w:rPr>
          <w:rFonts w:cstheme="minorHAnsi"/>
          <w:spacing w:val="-5"/>
        </w:rPr>
        <w:t>, 2004, </w:t>
      </w:r>
      <w:r w:rsidRPr="0025334E">
        <w:rPr>
          <w:rStyle w:val="Strong"/>
          <w:rFonts w:cstheme="minorHAnsi"/>
          <w:spacing w:val="-5"/>
        </w:rPr>
        <w:t>393</w:t>
      </w:r>
      <w:r w:rsidRPr="0025334E">
        <w:rPr>
          <w:rFonts w:cstheme="minorHAnsi"/>
          <w:spacing w:val="-5"/>
        </w:rPr>
        <w:t> , 51 -57 </w:t>
      </w:r>
    </w:p>
    <w:p w14:paraId="7936F528" w14:textId="7D712220" w:rsidR="004B0BFF" w:rsidRPr="0025334E" w:rsidRDefault="004B0BFF" w:rsidP="004B0BFF">
      <w:pPr>
        <w:numPr>
          <w:ilvl w:val="0"/>
          <w:numId w:val="3"/>
        </w:numPr>
        <w:shd w:val="clear" w:color="auto" w:fill="FFFFFF"/>
        <w:spacing w:after="0" w:line="240" w:lineRule="auto"/>
        <w:ind w:left="360"/>
        <w:rPr>
          <w:rFonts w:cstheme="minorHAnsi"/>
          <w:spacing w:val="-5"/>
        </w:rPr>
      </w:pPr>
      <w:r w:rsidRPr="0025334E">
        <w:rPr>
          <w:rFonts w:cstheme="minorHAnsi"/>
          <w:spacing w:val="-5"/>
        </w:rPr>
        <w:t xml:space="preserve">M. R. </w:t>
      </w:r>
      <w:proofErr w:type="spellStart"/>
      <w:proofErr w:type="gramStart"/>
      <w:r w:rsidRPr="0025334E">
        <w:rPr>
          <w:rFonts w:cstheme="minorHAnsi"/>
          <w:spacing w:val="-5"/>
        </w:rPr>
        <w:t>Talipov</w:t>
      </w:r>
      <w:proofErr w:type="spellEnd"/>
      <w:r w:rsidRPr="0025334E">
        <w:rPr>
          <w:rFonts w:cstheme="minorHAnsi"/>
          <w:spacing w:val="-5"/>
        </w:rPr>
        <w:t> ,</w:t>
      </w:r>
      <w:proofErr w:type="gramEnd"/>
      <w:r w:rsidRPr="0025334E">
        <w:rPr>
          <w:rFonts w:cstheme="minorHAnsi"/>
          <w:spacing w:val="-5"/>
        </w:rPr>
        <w:t xml:space="preserve"> A. </w:t>
      </w:r>
      <w:proofErr w:type="spellStart"/>
      <w:r w:rsidRPr="0025334E">
        <w:rPr>
          <w:rFonts w:cstheme="minorHAnsi"/>
          <w:spacing w:val="-5"/>
        </w:rPr>
        <w:t>Boddeda</w:t>
      </w:r>
      <w:proofErr w:type="spellEnd"/>
      <w:r w:rsidRPr="0025334E">
        <w:rPr>
          <w:rFonts w:cstheme="minorHAnsi"/>
          <w:spacing w:val="-5"/>
        </w:rPr>
        <w:t> , Q. K. Timerghazin and R. Rathore , </w:t>
      </w:r>
      <w:r w:rsidRPr="0025334E">
        <w:rPr>
          <w:rStyle w:val="Emphasis"/>
          <w:rFonts w:cstheme="minorHAnsi"/>
          <w:spacing w:val="-5"/>
        </w:rPr>
        <w:t>J. Phys. Chem. C</w:t>
      </w:r>
      <w:r w:rsidRPr="0025334E">
        <w:rPr>
          <w:rFonts w:cstheme="minorHAnsi"/>
          <w:spacing w:val="-5"/>
        </w:rPr>
        <w:t>, 2014, </w:t>
      </w:r>
      <w:r w:rsidRPr="0025334E">
        <w:rPr>
          <w:rStyle w:val="Strong"/>
          <w:rFonts w:cstheme="minorHAnsi"/>
          <w:spacing w:val="-5"/>
        </w:rPr>
        <w:t>118</w:t>
      </w:r>
      <w:r w:rsidRPr="0025334E">
        <w:rPr>
          <w:rFonts w:cstheme="minorHAnsi"/>
          <w:spacing w:val="-5"/>
        </w:rPr>
        <w:t> , 21400 -21408 </w:t>
      </w:r>
    </w:p>
    <w:p w14:paraId="4C67F611" w14:textId="7837248D" w:rsidR="004B0BFF" w:rsidRPr="0025334E" w:rsidRDefault="004B0BFF" w:rsidP="004B0BFF">
      <w:pPr>
        <w:numPr>
          <w:ilvl w:val="0"/>
          <w:numId w:val="3"/>
        </w:numPr>
        <w:shd w:val="clear" w:color="auto" w:fill="FFFFFF"/>
        <w:spacing w:after="0" w:line="240" w:lineRule="auto"/>
        <w:ind w:left="360"/>
        <w:rPr>
          <w:rFonts w:cstheme="minorHAnsi"/>
          <w:spacing w:val="-5"/>
        </w:rPr>
      </w:pPr>
      <w:r w:rsidRPr="0025334E">
        <w:rPr>
          <w:rFonts w:cstheme="minorHAnsi"/>
          <w:spacing w:val="-5"/>
        </w:rPr>
        <w:t xml:space="preserve">D. </w:t>
      </w:r>
      <w:proofErr w:type="gramStart"/>
      <w:r w:rsidRPr="0025334E">
        <w:rPr>
          <w:rFonts w:cstheme="minorHAnsi"/>
          <w:spacing w:val="-5"/>
        </w:rPr>
        <w:t>Moran ,</w:t>
      </w:r>
      <w:proofErr w:type="gramEnd"/>
      <w:r w:rsidRPr="0025334E">
        <w:rPr>
          <w:rFonts w:cstheme="minorHAnsi"/>
          <w:spacing w:val="-5"/>
        </w:rPr>
        <w:t xml:space="preserve"> A. C. </w:t>
      </w:r>
      <w:proofErr w:type="spellStart"/>
      <w:r w:rsidRPr="0025334E">
        <w:rPr>
          <w:rFonts w:cstheme="minorHAnsi"/>
          <w:spacing w:val="-5"/>
        </w:rPr>
        <w:t>Simmonett</w:t>
      </w:r>
      <w:proofErr w:type="spellEnd"/>
      <w:r w:rsidRPr="0025334E">
        <w:rPr>
          <w:rFonts w:cstheme="minorHAnsi"/>
          <w:spacing w:val="-5"/>
        </w:rPr>
        <w:t xml:space="preserve"> , F. E. Leach , W. D. Allen , P. V. R. </w:t>
      </w:r>
      <w:proofErr w:type="spellStart"/>
      <w:r w:rsidRPr="0025334E">
        <w:rPr>
          <w:rFonts w:cstheme="minorHAnsi"/>
          <w:spacing w:val="-5"/>
        </w:rPr>
        <w:t>Schleyer</w:t>
      </w:r>
      <w:proofErr w:type="spellEnd"/>
      <w:r w:rsidRPr="0025334E">
        <w:rPr>
          <w:rFonts w:cstheme="minorHAnsi"/>
          <w:spacing w:val="-5"/>
        </w:rPr>
        <w:t> and H. F. Schaefer , </w:t>
      </w:r>
      <w:r w:rsidRPr="0025334E">
        <w:rPr>
          <w:rStyle w:val="Emphasis"/>
          <w:rFonts w:cstheme="minorHAnsi"/>
          <w:spacing w:val="-5"/>
        </w:rPr>
        <w:t>J. Am. Chem. Soc.</w:t>
      </w:r>
      <w:r w:rsidRPr="0025334E">
        <w:rPr>
          <w:rFonts w:cstheme="minorHAnsi"/>
          <w:spacing w:val="-5"/>
        </w:rPr>
        <w:t>, 2006, </w:t>
      </w:r>
      <w:r w:rsidRPr="0025334E">
        <w:rPr>
          <w:rStyle w:val="Strong"/>
          <w:rFonts w:cstheme="minorHAnsi"/>
          <w:spacing w:val="-5"/>
        </w:rPr>
        <w:t>128</w:t>
      </w:r>
      <w:r w:rsidRPr="0025334E">
        <w:rPr>
          <w:rFonts w:cstheme="minorHAnsi"/>
          <w:spacing w:val="-5"/>
        </w:rPr>
        <w:t> , 9342 -9343 </w:t>
      </w:r>
    </w:p>
    <w:p w14:paraId="4B57D1CD" w14:textId="76822A08" w:rsidR="004B0BFF" w:rsidRPr="0025334E" w:rsidRDefault="004B0BFF" w:rsidP="004B0BFF">
      <w:pPr>
        <w:numPr>
          <w:ilvl w:val="0"/>
          <w:numId w:val="3"/>
        </w:numPr>
        <w:shd w:val="clear" w:color="auto" w:fill="FFFFFF"/>
        <w:spacing w:after="0" w:line="240" w:lineRule="auto"/>
        <w:ind w:left="360"/>
        <w:rPr>
          <w:rFonts w:cstheme="minorHAnsi"/>
          <w:spacing w:val="-5"/>
        </w:rPr>
      </w:pPr>
      <w:r w:rsidRPr="0025334E">
        <w:rPr>
          <w:rFonts w:cstheme="minorHAnsi"/>
          <w:spacing w:val="-5"/>
        </w:rPr>
        <w:t xml:space="preserve">J. M. </w:t>
      </w:r>
      <w:proofErr w:type="gramStart"/>
      <w:r w:rsidRPr="0025334E">
        <w:rPr>
          <w:rFonts w:cstheme="minorHAnsi"/>
          <w:spacing w:val="-5"/>
        </w:rPr>
        <w:t>Martin ,</w:t>
      </w:r>
      <w:proofErr w:type="gramEnd"/>
      <w:r w:rsidRPr="0025334E">
        <w:rPr>
          <w:rFonts w:cstheme="minorHAnsi"/>
          <w:spacing w:val="-5"/>
        </w:rPr>
        <w:t> P. R. Taylor and T. J. Lee , </w:t>
      </w:r>
      <w:r w:rsidRPr="0025334E">
        <w:rPr>
          <w:rStyle w:val="Emphasis"/>
          <w:rFonts w:cstheme="minorHAnsi"/>
          <w:spacing w:val="-5"/>
        </w:rPr>
        <w:t>Chem. Phys. Lett.</w:t>
      </w:r>
      <w:r w:rsidRPr="0025334E">
        <w:rPr>
          <w:rFonts w:cstheme="minorHAnsi"/>
          <w:spacing w:val="-5"/>
        </w:rPr>
        <w:t>, 1997, </w:t>
      </w:r>
      <w:r w:rsidRPr="0025334E">
        <w:rPr>
          <w:rStyle w:val="Strong"/>
          <w:rFonts w:cstheme="minorHAnsi"/>
          <w:spacing w:val="-5"/>
        </w:rPr>
        <w:t>275</w:t>
      </w:r>
      <w:r w:rsidRPr="0025334E">
        <w:rPr>
          <w:rFonts w:cstheme="minorHAnsi"/>
          <w:spacing w:val="-5"/>
        </w:rPr>
        <w:t> , 414 -422 </w:t>
      </w:r>
    </w:p>
    <w:p w14:paraId="03188755" w14:textId="7A937C00" w:rsidR="004B0BFF" w:rsidRPr="0025334E" w:rsidRDefault="004B0BFF" w:rsidP="004B0BFF">
      <w:pPr>
        <w:numPr>
          <w:ilvl w:val="0"/>
          <w:numId w:val="3"/>
        </w:numPr>
        <w:shd w:val="clear" w:color="auto" w:fill="FFFFFF"/>
        <w:spacing w:after="0" w:line="240" w:lineRule="auto"/>
        <w:ind w:left="360"/>
        <w:rPr>
          <w:rFonts w:cstheme="minorHAnsi"/>
          <w:spacing w:val="-5"/>
        </w:rPr>
      </w:pPr>
      <w:r w:rsidRPr="0025334E">
        <w:rPr>
          <w:rFonts w:cstheme="minorHAnsi"/>
          <w:spacing w:val="-5"/>
        </w:rPr>
        <w:t xml:space="preserve">D. </w:t>
      </w:r>
      <w:proofErr w:type="spellStart"/>
      <w:proofErr w:type="gramStart"/>
      <w:r w:rsidRPr="0025334E">
        <w:rPr>
          <w:rFonts w:cstheme="minorHAnsi"/>
          <w:spacing w:val="-5"/>
        </w:rPr>
        <w:t>Asturiol</w:t>
      </w:r>
      <w:proofErr w:type="spellEnd"/>
      <w:r w:rsidRPr="0025334E">
        <w:rPr>
          <w:rFonts w:cstheme="minorHAnsi"/>
          <w:spacing w:val="-5"/>
        </w:rPr>
        <w:t> ,</w:t>
      </w:r>
      <w:proofErr w:type="gramEnd"/>
      <w:r w:rsidRPr="0025334E">
        <w:rPr>
          <w:rFonts w:cstheme="minorHAnsi"/>
          <w:spacing w:val="-5"/>
        </w:rPr>
        <w:t> M. Duran and P. Salvador , </w:t>
      </w:r>
      <w:r w:rsidRPr="0025334E">
        <w:rPr>
          <w:rStyle w:val="Emphasis"/>
          <w:rFonts w:cstheme="minorHAnsi"/>
          <w:spacing w:val="-5"/>
        </w:rPr>
        <w:t>J. Chem. Phys.</w:t>
      </w:r>
      <w:r w:rsidRPr="0025334E">
        <w:rPr>
          <w:rFonts w:cstheme="minorHAnsi"/>
          <w:spacing w:val="-5"/>
        </w:rPr>
        <w:t>, 2008, </w:t>
      </w:r>
      <w:r w:rsidRPr="0025334E">
        <w:rPr>
          <w:rStyle w:val="Strong"/>
          <w:rFonts w:cstheme="minorHAnsi"/>
          <w:spacing w:val="-5"/>
        </w:rPr>
        <w:t>128</w:t>
      </w:r>
      <w:r w:rsidRPr="0025334E">
        <w:rPr>
          <w:rFonts w:cstheme="minorHAnsi"/>
          <w:spacing w:val="-5"/>
        </w:rPr>
        <w:t> , 144108 </w:t>
      </w:r>
    </w:p>
    <w:p w14:paraId="5F0C83E5" w14:textId="0708F906" w:rsidR="004B0BFF" w:rsidRPr="0025334E" w:rsidRDefault="004B0BFF" w:rsidP="004B0BFF">
      <w:pPr>
        <w:numPr>
          <w:ilvl w:val="0"/>
          <w:numId w:val="3"/>
        </w:numPr>
        <w:shd w:val="clear" w:color="auto" w:fill="FFFFFF"/>
        <w:spacing w:after="0" w:line="240" w:lineRule="auto"/>
        <w:ind w:left="360"/>
        <w:rPr>
          <w:rFonts w:cstheme="minorHAnsi"/>
          <w:spacing w:val="-5"/>
        </w:rPr>
      </w:pPr>
      <w:r w:rsidRPr="0025334E">
        <w:rPr>
          <w:rFonts w:cstheme="minorHAnsi"/>
          <w:spacing w:val="-5"/>
        </w:rPr>
        <w:t xml:space="preserve">D. </w:t>
      </w:r>
      <w:proofErr w:type="spellStart"/>
      <w:proofErr w:type="gramStart"/>
      <w:r w:rsidRPr="0025334E">
        <w:rPr>
          <w:rFonts w:cstheme="minorHAnsi"/>
          <w:spacing w:val="-5"/>
        </w:rPr>
        <w:t>Asturiol</w:t>
      </w:r>
      <w:proofErr w:type="spellEnd"/>
      <w:r w:rsidRPr="0025334E">
        <w:rPr>
          <w:rFonts w:cstheme="minorHAnsi"/>
          <w:spacing w:val="-5"/>
        </w:rPr>
        <w:t> ,</w:t>
      </w:r>
      <w:proofErr w:type="gramEnd"/>
      <w:r w:rsidRPr="0025334E">
        <w:rPr>
          <w:rFonts w:cstheme="minorHAnsi"/>
          <w:spacing w:val="-5"/>
        </w:rPr>
        <w:t> M. Duran and P. Salvador , </w:t>
      </w:r>
      <w:r w:rsidRPr="0025334E">
        <w:rPr>
          <w:rStyle w:val="Emphasis"/>
          <w:rFonts w:cstheme="minorHAnsi"/>
          <w:spacing w:val="-5"/>
        </w:rPr>
        <w:t xml:space="preserve">J. Chem. Theory </w:t>
      </w:r>
      <w:proofErr w:type="spellStart"/>
      <w:r w:rsidRPr="0025334E">
        <w:rPr>
          <w:rStyle w:val="Emphasis"/>
          <w:rFonts w:cstheme="minorHAnsi"/>
          <w:spacing w:val="-5"/>
        </w:rPr>
        <w:t>Comput</w:t>
      </w:r>
      <w:proofErr w:type="spellEnd"/>
      <w:r w:rsidRPr="0025334E">
        <w:rPr>
          <w:rStyle w:val="Emphasis"/>
          <w:rFonts w:cstheme="minorHAnsi"/>
          <w:spacing w:val="-5"/>
        </w:rPr>
        <w:t>.</w:t>
      </w:r>
      <w:r w:rsidRPr="0025334E">
        <w:rPr>
          <w:rFonts w:cstheme="minorHAnsi"/>
          <w:spacing w:val="-5"/>
        </w:rPr>
        <w:t>, 2009, </w:t>
      </w:r>
      <w:r w:rsidRPr="0025334E">
        <w:rPr>
          <w:rStyle w:val="Strong"/>
          <w:rFonts w:cstheme="minorHAnsi"/>
          <w:spacing w:val="-5"/>
        </w:rPr>
        <w:t>5</w:t>
      </w:r>
      <w:r w:rsidRPr="0025334E">
        <w:rPr>
          <w:rFonts w:cstheme="minorHAnsi"/>
          <w:spacing w:val="-5"/>
        </w:rPr>
        <w:t> , 2574 -2581 </w:t>
      </w:r>
    </w:p>
    <w:p w14:paraId="7E2CD4FC" w14:textId="7E4619BE" w:rsidR="004B0BFF" w:rsidRPr="0025334E" w:rsidRDefault="004B0BFF" w:rsidP="004B0BFF">
      <w:pPr>
        <w:numPr>
          <w:ilvl w:val="0"/>
          <w:numId w:val="3"/>
        </w:numPr>
        <w:shd w:val="clear" w:color="auto" w:fill="FFFFFF"/>
        <w:spacing w:after="0" w:line="240" w:lineRule="auto"/>
        <w:ind w:left="360"/>
        <w:rPr>
          <w:rFonts w:cstheme="minorHAnsi"/>
          <w:spacing w:val="-5"/>
        </w:rPr>
      </w:pPr>
      <w:r w:rsidRPr="0025334E">
        <w:rPr>
          <w:rFonts w:cstheme="minorHAnsi"/>
          <w:spacing w:val="-5"/>
        </w:rPr>
        <w:t xml:space="preserve">R. M. </w:t>
      </w:r>
      <w:proofErr w:type="spellStart"/>
      <w:r w:rsidRPr="0025334E">
        <w:rPr>
          <w:rFonts w:cstheme="minorHAnsi"/>
          <w:spacing w:val="-5"/>
        </w:rPr>
        <w:t>Balabin</w:t>
      </w:r>
      <w:proofErr w:type="spellEnd"/>
      <w:r w:rsidRPr="0025334E">
        <w:rPr>
          <w:rFonts w:cstheme="minorHAnsi"/>
          <w:spacing w:val="-5"/>
        </w:rPr>
        <w:t> </w:t>
      </w:r>
      <w:r w:rsidRPr="0025334E">
        <w:rPr>
          <w:rStyle w:val="Emphasis"/>
          <w:rFonts w:cstheme="minorHAnsi"/>
          <w:spacing w:val="-5"/>
        </w:rPr>
        <w:t>J. Chem. Phys.</w:t>
      </w:r>
      <w:r w:rsidRPr="0025334E">
        <w:rPr>
          <w:rFonts w:cstheme="minorHAnsi"/>
          <w:spacing w:val="-5"/>
        </w:rPr>
        <w:t>, 2010, </w:t>
      </w:r>
      <w:proofErr w:type="gramStart"/>
      <w:r w:rsidRPr="0025334E">
        <w:rPr>
          <w:rStyle w:val="Strong"/>
          <w:rFonts w:cstheme="minorHAnsi"/>
          <w:spacing w:val="-5"/>
        </w:rPr>
        <w:t>132</w:t>
      </w:r>
      <w:r w:rsidRPr="0025334E">
        <w:rPr>
          <w:rFonts w:cstheme="minorHAnsi"/>
          <w:spacing w:val="-5"/>
        </w:rPr>
        <w:t> ,</w:t>
      </w:r>
      <w:proofErr w:type="gramEnd"/>
      <w:r w:rsidRPr="0025334E">
        <w:rPr>
          <w:rFonts w:cstheme="minorHAnsi"/>
          <w:spacing w:val="-5"/>
        </w:rPr>
        <w:t xml:space="preserve"> 211103 </w:t>
      </w:r>
    </w:p>
    <w:p w14:paraId="18F3D4DD" w14:textId="62568190" w:rsidR="004B0BFF" w:rsidRPr="0025334E" w:rsidRDefault="004B0BFF" w:rsidP="004B0BFF">
      <w:pPr>
        <w:numPr>
          <w:ilvl w:val="0"/>
          <w:numId w:val="3"/>
        </w:numPr>
        <w:shd w:val="clear" w:color="auto" w:fill="FFFFFF"/>
        <w:spacing w:after="0" w:line="240" w:lineRule="auto"/>
        <w:ind w:left="360"/>
        <w:rPr>
          <w:rFonts w:cstheme="minorHAnsi"/>
          <w:spacing w:val="-5"/>
        </w:rPr>
      </w:pPr>
      <w:r w:rsidRPr="0025334E">
        <w:rPr>
          <w:rFonts w:cstheme="minorHAnsi"/>
          <w:spacing w:val="-5"/>
        </w:rPr>
        <w:t xml:space="preserve">M. V. </w:t>
      </w:r>
      <w:proofErr w:type="gramStart"/>
      <w:r w:rsidRPr="0025334E">
        <w:rPr>
          <w:rFonts w:cstheme="minorHAnsi"/>
          <w:spacing w:val="-5"/>
        </w:rPr>
        <w:t>Ivanov ,</w:t>
      </w:r>
      <w:proofErr w:type="gramEnd"/>
      <w:r w:rsidRPr="0025334E">
        <w:rPr>
          <w:rFonts w:cstheme="minorHAnsi"/>
          <w:spacing w:val="-5"/>
        </w:rPr>
        <w:t xml:space="preserve"> S. H. </w:t>
      </w:r>
      <w:proofErr w:type="spellStart"/>
      <w:r w:rsidRPr="0025334E">
        <w:rPr>
          <w:rFonts w:cstheme="minorHAnsi"/>
          <w:spacing w:val="-5"/>
        </w:rPr>
        <w:t>Wadumethrige</w:t>
      </w:r>
      <w:proofErr w:type="spellEnd"/>
      <w:r w:rsidRPr="0025334E">
        <w:rPr>
          <w:rFonts w:cstheme="minorHAnsi"/>
          <w:spacing w:val="-5"/>
        </w:rPr>
        <w:t> , D. Wang and R. Rathore , </w:t>
      </w:r>
      <w:r w:rsidRPr="0025334E">
        <w:rPr>
          <w:rStyle w:val="Emphasis"/>
          <w:rFonts w:cstheme="minorHAnsi"/>
          <w:spacing w:val="-5"/>
        </w:rPr>
        <w:t>J. Phys. Chem. C</w:t>
      </w:r>
      <w:r w:rsidRPr="0025334E">
        <w:rPr>
          <w:rFonts w:cstheme="minorHAnsi"/>
          <w:spacing w:val="-5"/>
        </w:rPr>
        <w:t>, 2017, </w:t>
      </w:r>
      <w:r w:rsidRPr="0025334E">
        <w:rPr>
          <w:rStyle w:val="Strong"/>
          <w:rFonts w:cstheme="minorHAnsi"/>
          <w:spacing w:val="-5"/>
        </w:rPr>
        <w:t>121</w:t>
      </w:r>
      <w:r w:rsidRPr="0025334E">
        <w:rPr>
          <w:rFonts w:cstheme="minorHAnsi"/>
          <w:spacing w:val="-5"/>
        </w:rPr>
        <w:t> , 15639 -15643 </w:t>
      </w:r>
    </w:p>
    <w:p w14:paraId="5C9FA21D" w14:textId="77777777" w:rsidR="00617C12" w:rsidRPr="0025334E" w:rsidRDefault="00617C12" w:rsidP="000A7622">
      <w:pPr>
        <w:rPr>
          <w:rFonts w:cstheme="minorHAnsi"/>
        </w:rPr>
      </w:pPr>
    </w:p>
    <w:sectPr w:rsidR="00617C12" w:rsidRPr="0025334E"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F14A73"/>
    <w:multiLevelType w:val="multilevel"/>
    <w:tmpl w:val="CF2C7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34A44"/>
    <w:multiLevelType w:val="multilevel"/>
    <w:tmpl w:val="B9BE59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6E53F42"/>
    <w:multiLevelType w:val="multilevel"/>
    <w:tmpl w:val="FE6285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equLt261vEc4bU8SGKNle3+R/V6nGQVkA2zTFL5yJJjO7P+uR9/CKp0Py38hFyDdOvkvwp+k0LMxxxAdltDEEA==" w:salt="Zf+fCBQr8kJQKo/yU8+Yr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2E"/>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64B6"/>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1A13"/>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4849"/>
    <w:rsid w:val="00226FA2"/>
    <w:rsid w:val="0024134B"/>
    <w:rsid w:val="00251132"/>
    <w:rsid w:val="0025334E"/>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02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8C1"/>
    <w:rsid w:val="004A2B41"/>
    <w:rsid w:val="004A3B3E"/>
    <w:rsid w:val="004B0BFF"/>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2B08"/>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003B"/>
    <w:rsid w:val="00631A06"/>
    <w:rsid w:val="00632AFE"/>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1A9"/>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E0057"/>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97FBC"/>
    <w:rsid w:val="009A130B"/>
    <w:rsid w:val="009A2639"/>
    <w:rsid w:val="009A397F"/>
    <w:rsid w:val="009B4F83"/>
    <w:rsid w:val="009B6983"/>
    <w:rsid w:val="009C5450"/>
    <w:rsid w:val="009C5716"/>
    <w:rsid w:val="009D316A"/>
    <w:rsid w:val="009D3527"/>
    <w:rsid w:val="009D4348"/>
    <w:rsid w:val="009D5368"/>
    <w:rsid w:val="009D54DF"/>
    <w:rsid w:val="009E4643"/>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4A47"/>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4BE0"/>
    <w:rsid w:val="00B30468"/>
    <w:rsid w:val="00B32160"/>
    <w:rsid w:val="00B32B07"/>
    <w:rsid w:val="00B336E9"/>
    <w:rsid w:val="00B3397D"/>
    <w:rsid w:val="00B3426B"/>
    <w:rsid w:val="00B34F7B"/>
    <w:rsid w:val="00B35999"/>
    <w:rsid w:val="00B44237"/>
    <w:rsid w:val="00B47D09"/>
    <w:rsid w:val="00B50108"/>
    <w:rsid w:val="00B51D60"/>
    <w:rsid w:val="00B525D3"/>
    <w:rsid w:val="00B55B5C"/>
    <w:rsid w:val="00B56290"/>
    <w:rsid w:val="00B61B54"/>
    <w:rsid w:val="00B62673"/>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55D29"/>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00710"/>
    <w:rsid w:val="00E13E05"/>
    <w:rsid w:val="00E15784"/>
    <w:rsid w:val="00E16734"/>
    <w:rsid w:val="00E179BE"/>
    <w:rsid w:val="00E20401"/>
    <w:rsid w:val="00E2347D"/>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21B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0115"/>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1D4B"/>
    <w:rsid w:val="00F52179"/>
    <w:rsid w:val="00F52B79"/>
    <w:rsid w:val="00F559A5"/>
    <w:rsid w:val="00F55F9D"/>
    <w:rsid w:val="00F56E1A"/>
    <w:rsid w:val="00F60EEE"/>
    <w:rsid w:val="00F6204B"/>
    <w:rsid w:val="00F62CDA"/>
    <w:rsid w:val="00F6448C"/>
    <w:rsid w:val="00F64E64"/>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4B0BF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item">
    <w:name w:val="list__item"/>
    <w:basedOn w:val="Normal"/>
    <w:rsid w:val="004B0BF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4B0BFF"/>
    <w:rPr>
      <w:color w:val="800080"/>
      <w:u w:val="single"/>
    </w:rPr>
  </w:style>
  <w:style w:type="character" w:customStyle="1" w:styleId="section-title">
    <w:name w:val="section-title"/>
    <w:basedOn w:val="DefaultParagraphFont"/>
    <w:rsid w:val="004B0BFF"/>
  </w:style>
  <w:style w:type="character" w:customStyle="1" w:styleId="h--heading4">
    <w:name w:val="h--heading4"/>
    <w:basedOn w:val="DefaultParagraphFont"/>
    <w:rsid w:val="004B0BFF"/>
  </w:style>
  <w:style w:type="character" w:customStyle="1" w:styleId="h--heading3">
    <w:name w:val="h--heading3"/>
    <w:basedOn w:val="DefaultParagraphFont"/>
    <w:rsid w:val="004B0B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346450659">
      <w:bodyDiv w:val="1"/>
      <w:marLeft w:val="0"/>
      <w:marRight w:val="0"/>
      <w:marTop w:val="0"/>
      <w:marBottom w:val="0"/>
      <w:divBdr>
        <w:top w:val="none" w:sz="0" w:space="0" w:color="auto"/>
        <w:left w:val="none" w:sz="0" w:space="0" w:color="auto"/>
        <w:bottom w:val="none" w:sz="0" w:space="0" w:color="auto"/>
        <w:right w:val="none" w:sz="0" w:space="0" w:color="auto"/>
      </w:divBdr>
    </w:div>
    <w:div w:id="1019165715">
      <w:bodyDiv w:val="1"/>
      <w:marLeft w:val="0"/>
      <w:marRight w:val="0"/>
      <w:marTop w:val="0"/>
      <w:marBottom w:val="0"/>
      <w:divBdr>
        <w:top w:val="none" w:sz="0" w:space="0" w:color="auto"/>
        <w:left w:val="none" w:sz="0" w:space="0" w:color="auto"/>
        <w:bottom w:val="none" w:sz="0" w:space="0" w:color="auto"/>
        <w:right w:val="none" w:sz="0" w:space="0" w:color="auto"/>
      </w:divBdr>
    </w:div>
    <w:div w:id="1350182890">
      <w:bodyDiv w:val="1"/>
      <w:marLeft w:val="0"/>
      <w:marRight w:val="0"/>
      <w:marTop w:val="0"/>
      <w:marBottom w:val="0"/>
      <w:divBdr>
        <w:top w:val="none" w:sz="0" w:space="0" w:color="auto"/>
        <w:left w:val="none" w:sz="0" w:space="0" w:color="auto"/>
        <w:bottom w:val="none" w:sz="0" w:space="0" w:color="auto"/>
        <w:right w:val="none" w:sz="0" w:space="0" w:color="auto"/>
      </w:divBdr>
      <w:divsChild>
        <w:div w:id="475881640">
          <w:marLeft w:val="0"/>
          <w:marRight w:val="0"/>
          <w:marTop w:val="0"/>
          <w:marBottom w:val="0"/>
          <w:divBdr>
            <w:top w:val="none" w:sz="0" w:space="0" w:color="auto"/>
            <w:left w:val="none" w:sz="0" w:space="0" w:color="auto"/>
            <w:bottom w:val="none" w:sz="0" w:space="0" w:color="auto"/>
            <w:right w:val="none" w:sz="0" w:space="0" w:color="auto"/>
          </w:divBdr>
          <w:divsChild>
            <w:div w:id="1979527389">
              <w:marLeft w:val="0"/>
              <w:marRight w:val="0"/>
              <w:marTop w:val="120"/>
              <w:marBottom w:val="120"/>
              <w:divBdr>
                <w:top w:val="none" w:sz="0" w:space="0" w:color="auto"/>
                <w:left w:val="none" w:sz="0" w:space="0" w:color="auto"/>
                <w:bottom w:val="none" w:sz="0" w:space="0" w:color="auto"/>
                <w:right w:val="none" w:sz="0" w:space="0" w:color="auto"/>
              </w:divBdr>
            </w:div>
          </w:divsChild>
        </w:div>
        <w:div w:id="485124758">
          <w:marLeft w:val="0"/>
          <w:marRight w:val="0"/>
          <w:marTop w:val="0"/>
          <w:marBottom w:val="0"/>
          <w:divBdr>
            <w:top w:val="none" w:sz="0" w:space="0" w:color="auto"/>
            <w:left w:val="none" w:sz="0" w:space="0" w:color="auto"/>
            <w:bottom w:val="none" w:sz="0" w:space="0" w:color="auto"/>
            <w:right w:val="none" w:sz="0" w:space="0" w:color="auto"/>
          </w:divBdr>
          <w:divsChild>
            <w:div w:id="1642617676">
              <w:marLeft w:val="0"/>
              <w:marRight w:val="0"/>
              <w:marTop w:val="0"/>
              <w:marBottom w:val="0"/>
              <w:divBdr>
                <w:top w:val="none" w:sz="0" w:space="0" w:color="auto"/>
                <w:left w:val="none" w:sz="0" w:space="0" w:color="auto"/>
                <w:bottom w:val="none" w:sz="0" w:space="0" w:color="auto"/>
                <w:right w:val="none" w:sz="0" w:space="0" w:color="auto"/>
              </w:divBdr>
            </w:div>
          </w:divsChild>
        </w:div>
        <w:div w:id="401681586">
          <w:marLeft w:val="0"/>
          <w:marRight w:val="0"/>
          <w:marTop w:val="0"/>
          <w:marBottom w:val="0"/>
          <w:divBdr>
            <w:top w:val="none" w:sz="0" w:space="0" w:color="auto"/>
            <w:left w:val="none" w:sz="0" w:space="0" w:color="auto"/>
            <w:bottom w:val="none" w:sz="0" w:space="0" w:color="auto"/>
            <w:right w:val="none" w:sz="0" w:space="0" w:color="auto"/>
          </w:divBdr>
          <w:divsChild>
            <w:div w:id="888952434">
              <w:marLeft w:val="0"/>
              <w:marRight w:val="0"/>
              <w:marTop w:val="0"/>
              <w:marBottom w:val="360"/>
              <w:divBdr>
                <w:top w:val="none" w:sz="0" w:space="0" w:color="auto"/>
                <w:left w:val="none" w:sz="0" w:space="0" w:color="auto"/>
                <w:bottom w:val="none" w:sz="0" w:space="0" w:color="auto"/>
                <w:right w:val="none" w:sz="0" w:space="0" w:color="auto"/>
              </w:divBdr>
            </w:div>
            <w:div w:id="119761007">
              <w:marLeft w:val="0"/>
              <w:marRight w:val="0"/>
              <w:marTop w:val="0"/>
              <w:marBottom w:val="360"/>
              <w:divBdr>
                <w:top w:val="none" w:sz="0" w:space="0" w:color="auto"/>
                <w:left w:val="none" w:sz="0" w:space="0" w:color="auto"/>
                <w:bottom w:val="none" w:sz="0" w:space="0" w:color="auto"/>
                <w:right w:val="none" w:sz="0" w:space="0" w:color="auto"/>
              </w:divBdr>
            </w:div>
            <w:div w:id="451443193">
              <w:marLeft w:val="0"/>
              <w:marRight w:val="0"/>
              <w:marTop w:val="0"/>
              <w:marBottom w:val="360"/>
              <w:divBdr>
                <w:top w:val="none" w:sz="0" w:space="0" w:color="auto"/>
                <w:left w:val="none" w:sz="0" w:space="0" w:color="auto"/>
                <w:bottom w:val="none" w:sz="0" w:space="0" w:color="auto"/>
                <w:right w:val="none" w:sz="0" w:space="0" w:color="auto"/>
              </w:divBdr>
            </w:div>
            <w:div w:id="1843161745">
              <w:marLeft w:val="0"/>
              <w:marRight w:val="0"/>
              <w:marTop w:val="0"/>
              <w:marBottom w:val="360"/>
              <w:divBdr>
                <w:top w:val="none" w:sz="0" w:space="0" w:color="auto"/>
                <w:left w:val="none" w:sz="0" w:space="0" w:color="auto"/>
                <w:bottom w:val="none" w:sz="0" w:space="0" w:color="auto"/>
                <w:right w:val="none" w:sz="0" w:space="0" w:color="auto"/>
              </w:divBdr>
            </w:div>
            <w:div w:id="975063389">
              <w:marLeft w:val="0"/>
              <w:marRight w:val="0"/>
              <w:marTop w:val="360"/>
              <w:marBottom w:val="240"/>
              <w:divBdr>
                <w:top w:val="single" w:sz="12" w:space="0" w:color="D1CCBD"/>
                <w:left w:val="none" w:sz="0" w:space="0" w:color="auto"/>
                <w:bottom w:val="single" w:sz="12" w:space="12" w:color="D1CCBD"/>
                <w:right w:val="none" w:sz="0" w:space="0" w:color="auto"/>
              </w:divBdr>
              <w:divsChild>
                <w:div w:id="2039774962">
                  <w:marLeft w:val="0"/>
                  <w:marRight w:val="0"/>
                  <w:marTop w:val="0"/>
                  <w:marBottom w:val="0"/>
                  <w:divBdr>
                    <w:top w:val="single" w:sz="6" w:space="0" w:color="000000"/>
                    <w:left w:val="none" w:sz="0" w:space="0" w:color="auto"/>
                    <w:bottom w:val="none" w:sz="0" w:space="0" w:color="auto"/>
                    <w:right w:val="none" w:sz="0" w:space="0" w:color="auto"/>
                  </w:divBdr>
                  <w:divsChild>
                    <w:div w:id="63433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614661">
              <w:marLeft w:val="0"/>
              <w:marRight w:val="0"/>
              <w:marTop w:val="0"/>
              <w:marBottom w:val="360"/>
              <w:divBdr>
                <w:top w:val="none" w:sz="0" w:space="0" w:color="auto"/>
                <w:left w:val="none" w:sz="0" w:space="0" w:color="auto"/>
                <w:bottom w:val="none" w:sz="0" w:space="0" w:color="auto"/>
                <w:right w:val="none" w:sz="0" w:space="0" w:color="auto"/>
              </w:divBdr>
            </w:div>
            <w:div w:id="1189219855">
              <w:marLeft w:val="0"/>
              <w:marRight w:val="0"/>
              <w:marTop w:val="0"/>
              <w:marBottom w:val="360"/>
              <w:divBdr>
                <w:top w:val="none" w:sz="0" w:space="0" w:color="auto"/>
                <w:left w:val="none" w:sz="0" w:space="0" w:color="auto"/>
                <w:bottom w:val="none" w:sz="0" w:space="0" w:color="auto"/>
                <w:right w:val="none" w:sz="0" w:space="0" w:color="auto"/>
              </w:divBdr>
            </w:div>
            <w:div w:id="1731229073">
              <w:marLeft w:val="0"/>
              <w:marRight w:val="0"/>
              <w:marTop w:val="0"/>
              <w:marBottom w:val="360"/>
              <w:divBdr>
                <w:top w:val="none" w:sz="0" w:space="0" w:color="auto"/>
                <w:left w:val="none" w:sz="0" w:space="0" w:color="auto"/>
                <w:bottom w:val="none" w:sz="0" w:space="0" w:color="auto"/>
                <w:right w:val="none" w:sz="0" w:space="0" w:color="auto"/>
              </w:divBdr>
            </w:div>
            <w:div w:id="1916890398">
              <w:marLeft w:val="0"/>
              <w:marRight w:val="0"/>
              <w:marTop w:val="0"/>
              <w:marBottom w:val="360"/>
              <w:divBdr>
                <w:top w:val="none" w:sz="0" w:space="0" w:color="auto"/>
                <w:left w:val="none" w:sz="0" w:space="0" w:color="auto"/>
                <w:bottom w:val="none" w:sz="0" w:space="0" w:color="auto"/>
                <w:right w:val="none" w:sz="0" w:space="0" w:color="auto"/>
              </w:divBdr>
            </w:div>
            <w:div w:id="1169365020">
              <w:marLeft w:val="0"/>
              <w:marRight w:val="0"/>
              <w:marTop w:val="0"/>
              <w:marBottom w:val="360"/>
              <w:divBdr>
                <w:top w:val="none" w:sz="0" w:space="0" w:color="auto"/>
                <w:left w:val="none" w:sz="0" w:space="0" w:color="auto"/>
                <w:bottom w:val="none" w:sz="0" w:space="0" w:color="auto"/>
                <w:right w:val="none" w:sz="0" w:space="0" w:color="auto"/>
              </w:divBdr>
            </w:div>
            <w:div w:id="2001736026">
              <w:marLeft w:val="0"/>
              <w:marRight w:val="0"/>
              <w:marTop w:val="0"/>
              <w:marBottom w:val="0"/>
              <w:divBdr>
                <w:top w:val="none" w:sz="0" w:space="0" w:color="auto"/>
                <w:left w:val="none" w:sz="0" w:space="0" w:color="auto"/>
                <w:bottom w:val="none" w:sz="0" w:space="0" w:color="auto"/>
                <w:right w:val="none" w:sz="0" w:space="0" w:color="auto"/>
              </w:divBdr>
            </w:div>
            <w:div w:id="196746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3.gif"/><Relationship Id="rId21" Type="http://schemas.openxmlformats.org/officeDocument/2006/relationships/hyperlink" Target="https://pubs.rsc.org/en/content/articlelanding/2018/CP/C8CP02936A" TargetMode="External"/><Relationship Id="rId42" Type="http://schemas.openxmlformats.org/officeDocument/2006/relationships/hyperlink" Target="https://pubs.rsc.org/en/content/articlelanding/2018/CP/C8CP02936A" TargetMode="External"/><Relationship Id="rId47" Type="http://schemas.openxmlformats.org/officeDocument/2006/relationships/hyperlink" Target="https://pubs.rsc.org/en/content/articlelanding/2018/CP/C8CP02936A" TargetMode="External"/><Relationship Id="rId63" Type="http://schemas.openxmlformats.org/officeDocument/2006/relationships/hyperlink" Target="https://pubs.rsc.org/en/content/articlelanding/2018/CP/C8CP02936A" TargetMode="External"/><Relationship Id="rId68" Type="http://schemas.openxmlformats.org/officeDocument/2006/relationships/hyperlink" Target="https://pubs.rsc.org/en/content/articlelanding/2018/CP/C8CP02936A" TargetMode="External"/><Relationship Id="rId84" Type="http://schemas.openxmlformats.org/officeDocument/2006/relationships/hyperlink" Target="https://pubs.rsc.org/en/content/articlelanding/2018/CP/C8CP02936A" TargetMode="External"/><Relationship Id="rId89" Type="http://schemas.openxmlformats.org/officeDocument/2006/relationships/hyperlink" Target="https://pubs.rsc.org/en/content/articlelanding/2018/CP/C8CP02936A" TargetMode="External"/><Relationship Id="rId16" Type="http://schemas.openxmlformats.org/officeDocument/2006/relationships/hyperlink" Target="https://pubs.rsc.org/en/content/articlelanding/2018/CP/C8CP02936A" TargetMode="External"/><Relationship Id="rId11" Type="http://schemas.openxmlformats.org/officeDocument/2006/relationships/hyperlink" Target="https://pubs.rsc.org/en/content/articlelanding/2018/CP/C8CP02936A" TargetMode="External"/><Relationship Id="rId32" Type="http://schemas.openxmlformats.org/officeDocument/2006/relationships/hyperlink" Target="https://pubs.rsc.org/en/content/articlelanding/2018/CP/C8CP02936A" TargetMode="External"/><Relationship Id="rId37" Type="http://schemas.openxmlformats.org/officeDocument/2006/relationships/image" Target="media/image5.gif"/><Relationship Id="rId53" Type="http://schemas.openxmlformats.org/officeDocument/2006/relationships/hyperlink" Target="https://pubs.rsc.org/en/content/articlelanding/2018/CP/C8CP02936A" TargetMode="External"/><Relationship Id="rId58" Type="http://schemas.openxmlformats.org/officeDocument/2006/relationships/hyperlink" Target="https://pubs.rsc.org/en/content/articlelanding/2018/CP/C8CP02936A" TargetMode="External"/><Relationship Id="rId74" Type="http://schemas.openxmlformats.org/officeDocument/2006/relationships/hyperlink" Target="https://pubs.rsc.org/en/content/articlelanding/2018/CP/C8CP02936A" TargetMode="External"/><Relationship Id="rId79" Type="http://schemas.openxmlformats.org/officeDocument/2006/relationships/hyperlink" Target="https://pubs.rsc.org/en/content/articlelanding/2018/CP/C8CP02936A" TargetMode="External"/><Relationship Id="rId5" Type="http://schemas.openxmlformats.org/officeDocument/2006/relationships/styles" Target="styles.xml"/><Relationship Id="rId90" Type="http://schemas.openxmlformats.org/officeDocument/2006/relationships/hyperlink" Target="https://pubs.rsc.org/en/content/articlelanding/2018/CP/C8CP02936A" TargetMode="External"/><Relationship Id="rId95" Type="http://schemas.openxmlformats.org/officeDocument/2006/relationships/hyperlink" Target="https://pubs.rsc.org/en/content/articlelanding/2018/CP/C8CP02936A" TargetMode="External"/><Relationship Id="rId22" Type="http://schemas.openxmlformats.org/officeDocument/2006/relationships/hyperlink" Target="https://pubs.rsc.org/en/content/articlelanding/2018/CP/C8CP02936A" TargetMode="External"/><Relationship Id="rId27" Type="http://schemas.openxmlformats.org/officeDocument/2006/relationships/hyperlink" Target="https://pubs.rsc.org/en/content/articlelanding/2018/CP/C8CP02936A" TargetMode="External"/><Relationship Id="rId43" Type="http://schemas.openxmlformats.org/officeDocument/2006/relationships/hyperlink" Target="https://pubs.rsc.org/en/content/articlelanding/2018/CP/C8CP02936A" TargetMode="External"/><Relationship Id="rId48" Type="http://schemas.openxmlformats.org/officeDocument/2006/relationships/hyperlink" Target="https://pubs.rsc.org/en/content/articlelanding/2018/CP/C8CP02936A" TargetMode="External"/><Relationship Id="rId64" Type="http://schemas.openxmlformats.org/officeDocument/2006/relationships/hyperlink" Target="https://pubs.rsc.org/en/content/articlelanding/2018/CP/C8CP02936A" TargetMode="External"/><Relationship Id="rId69" Type="http://schemas.openxmlformats.org/officeDocument/2006/relationships/hyperlink" Target="https://pubs.rsc.org/en/content/articlelanding/2018/CP/C8CP02936A" TargetMode="External"/><Relationship Id="rId80" Type="http://schemas.openxmlformats.org/officeDocument/2006/relationships/hyperlink" Target="https://pubs.rsc.org/en/content/articlelanding/2018/CP/C8CP02936A" TargetMode="External"/><Relationship Id="rId85" Type="http://schemas.openxmlformats.org/officeDocument/2006/relationships/hyperlink" Target="https://pubs.rsc.org/en/content/articlelanding/2018/CP/C8CP02936A" TargetMode="External"/><Relationship Id="rId12" Type="http://schemas.openxmlformats.org/officeDocument/2006/relationships/hyperlink" Target="https://pubs.rsc.org/en/content/articlelanding/2018/CP/C8CP02936A" TargetMode="External"/><Relationship Id="rId17" Type="http://schemas.openxmlformats.org/officeDocument/2006/relationships/hyperlink" Target="https://pubs.rsc.org/en/content/articlelanding/2018/CP/C8CP02936A" TargetMode="External"/><Relationship Id="rId25" Type="http://schemas.openxmlformats.org/officeDocument/2006/relationships/hyperlink" Target="https://pubs.rsc.org/en/content/articlelanding/2018/CP/C8CP02936A" TargetMode="External"/><Relationship Id="rId33" Type="http://schemas.openxmlformats.org/officeDocument/2006/relationships/image" Target="media/image4.gif"/><Relationship Id="rId38" Type="http://schemas.openxmlformats.org/officeDocument/2006/relationships/hyperlink" Target="https://pubs.rsc.org/en/content/articlelanding/2018/CP/C8CP02936A" TargetMode="External"/><Relationship Id="rId46" Type="http://schemas.openxmlformats.org/officeDocument/2006/relationships/hyperlink" Target="https://pubs.rsc.org/en/content/articlelanding/2018/CP/C8CP02936A" TargetMode="External"/><Relationship Id="rId59" Type="http://schemas.openxmlformats.org/officeDocument/2006/relationships/hyperlink" Target="https://pubs.rsc.org/en/content/articlelanding/2018/CP/C8CP02936A" TargetMode="External"/><Relationship Id="rId67" Type="http://schemas.openxmlformats.org/officeDocument/2006/relationships/image" Target="media/image8.gif"/><Relationship Id="rId20" Type="http://schemas.openxmlformats.org/officeDocument/2006/relationships/hyperlink" Target="https://pubs.rsc.org/en/content/articlelanding/2018/CP/C8CP02936A" TargetMode="External"/><Relationship Id="rId41" Type="http://schemas.openxmlformats.org/officeDocument/2006/relationships/hyperlink" Target="https://pubs.rsc.org/en/content/articlelanding/2018/CP/C8CP02936A" TargetMode="External"/><Relationship Id="rId54" Type="http://schemas.openxmlformats.org/officeDocument/2006/relationships/hyperlink" Target="https://pubs.rsc.org/en/content/articlelanding/2018/CP/C8CP02936A" TargetMode="External"/><Relationship Id="rId62" Type="http://schemas.openxmlformats.org/officeDocument/2006/relationships/hyperlink" Target="https://pubs.rsc.org/en/content/articlelanding/2018/CP/C8CP02936A" TargetMode="External"/><Relationship Id="rId70" Type="http://schemas.openxmlformats.org/officeDocument/2006/relationships/hyperlink" Target="https://pubs.rsc.org/en/content/articlelanding/2018/CP/C8CP02936A" TargetMode="External"/><Relationship Id="rId75" Type="http://schemas.openxmlformats.org/officeDocument/2006/relationships/hyperlink" Target="https://pubs.rsc.org/en/content/articlelanding/2018/CP/C8CP02936A" TargetMode="External"/><Relationship Id="rId83" Type="http://schemas.openxmlformats.org/officeDocument/2006/relationships/hyperlink" Target="https://pubs.rsc.org/en/content/articlelanding/2018/CP/C8CP02936A" TargetMode="External"/><Relationship Id="rId88" Type="http://schemas.openxmlformats.org/officeDocument/2006/relationships/image" Target="media/image10.gif"/><Relationship Id="rId91" Type="http://schemas.openxmlformats.org/officeDocument/2006/relationships/hyperlink" Target="https://pubs.rsc.org/en/content/articlelanding/2018/CP/C8CP02936A" TargetMode="External"/><Relationship Id="rId96" Type="http://schemas.openxmlformats.org/officeDocument/2006/relationships/hyperlink" Target="https://pubs.rsc.org/en/content/articlelanding/2018/CP/C8CP02936A"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pubs.rsc.org/en/content/articlelanding/2018/CP/C8CP02936A" TargetMode="External"/><Relationship Id="rId23" Type="http://schemas.openxmlformats.org/officeDocument/2006/relationships/hyperlink" Target="https://pubs.rsc.org/en/content/articlelanding/2018/CP/C8CP02936A" TargetMode="External"/><Relationship Id="rId28" Type="http://schemas.openxmlformats.org/officeDocument/2006/relationships/hyperlink" Target="https://pubs.rsc.org/en/content/articlelanding/2018/CP/C8CP02936A" TargetMode="External"/><Relationship Id="rId36" Type="http://schemas.openxmlformats.org/officeDocument/2006/relationships/hyperlink" Target="https://pubs.rsc.org/en/content/articlelanding/2018/CP/C8CP02936A" TargetMode="External"/><Relationship Id="rId49" Type="http://schemas.openxmlformats.org/officeDocument/2006/relationships/hyperlink" Target="https://pubs.rsc.org/en/content/articlelanding/2018/CP/C8CP02936A" TargetMode="External"/><Relationship Id="rId57" Type="http://schemas.openxmlformats.org/officeDocument/2006/relationships/hyperlink" Target="https://pubs.rsc.org/en/content/articlelanding/2018/CP/C8CP02936A" TargetMode="External"/><Relationship Id="rId10" Type="http://schemas.openxmlformats.org/officeDocument/2006/relationships/image" Target="media/image1.gif"/><Relationship Id="rId31" Type="http://schemas.openxmlformats.org/officeDocument/2006/relationships/hyperlink" Target="https://pubs.rsc.org/en/content/articlelanding/2018/CP/C8CP02936A" TargetMode="External"/><Relationship Id="rId44" Type="http://schemas.openxmlformats.org/officeDocument/2006/relationships/image" Target="media/image6.gif"/><Relationship Id="rId52" Type="http://schemas.openxmlformats.org/officeDocument/2006/relationships/hyperlink" Target="https://pubs.rsc.org/en/content/articlelanding/2018/CP/C8CP02936A" TargetMode="External"/><Relationship Id="rId60" Type="http://schemas.openxmlformats.org/officeDocument/2006/relationships/hyperlink" Target="https://pubs.rsc.org/en/content/articlelanding/2018/CP/C8CP02936A" TargetMode="External"/><Relationship Id="rId65" Type="http://schemas.openxmlformats.org/officeDocument/2006/relationships/hyperlink" Target="https://pubs.rsc.org/en/content/articlelanding/2018/CP/C8CP02936A" TargetMode="External"/><Relationship Id="rId73" Type="http://schemas.openxmlformats.org/officeDocument/2006/relationships/hyperlink" Target="https://pubs.rsc.org/en/content/articlelanding/2018/CP/C8CP02936A" TargetMode="External"/><Relationship Id="rId78" Type="http://schemas.openxmlformats.org/officeDocument/2006/relationships/hyperlink" Target="https://pubs.rsc.org/en/content/articlelanding/2018/CP/C8CP02936A" TargetMode="External"/><Relationship Id="rId81" Type="http://schemas.openxmlformats.org/officeDocument/2006/relationships/hyperlink" Target="https://pubs.rsc.org/en/content/articlelanding/2018/CP/C8CP02936A" TargetMode="External"/><Relationship Id="rId86" Type="http://schemas.openxmlformats.org/officeDocument/2006/relationships/hyperlink" Target="https://pubs.rsc.org/en/content/articlelanding/2018/CP/C8CP02936A" TargetMode="External"/><Relationship Id="rId94" Type="http://schemas.openxmlformats.org/officeDocument/2006/relationships/hyperlink" Target="https://pubs.rsc.org/en/content/articlelanding/2018/CP/C8CP02936A" TargetMode="External"/><Relationship Id="rId99" Type="http://schemas.openxmlformats.org/officeDocument/2006/relationships/hyperlink" Target="https://pubs.rsc.org/en/content/articlelanding/2018/CP/C8CP02936A" TargetMode="External"/><Relationship Id="rId10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pubs.rsc.org/en/content/articlelanding/2018/CP/C8CP02936A" TargetMode="External"/><Relationship Id="rId18" Type="http://schemas.openxmlformats.org/officeDocument/2006/relationships/image" Target="media/image2.gif"/><Relationship Id="rId39" Type="http://schemas.openxmlformats.org/officeDocument/2006/relationships/hyperlink" Target="https://pubs.rsc.org/en/content/articlelanding/2018/CP/C8CP02936A" TargetMode="External"/><Relationship Id="rId34" Type="http://schemas.openxmlformats.org/officeDocument/2006/relationships/hyperlink" Target="https://pubs.rsc.org/en/content/articlelanding/2018/CP/C8CP02936A" TargetMode="External"/><Relationship Id="rId50" Type="http://schemas.openxmlformats.org/officeDocument/2006/relationships/hyperlink" Target="https://pubs.rsc.org/en/content/articlelanding/2018/CP/C8CP02936A" TargetMode="External"/><Relationship Id="rId55" Type="http://schemas.openxmlformats.org/officeDocument/2006/relationships/hyperlink" Target="https://pubs.rsc.org/en/content/articlelanding/2018/CP/C8CP02936A" TargetMode="External"/><Relationship Id="rId76" Type="http://schemas.openxmlformats.org/officeDocument/2006/relationships/hyperlink" Target="https://pubs.rsc.org/en/content/articlelanding/2018/CP/C8CP02936A" TargetMode="External"/><Relationship Id="rId97" Type="http://schemas.openxmlformats.org/officeDocument/2006/relationships/hyperlink" Target="https://pubs.rsc.org/en/content/articlelanding/2018/CP/C8CP02936A" TargetMode="External"/><Relationship Id="rId7" Type="http://schemas.openxmlformats.org/officeDocument/2006/relationships/webSettings" Target="webSettings.xml"/><Relationship Id="rId71" Type="http://schemas.openxmlformats.org/officeDocument/2006/relationships/hyperlink" Target="https://pubs.rsc.org/en/content/articlelanding/2018/CP/C8CP02936A" TargetMode="External"/><Relationship Id="rId92" Type="http://schemas.openxmlformats.org/officeDocument/2006/relationships/hyperlink" Target="https://pubs.rsc.org/en/content/articlelanding/2018/CP/C8CP02936A" TargetMode="External"/><Relationship Id="rId2" Type="http://schemas.openxmlformats.org/officeDocument/2006/relationships/customXml" Target="../customXml/item2.xml"/><Relationship Id="rId29" Type="http://schemas.openxmlformats.org/officeDocument/2006/relationships/hyperlink" Target="https://pubs.rsc.org/en/content/articlelanding/2018/CP/C8CP02936A" TargetMode="External"/><Relationship Id="rId24" Type="http://schemas.openxmlformats.org/officeDocument/2006/relationships/hyperlink" Target="https://pubs.rsc.org/en/content/articlelanding/2018/CP/C8CP02936A" TargetMode="External"/><Relationship Id="rId40" Type="http://schemas.openxmlformats.org/officeDocument/2006/relationships/hyperlink" Target="https://pubs.rsc.org/en/content/articlelanding/2018/CP/C8CP02936A" TargetMode="External"/><Relationship Id="rId45" Type="http://schemas.openxmlformats.org/officeDocument/2006/relationships/hyperlink" Target="https://pubs.rsc.org/en/content/articlelanding/2018/CP/C8CP02936A" TargetMode="External"/><Relationship Id="rId66" Type="http://schemas.openxmlformats.org/officeDocument/2006/relationships/hyperlink" Target="https://pubs.rsc.org/en/content/articlelanding/2018/CP/C8CP02936A" TargetMode="External"/><Relationship Id="rId87" Type="http://schemas.openxmlformats.org/officeDocument/2006/relationships/hyperlink" Target="https://pubs.rsc.org/en/content/articlelanding/2018/CP/C8CP02936A" TargetMode="External"/><Relationship Id="rId61" Type="http://schemas.openxmlformats.org/officeDocument/2006/relationships/image" Target="media/image7.gif"/><Relationship Id="rId82" Type="http://schemas.openxmlformats.org/officeDocument/2006/relationships/hyperlink" Target="https://pubs.rsc.org/en/content/articlelanding/2018/CP/C8CP02936A" TargetMode="External"/><Relationship Id="rId19" Type="http://schemas.openxmlformats.org/officeDocument/2006/relationships/hyperlink" Target="https://pubs.rsc.org/en/content/articlelanding/2018/CP/C8CP02936A" TargetMode="External"/><Relationship Id="rId14" Type="http://schemas.openxmlformats.org/officeDocument/2006/relationships/hyperlink" Target="https://pubs.rsc.org/en/content/articlelanding/2018/CP/C8CP02936A" TargetMode="External"/><Relationship Id="rId30" Type="http://schemas.openxmlformats.org/officeDocument/2006/relationships/hyperlink" Target="https://pubs.rsc.org/en/content/articlelanding/2018/CP/C8CP02936A" TargetMode="External"/><Relationship Id="rId35" Type="http://schemas.openxmlformats.org/officeDocument/2006/relationships/hyperlink" Target="https://pubs.rsc.org/en/content/articlelanding/2018/CP/C8CP02936A" TargetMode="External"/><Relationship Id="rId56" Type="http://schemas.openxmlformats.org/officeDocument/2006/relationships/hyperlink" Target="https://pubs.rsc.org/en/content/articlelanding/2018/CP/C8CP02936A" TargetMode="External"/><Relationship Id="rId77" Type="http://schemas.openxmlformats.org/officeDocument/2006/relationships/image" Target="media/image9.gif"/><Relationship Id="rId100" Type="http://schemas.openxmlformats.org/officeDocument/2006/relationships/fontTable" Target="fontTable.xml"/><Relationship Id="rId8" Type="http://schemas.openxmlformats.org/officeDocument/2006/relationships/hyperlink" Target="https://doi.org/10.1039/C8CP02936A" TargetMode="External"/><Relationship Id="rId51" Type="http://schemas.openxmlformats.org/officeDocument/2006/relationships/hyperlink" Target="https://pubs.rsc.org/en/content/articlelanding/2018/CP/C8CP02936A" TargetMode="External"/><Relationship Id="rId72" Type="http://schemas.openxmlformats.org/officeDocument/2006/relationships/hyperlink" Target="https://pubs.rsc.org/en/content/articlelanding/2018/CP/C8CP02936A" TargetMode="External"/><Relationship Id="rId93" Type="http://schemas.openxmlformats.org/officeDocument/2006/relationships/hyperlink" Target="https://pubs.rsc.org/en/content/articlelanding/2018/CP/C8CP02936A" TargetMode="External"/><Relationship Id="rId98" Type="http://schemas.openxmlformats.org/officeDocument/2006/relationships/hyperlink" Target="https://pubs.rsc.org/en/content/articlelanding/2018/CP/C8CP02936A"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BD3EB2-825D-4216-8067-45D0AA480FC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8011756-724A-48A5-8DFF-733011DA4B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ACE404-8754-4F6E-B42F-6F281EA9BA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13</Pages>
  <Words>6990</Words>
  <Characters>37892</Characters>
  <Application>Microsoft Office Word</Application>
  <DocSecurity>8</DocSecurity>
  <Lines>549</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28</cp:revision>
  <dcterms:created xsi:type="dcterms:W3CDTF">2019-09-27T16:20:00Z</dcterms:created>
  <dcterms:modified xsi:type="dcterms:W3CDTF">2019-10-14T19:51:00Z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