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0EDA05C" w:rsidR="000A7622" w:rsidRPr="00C04F25" w:rsidRDefault="00EF5D7F" w:rsidP="00D14423">
      <w:pPr>
        <w:autoSpaceDE w:val="0"/>
        <w:autoSpaceDN w:val="0"/>
        <w:adjustRightInd w:val="0"/>
        <w:rPr>
          <w:rFonts w:cstheme="minorHAnsi"/>
          <w:b/>
          <w:bCs/>
          <w:i/>
          <w:iCs/>
          <w:sz w:val="32"/>
          <w:szCs w:val="32"/>
        </w:rPr>
      </w:pPr>
      <w:r>
        <w:rPr>
          <w:rFonts w:cstheme="minorHAnsi"/>
          <w:b/>
          <w:bCs/>
          <w:i/>
          <w:iCs/>
          <w:sz w:val="32"/>
          <w:szCs w:val="32"/>
        </w:rPr>
        <w:t xml:space="preserve">Chemistry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0212DE0D" w:rsidR="000A7622" w:rsidRDefault="00AD482D" w:rsidP="00B17C7B">
      <w:pPr>
        <w:rPr>
          <w:rFonts w:cstheme="minorHAnsi"/>
          <w:sz w:val="24"/>
          <w:szCs w:val="24"/>
        </w:rPr>
      </w:pPr>
      <w:proofErr w:type="spellStart"/>
      <w:r>
        <w:rPr>
          <w:rFonts w:cstheme="minorHAnsi"/>
          <w:i/>
          <w:sz w:val="24"/>
          <w:szCs w:val="24"/>
          <w:lang w:val="fr-FR"/>
        </w:rPr>
        <w:t>Molecules</w:t>
      </w:r>
      <w:proofErr w:type="spellEnd"/>
      <w:r w:rsidR="000A7622" w:rsidRPr="00C04F25">
        <w:rPr>
          <w:rFonts w:cstheme="minorHAnsi"/>
          <w:sz w:val="24"/>
          <w:szCs w:val="24"/>
          <w:lang w:val="fr-FR"/>
        </w:rPr>
        <w:t xml:space="preserve">, Vol. </w:t>
      </w:r>
      <w:r>
        <w:rPr>
          <w:rFonts w:cstheme="minorHAnsi"/>
          <w:sz w:val="24"/>
          <w:szCs w:val="24"/>
          <w:lang w:val="fr-FR"/>
        </w:rPr>
        <w:t>26</w:t>
      </w:r>
      <w:r w:rsidR="000A7622" w:rsidRPr="00C04F25">
        <w:rPr>
          <w:rFonts w:cstheme="minorHAnsi"/>
          <w:sz w:val="24"/>
          <w:szCs w:val="24"/>
          <w:lang w:val="fr-FR"/>
        </w:rPr>
        <w:t xml:space="preserve">, No. </w:t>
      </w:r>
      <w:r>
        <w:rPr>
          <w:rFonts w:cstheme="minorHAnsi"/>
          <w:sz w:val="24"/>
          <w:szCs w:val="24"/>
          <w:lang w:val="fr-FR"/>
        </w:rPr>
        <w:t>5</w:t>
      </w:r>
      <w:r w:rsidR="000A7622" w:rsidRPr="00C04F25">
        <w:rPr>
          <w:rFonts w:cstheme="minorHAnsi"/>
          <w:sz w:val="24"/>
          <w:szCs w:val="24"/>
          <w:lang w:val="fr-FR"/>
        </w:rPr>
        <w:t xml:space="preserve"> (</w:t>
      </w:r>
      <w:proofErr w:type="spellStart"/>
      <w:r w:rsidR="001118B8">
        <w:rPr>
          <w:rFonts w:cstheme="minorHAnsi"/>
          <w:sz w:val="24"/>
          <w:szCs w:val="24"/>
          <w:lang w:val="fr-FR"/>
        </w:rPr>
        <w:t>February</w:t>
      </w:r>
      <w:proofErr w:type="spellEnd"/>
      <w:r w:rsidR="001118B8">
        <w:rPr>
          <w:rFonts w:cstheme="minorHAnsi"/>
          <w:sz w:val="24"/>
          <w:szCs w:val="24"/>
          <w:lang w:val="fr-FR"/>
        </w:rPr>
        <w:t xml:space="preserve"> 27, 2021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1118B8">
        <w:rPr>
          <w:rFonts w:cstheme="minorHAnsi"/>
          <w:sz w:val="24"/>
          <w:szCs w:val="24"/>
          <w:lang w:val="fr-FR"/>
        </w:rPr>
        <w:t>1289</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w:t>
      </w:r>
      <w:r w:rsidR="005957AA" w:rsidRPr="005957AA">
        <w:rPr>
          <w:rFonts w:cstheme="minorHAnsi"/>
          <w:sz w:val="24"/>
          <w:szCs w:val="24"/>
        </w:rPr>
        <w:t>© 2021 by the authors.</w:t>
      </w:r>
      <w:r w:rsidR="00B17C7B">
        <w:rPr>
          <w:rFonts w:cstheme="minorHAnsi"/>
          <w:sz w:val="24"/>
          <w:szCs w:val="24"/>
        </w:rPr>
        <w:t xml:space="preserve"> </w:t>
      </w:r>
      <w:r w:rsidR="005957AA" w:rsidRPr="005957AA">
        <w:rPr>
          <w:rFonts w:cstheme="minorHAnsi"/>
          <w:sz w:val="24"/>
          <w:szCs w:val="24"/>
        </w:rPr>
        <w:t>Licensee MDPI, Basel, Switzerland.</w:t>
      </w:r>
      <w:r w:rsidR="000A7622" w:rsidRPr="00C04F25">
        <w:rPr>
          <w:rFonts w:cstheme="minorHAnsi"/>
          <w:sz w:val="24"/>
          <w:szCs w:val="24"/>
        </w:rPr>
        <w:t xml:space="preserve"> </w:t>
      </w:r>
      <w:r w:rsidR="005957AA">
        <w:rPr>
          <w:rFonts w:cstheme="minorHAnsi"/>
          <w:sz w:val="24"/>
          <w:szCs w:val="24"/>
        </w:rPr>
        <w:t>P</w:t>
      </w:r>
      <w:r w:rsidR="000A7622" w:rsidRPr="00C04F25">
        <w:rPr>
          <w:rFonts w:cstheme="minorHAnsi"/>
          <w:sz w:val="24"/>
          <w:szCs w:val="24"/>
        </w:rPr>
        <w:t xml:space="preserve">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B17C7B" w:rsidRPr="00B17C7B">
        <w:rPr>
          <w:rFonts w:cstheme="minorHAnsi"/>
          <w:sz w:val="24"/>
          <w:szCs w:val="24"/>
        </w:rPr>
        <w:t>This article is an open access article</w:t>
      </w:r>
      <w:r w:rsidR="00B17C7B">
        <w:rPr>
          <w:rFonts w:cstheme="minorHAnsi"/>
          <w:sz w:val="24"/>
          <w:szCs w:val="24"/>
        </w:rPr>
        <w:t xml:space="preserve"> </w:t>
      </w:r>
      <w:r w:rsidR="00B17C7B" w:rsidRPr="00B17C7B">
        <w:rPr>
          <w:rFonts w:cstheme="minorHAnsi"/>
          <w:sz w:val="24"/>
          <w:szCs w:val="24"/>
        </w:rPr>
        <w:t>distributed under the terms and</w:t>
      </w:r>
      <w:r w:rsidR="00B17C7B">
        <w:rPr>
          <w:rFonts w:cstheme="minorHAnsi"/>
          <w:sz w:val="24"/>
          <w:szCs w:val="24"/>
        </w:rPr>
        <w:t xml:space="preserve"> </w:t>
      </w:r>
      <w:r w:rsidR="00B17C7B" w:rsidRPr="00B17C7B">
        <w:rPr>
          <w:rFonts w:cstheme="minorHAnsi"/>
          <w:sz w:val="24"/>
          <w:szCs w:val="24"/>
        </w:rPr>
        <w:t>conditions of the Creative Commons</w:t>
      </w:r>
      <w:r w:rsidR="00B17C7B">
        <w:rPr>
          <w:rFonts w:cstheme="minorHAnsi"/>
          <w:sz w:val="24"/>
          <w:szCs w:val="24"/>
        </w:rPr>
        <w:t xml:space="preserve"> </w:t>
      </w:r>
      <w:r w:rsidR="00B17C7B" w:rsidRPr="00B17C7B">
        <w:rPr>
          <w:rFonts w:cstheme="minorHAnsi"/>
          <w:sz w:val="24"/>
          <w:szCs w:val="24"/>
        </w:rPr>
        <w:t>Attribution (CC BY) license (https://creativecommons.org/licenses/by/4.0/).</w:t>
      </w:r>
      <w:r w:rsidR="000A7622" w:rsidRPr="00C04F25">
        <w:rPr>
          <w:rFonts w:cstheme="minorHAnsi"/>
          <w:sz w:val="24"/>
          <w:szCs w:val="24"/>
        </w:rPr>
        <w:t xml:space="preserve"> </w:t>
      </w:r>
      <w:bookmarkEnd w:id="1"/>
    </w:p>
    <w:p w14:paraId="33B44CD5" w14:textId="26F4554E" w:rsidR="00056C17" w:rsidRDefault="00056C17" w:rsidP="00D14423">
      <w:pPr>
        <w:rPr>
          <w:rFonts w:cstheme="minorHAnsi"/>
          <w:sz w:val="24"/>
          <w:szCs w:val="24"/>
        </w:rPr>
      </w:pPr>
    </w:p>
    <w:p w14:paraId="0193EBF4" w14:textId="716D3DA3" w:rsidR="00F76A3B" w:rsidRDefault="00E410BA" w:rsidP="00E410BA">
      <w:pPr>
        <w:pStyle w:val="Title"/>
      </w:pPr>
      <w:r w:rsidRPr="00E410BA">
        <w:t>Four Isotope-Labeled Recombination Pathways of Ozone Formation</w:t>
      </w:r>
    </w:p>
    <w:p w14:paraId="5E2FA18F" w14:textId="6455C336" w:rsidR="00E410BA" w:rsidRDefault="00E410BA" w:rsidP="00E410BA"/>
    <w:p w14:paraId="0CC423A1" w14:textId="5D49C794" w:rsidR="00F360AB" w:rsidRPr="00505E05" w:rsidRDefault="00F360AB" w:rsidP="00505E05">
      <w:pPr>
        <w:pStyle w:val="NoSpacing"/>
        <w:rPr>
          <w:sz w:val="32"/>
          <w:szCs w:val="32"/>
        </w:rPr>
      </w:pPr>
      <w:r w:rsidRPr="00505E05">
        <w:rPr>
          <w:sz w:val="32"/>
          <w:szCs w:val="32"/>
        </w:rPr>
        <w:t>Dmitri Babikov</w:t>
      </w:r>
    </w:p>
    <w:p w14:paraId="5FDD75D9" w14:textId="45578988" w:rsidR="00F360AB" w:rsidRPr="00505E05" w:rsidRDefault="00F360AB" w:rsidP="00505E05">
      <w:pPr>
        <w:pStyle w:val="NoSpacing"/>
        <w:rPr>
          <w:sz w:val="24"/>
          <w:szCs w:val="24"/>
        </w:rPr>
      </w:pPr>
      <w:r w:rsidRPr="00505E05">
        <w:rPr>
          <w:sz w:val="24"/>
          <w:szCs w:val="24"/>
        </w:rPr>
        <w:t xml:space="preserve">Department of Chemistry, </w:t>
      </w:r>
      <w:proofErr w:type="spellStart"/>
      <w:r w:rsidRPr="00505E05">
        <w:rPr>
          <w:sz w:val="24"/>
          <w:szCs w:val="24"/>
        </w:rPr>
        <w:t>Wehr</w:t>
      </w:r>
      <w:proofErr w:type="spellEnd"/>
      <w:r w:rsidRPr="00505E05">
        <w:rPr>
          <w:sz w:val="24"/>
          <w:szCs w:val="24"/>
        </w:rPr>
        <w:t xml:space="preserve"> Chemistry Building, Marquette University, Milwaukee, WI</w:t>
      </w:r>
    </w:p>
    <w:p w14:paraId="49DCACDB" w14:textId="191FADBE" w:rsidR="00F360AB" w:rsidRPr="00505E05" w:rsidRDefault="00F360AB" w:rsidP="00505E05">
      <w:pPr>
        <w:pStyle w:val="NoSpacing"/>
        <w:rPr>
          <w:sz w:val="32"/>
          <w:szCs w:val="32"/>
        </w:rPr>
      </w:pPr>
      <w:r w:rsidRPr="00505E05">
        <w:rPr>
          <w:sz w:val="32"/>
          <w:szCs w:val="32"/>
        </w:rPr>
        <w:t xml:space="preserve">Elizaveta </w:t>
      </w:r>
      <w:proofErr w:type="spellStart"/>
      <w:r w:rsidRPr="00505E05">
        <w:rPr>
          <w:sz w:val="32"/>
          <w:szCs w:val="32"/>
        </w:rPr>
        <w:t>Grushnikova</w:t>
      </w:r>
      <w:proofErr w:type="spellEnd"/>
    </w:p>
    <w:p w14:paraId="0262228E" w14:textId="74E4C7AC" w:rsidR="00F360AB" w:rsidRPr="00505E05" w:rsidRDefault="00F360AB" w:rsidP="00505E05">
      <w:pPr>
        <w:pStyle w:val="NoSpacing"/>
        <w:rPr>
          <w:sz w:val="24"/>
          <w:szCs w:val="24"/>
        </w:rPr>
      </w:pPr>
      <w:r w:rsidRPr="00505E05">
        <w:rPr>
          <w:sz w:val="24"/>
          <w:szCs w:val="24"/>
        </w:rPr>
        <w:t xml:space="preserve">Department of Chemistry, </w:t>
      </w:r>
      <w:proofErr w:type="spellStart"/>
      <w:r w:rsidRPr="00505E05">
        <w:rPr>
          <w:sz w:val="24"/>
          <w:szCs w:val="24"/>
        </w:rPr>
        <w:t>Wehr</w:t>
      </w:r>
      <w:proofErr w:type="spellEnd"/>
      <w:r w:rsidRPr="00505E05">
        <w:rPr>
          <w:sz w:val="24"/>
          <w:szCs w:val="24"/>
        </w:rPr>
        <w:t xml:space="preserve"> Chemistry Building, Marquette University, Milwaukee, WI</w:t>
      </w:r>
    </w:p>
    <w:p w14:paraId="307CE7C0" w14:textId="441DFDB7" w:rsidR="00F360AB" w:rsidRPr="00505E05" w:rsidRDefault="00F360AB" w:rsidP="00505E05">
      <w:pPr>
        <w:pStyle w:val="NoSpacing"/>
        <w:rPr>
          <w:sz w:val="32"/>
          <w:szCs w:val="32"/>
        </w:rPr>
      </w:pPr>
      <w:r w:rsidRPr="00505E05">
        <w:rPr>
          <w:sz w:val="32"/>
          <w:szCs w:val="32"/>
        </w:rPr>
        <w:t xml:space="preserve">Igor </w:t>
      </w:r>
      <w:proofErr w:type="spellStart"/>
      <w:r w:rsidRPr="00505E05">
        <w:rPr>
          <w:sz w:val="32"/>
          <w:szCs w:val="32"/>
        </w:rPr>
        <w:t>Gayday</w:t>
      </w:r>
      <w:proofErr w:type="spellEnd"/>
    </w:p>
    <w:p w14:paraId="443C894F" w14:textId="54698705" w:rsidR="00F360AB" w:rsidRPr="00505E05" w:rsidRDefault="00F360AB" w:rsidP="00505E05">
      <w:pPr>
        <w:pStyle w:val="NoSpacing"/>
        <w:rPr>
          <w:sz w:val="24"/>
          <w:szCs w:val="24"/>
        </w:rPr>
      </w:pPr>
      <w:r w:rsidRPr="00505E05">
        <w:rPr>
          <w:sz w:val="24"/>
          <w:szCs w:val="24"/>
        </w:rPr>
        <w:t xml:space="preserve">Department of Chemistry, </w:t>
      </w:r>
      <w:proofErr w:type="spellStart"/>
      <w:r w:rsidRPr="00505E05">
        <w:rPr>
          <w:sz w:val="24"/>
          <w:szCs w:val="24"/>
        </w:rPr>
        <w:t>Wehr</w:t>
      </w:r>
      <w:proofErr w:type="spellEnd"/>
      <w:r w:rsidRPr="00505E05">
        <w:rPr>
          <w:sz w:val="24"/>
          <w:szCs w:val="24"/>
        </w:rPr>
        <w:t xml:space="preserve"> Chemistry Building, Marquette University, Milwaukee, WI</w:t>
      </w:r>
    </w:p>
    <w:p w14:paraId="46FB4F74" w14:textId="78A78C94" w:rsidR="00EF5D7F" w:rsidRPr="00505E05" w:rsidRDefault="00F360AB" w:rsidP="00505E05">
      <w:pPr>
        <w:pStyle w:val="NoSpacing"/>
        <w:rPr>
          <w:sz w:val="32"/>
          <w:szCs w:val="32"/>
        </w:rPr>
      </w:pPr>
      <w:r w:rsidRPr="00505E05">
        <w:rPr>
          <w:sz w:val="32"/>
          <w:szCs w:val="32"/>
        </w:rPr>
        <w:t xml:space="preserve">Alexander </w:t>
      </w:r>
      <w:proofErr w:type="spellStart"/>
      <w:r w:rsidRPr="00505E05">
        <w:rPr>
          <w:sz w:val="32"/>
          <w:szCs w:val="32"/>
        </w:rPr>
        <w:t>Teplukhin</w:t>
      </w:r>
      <w:proofErr w:type="spellEnd"/>
    </w:p>
    <w:p w14:paraId="25B0FA96" w14:textId="37823EB8" w:rsidR="00EF5D7F" w:rsidRPr="00505E05" w:rsidRDefault="00505E05" w:rsidP="00505E05">
      <w:pPr>
        <w:pStyle w:val="NoSpacing"/>
        <w:rPr>
          <w:sz w:val="24"/>
          <w:szCs w:val="24"/>
        </w:rPr>
      </w:pPr>
      <w:r w:rsidRPr="00505E05">
        <w:rPr>
          <w:sz w:val="24"/>
          <w:szCs w:val="24"/>
        </w:rPr>
        <w:t>Theoretical Division (T-1, MS B221), Los Alamos National Laboratory, Los Alamos, NM</w:t>
      </w:r>
    </w:p>
    <w:p w14:paraId="76615C6F" w14:textId="77777777" w:rsidR="00EF5D7F" w:rsidRDefault="00EF5D7F" w:rsidP="00E410BA"/>
    <w:p w14:paraId="67AA6C4E" w14:textId="77777777" w:rsidR="00287AF0" w:rsidRPr="00287AF0" w:rsidRDefault="00287AF0" w:rsidP="00505E05">
      <w:pPr>
        <w:pStyle w:val="Heading1"/>
      </w:pPr>
      <w:r w:rsidRPr="00287AF0">
        <w:t>Abstract</w:t>
      </w:r>
    </w:p>
    <w:p w14:paraId="1009E340" w14:textId="417ADECD" w:rsidR="00287AF0" w:rsidRPr="00287AF0" w:rsidRDefault="00287AF0" w:rsidP="00287AF0">
      <w:r w:rsidRPr="00287AF0">
        <w:t>A theoretical approach is developed for the description of all possible recombination pathways in the ozone forming reaction, without neglecting any process </w:t>
      </w:r>
      <w:r w:rsidRPr="00287AF0">
        <w:rPr>
          <w:i/>
          <w:iCs/>
        </w:rPr>
        <w:t>a priori</w:t>
      </w:r>
      <w:r w:rsidRPr="00287AF0">
        <w:t>, and without decoupling the individual pathways one from another. These pathways become physically distinct when a rare isotope of oxygen is introduced, such as </w:t>
      </w:r>
      <w:r w:rsidRPr="00287AF0">
        <w:rPr>
          <w:vertAlign w:val="superscript"/>
        </w:rPr>
        <w:t>18</w:t>
      </w:r>
      <w:r w:rsidRPr="00287AF0">
        <w:t xml:space="preserve">O, which represents a sensitive probe of the ozone forming reaction. Each </w:t>
      </w:r>
      <w:proofErr w:type="spellStart"/>
      <w:r w:rsidRPr="00287AF0">
        <w:t>isotopologue</w:t>
      </w:r>
      <w:proofErr w:type="spellEnd"/>
      <w:r w:rsidRPr="00287AF0">
        <w:t xml:space="preserve"> of O</w:t>
      </w:r>
      <w:r w:rsidRPr="00287AF0">
        <w:rPr>
          <w:vertAlign w:val="subscript"/>
        </w:rPr>
        <w:t>3</w:t>
      </w:r>
      <w:r w:rsidRPr="00287AF0">
        <w:t xml:space="preserve"> contains two types of physically distinct entrance channels and two types of physically distinct product wells, creating four recombination pathways. Calculations are done for singly and doubly substituted </w:t>
      </w:r>
      <w:proofErr w:type="spellStart"/>
      <w:r w:rsidRPr="00287AF0">
        <w:t>isotopologues</w:t>
      </w:r>
      <w:proofErr w:type="spellEnd"/>
      <w:r w:rsidRPr="00287AF0">
        <w:t xml:space="preserve"> of ozone, eight rate coefficients total. Two pathways for the formation of asymmetric ozone </w:t>
      </w:r>
      <w:proofErr w:type="spellStart"/>
      <w:r w:rsidRPr="00287AF0">
        <w:t>isotopomer</w:t>
      </w:r>
      <w:proofErr w:type="spellEnd"/>
      <w:r w:rsidRPr="00287AF0">
        <w:t xml:space="preserve"> exhibit rather different rate coefficients, indicating large isotope effect driven by </w:t>
      </w:r>
      <m:oMath>
        <m:r>
          <m:rPr>
            <m:sty m:val="p"/>
          </m:rPr>
          <w:rPr>
            <w:rFonts w:ascii="Cambria Math" w:hAnsi="Cambria Math"/>
          </w:rPr>
          <m:t>ΔZPE</m:t>
        </m:r>
      </m:oMath>
      <w:r w:rsidR="00D32CB1" w:rsidRPr="00287AF0">
        <w:t xml:space="preserve"> </w:t>
      </w:r>
      <w:r w:rsidRPr="00287AF0">
        <w:t xml:space="preserve">-difference. Rate coefficient for the formation of symmetric </w:t>
      </w:r>
      <w:proofErr w:type="spellStart"/>
      <w:r w:rsidRPr="00287AF0">
        <w:t>isotopomer</w:t>
      </w:r>
      <w:proofErr w:type="spellEnd"/>
      <w:r w:rsidRPr="00287AF0">
        <w:t xml:space="preserve"> of ozone (third pathway) is found to be in between of those two, while the rate of insertion pathway is smaller by two orders of magnitude. These trends are in good agreement with experiments, for both singly and doubly substituted ozone. The total formation rates for asymmetric </w:t>
      </w:r>
      <w:proofErr w:type="spellStart"/>
      <w:r w:rsidRPr="00287AF0">
        <w:t>isotopomers</w:t>
      </w:r>
      <w:proofErr w:type="spellEnd"/>
      <w:r w:rsidRPr="00287AF0">
        <w:t xml:space="preserve"> are found to be somewhat larger than those for symmetric </w:t>
      </w:r>
      <w:proofErr w:type="spellStart"/>
      <w:r w:rsidRPr="00287AF0">
        <w:t>isotopomers</w:t>
      </w:r>
      <w:proofErr w:type="spellEnd"/>
      <w:r w:rsidRPr="00287AF0">
        <w:t xml:space="preserve">, but not as much as in the experiment. Overall, the distribution of lifetimes is found to be very similar for the metastable states in symmetric and asymmetric ozone </w:t>
      </w:r>
      <w:proofErr w:type="spellStart"/>
      <w:r w:rsidRPr="00287AF0">
        <w:t>isotopomers</w:t>
      </w:r>
      <w:proofErr w:type="spellEnd"/>
      <w:r w:rsidRPr="00287AF0">
        <w:t>.</w:t>
      </w:r>
    </w:p>
    <w:p w14:paraId="2EF44021" w14:textId="77777777" w:rsidR="00505E05" w:rsidRDefault="00287AF0" w:rsidP="00BF387A">
      <w:pPr>
        <w:pStyle w:val="Heading1"/>
      </w:pPr>
      <w:r w:rsidRPr="00287AF0">
        <w:t>Keywords:</w:t>
      </w:r>
    </w:p>
    <w:p w14:paraId="665FCBD7" w14:textId="2D736300" w:rsidR="00287AF0" w:rsidRPr="00BF387A" w:rsidRDefault="00287AF0" w:rsidP="00287AF0">
      <w:r w:rsidRPr="00BF387A">
        <w:t>ozone; isotope effect; scattering resonances; </w:t>
      </w:r>
      <w:proofErr w:type="spellStart"/>
      <w:r w:rsidRPr="00BF387A">
        <w:t>hyperspherical</w:t>
      </w:r>
      <w:proofErr w:type="spellEnd"/>
      <w:r w:rsidRPr="00BF387A">
        <w:t xml:space="preserve"> coordinates</w:t>
      </w:r>
    </w:p>
    <w:p w14:paraId="041BDCCA" w14:textId="77777777" w:rsidR="00287AF0" w:rsidRPr="00287AF0" w:rsidRDefault="00287AF0" w:rsidP="00BF387A">
      <w:pPr>
        <w:pStyle w:val="Heading1"/>
      </w:pPr>
      <w:r w:rsidRPr="00287AF0">
        <w:lastRenderedPageBreak/>
        <w:t>1. Introduction</w:t>
      </w:r>
    </w:p>
    <w:p w14:paraId="3BF1D127" w14:textId="5B78F088" w:rsidR="00287AF0" w:rsidRPr="00287AF0" w:rsidRDefault="00287AF0" w:rsidP="00287AF0">
      <w:r w:rsidRPr="00287AF0">
        <w:t>The recombination reaction that produces the usual (isotopically unsubstituted) ozone molecule may look relatively simple, O + O</w:t>
      </w:r>
      <w:r w:rsidRPr="00287AF0">
        <w:rPr>
          <w:vertAlign w:val="subscript"/>
        </w:rPr>
        <w:t>2</w:t>
      </w:r>
      <w:r w:rsidRPr="00287AF0">
        <w:t> → O</w:t>
      </w:r>
      <w:r w:rsidRPr="00287AF0">
        <w:rPr>
          <w:vertAlign w:val="subscript"/>
        </w:rPr>
        <w:t>3</w:t>
      </w:r>
      <w:r w:rsidRPr="00287AF0">
        <w:t>, but this is because in this case only one, the most abundant isotope of oxygen (</w:t>
      </w:r>
      <w:r w:rsidRPr="00287AF0">
        <w:rPr>
          <w:vertAlign w:val="superscript"/>
        </w:rPr>
        <w:t>16</w:t>
      </w:r>
      <w:r w:rsidRPr="00287AF0">
        <w:t>O) is involved. When a rare isotope is introduced, say </w:t>
      </w:r>
      <w:r w:rsidRPr="00287AF0">
        <w:rPr>
          <w:vertAlign w:val="superscript"/>
        </w:rPr>
        <w:t>18</w:t>
      </w:r>
      <w:r w:rsidRPr="00287AF0">
        <w:t>O, several physically distinct reaction pathways (1)</w:t>
      </w:r>
      <w:proofErr w:type="gramStart"/>
      <w:r w:rsidRPr="00287AF0">
        <w:t>–(</w:t>
      </w:r>
      <w:proofErr w:type="gramEnd"/>
      <w:r w:rsidRPr="00287AF0">
        <w:t>4) can be identified [</w:t>
      </w:r>
      <w:r w:rsidRPr="00AD482D">
        <w:rPr>
          <w:b/>
          <w:bCs/>
        </w:rPr>
        <w:t>1</w:t>
      </w:r>
      <w:r w:rsidRPr="00287AF0">
        <w:t>,</w:t>
      </w:r>
      <w:r w:rsidRPr="00AD482D">
        <w:rPr>
          <w:b/>
          <w:bCs/>
        </w:rPr>
        <w:t>2</w:t>
      </w:r>
      <w:r w:rsidRPr="00287AF0">
        <w:t>,</w:t>
      </w:r>
      <w:r w:rsidRPr="00AD482D">
        <w:rPr>
          <w:b/>
          <w:bCs/>
        </w:rPr>
        <w:t>3</w:t>
      </w:r>
      <w:r w:rsidRPr="00287AF0">
        <w:t>,</w:t>
      </w:r>
      <w:r w:rsidRPr="00AD482D">
        <w:rPr>
          <w:b/>
          <w:bCs/>
        </w:rPr>
        <w:t>4</w:t>
      </w:r>
      <w:r w:rsidRPr="00287AF0">
        <w:t>,</w:t>
      </w:r>
      <w:r w:rsidRPr="00AD482D">
        <w:rPr>
          <w:b/>
          <w:bCs/>
        </w:rPr>
        <w:t>5</w:t>
      </w:r>
      <w:r w:rsidRPr="00287AF0">
        <w:t>,</w:t>
      </w:r>
      <w:r w:rsidRPr="00AD482D">
        <w:rPr>
          <w:b/>
          <w:bCs/>
        </w:rPr>
        <w:t>6</w:t>
      </w:r>
      <w:r w:rsidRPr="00287AF0">
        <w:t>,</w:t>
      </w:r>
      <w:r w:rsidRPr="00AD482D">
        <w:rPr>
          <w:b/>
          <w:bCs/>
        </w:rPr>
        <w:t>7</w:t>
      </w:r>
      <w:r w:rsidRPr="00287AF0">
        <w:t>,</w:t>
      </w:r>
      <w:r w:rsidRPr="00AD482D">
        <w:rPr>
          <w:b/>
          <w:bCs/>
        </w:rPr>
        <w:t>8</w:t>
      </w:r>
      <w:r w:rsidRPr="00287AF0">
        <w:t>]:</w:t>
      </w:r>
    </w:p>
    <w:tbl>
      <w:tblPr>
        <w:tblStyle w:val="TableGrid"/>
        <w:tblW w:w="0" w:type="auto"/>
        <w:tblLook w:val="04A0" w:firstRow="1" w:lastRow="0" w:firstColumn="1" w:lastColumn="0" w:noHBand="0" w:noVBand="1"/>
      </w:tblPr>
      <w:tblGrid>
        <w:gridCol w:w="403"/>
        <w:gridCol w:w="3595"/>
        <w:gridCol w:w="1656"/>
      </w:tblGrid>
      <w:tr w:rsidR="00287AF0" w:rsidRPr="00287AF0" w14:paraId="3E276843" w14:textId="77777777" w:rsidTr="00BF387A">
        <w:tc>
          <w:tcPr>
            <w:tcW w:w="0" w:type="auto"/>
            <w:hideMark/>
          </w:tcPr>
          <w:p w14:paraId="46F19F9B" w14:textId="77777777" w:rsidR="00287AF0" w:rsidRPr="00287AF0" w:rsidRDefault="00287AF0" w:rsidP="00287AF0">
            <w:r w:rsidRPr="00287AF0">
              <w:rPr>
                <w:i/>
                <w:iCs/>
              </w:rPr>
              <w:t>A</w:t>
            </w:r>
            <w:r w:rsidRPr="00287AF0">
              <w:t>:</w:t>
            </w:r>
          </w:p>
        </w:tc>
        <w:tc>
          <w:tcPr>
            <w:tcW w:w="0" w:type="auto"/>
            <w:hideMark/>
          </w:tcPr>
          <w:p w14:paraId="3E84E05D" w14:textId="77777777" w:rsidR="00287AF0" w:rsidRPr="00287AF0" w:rsidRDefault="00287AF0" w:rsidP="00287AF0">
            <w:r w:rsidRPr="00287AF0">
              <w:t> </w:t>
            </w:r>
            <w:r w:rsidRPr="00287AF0">
              <w:t> </w:t>
            </w:r>
            <w:r w:rsidRPr="00287AF0">
              <w:t> </w:t>
            </w:r>
            <w:r w:rsidRPr="00287AF0">
              <w:t> </w:t>
            </w:r>
            <w:r w:rsidRPr="00287AF0">
              <w:t> </w:t>
            </w:r>
            <w:r w:rsidRPr="00287AF0">
              <w:t> </w:t>
            </w:r>
            <w:r w:rsidRPr="00287AF0">
              <w:rPr>
                <w:vertAlign w:val="superscript"/>
              </w:rPr>
              <w:t>16</w:t>
            </w:r>
            <w:r w:rsidRPr="00287AF0">
              <w:t>O + </w:t>
            </w:r>
            <w:r w:rsidRPr="00287AF0">
              <w:rPr>
                <w:vertAlign w:val="superscript"/>
              </w:rPr>
              <w:t>16</w:t>
            </w:r>
            <w:r w:rsidRPr="00287AF0">
              <w:t>O</w:t>
            </w:r>
            <w:r w:rsidRPr="00287AF0">
              <w:rPr>
                <w:vertAlign w:val="superscript"/>
              </w:rPr>
              <w:t>18</w:t>
            </w:r>
            <w:r w:rsidRPr="00287AF0">
              <w:t>O →</w:t>
            </w:r>
            <w:r w:rsidRPr="00287AF0">
              <w:rPr>
                <w:vertAlign w:val="superscript"/>
              </w:rPr>
              <w:t>16</w:t>
            </w:r>
            <w:r w:rsidRPr="00287AF0">
              <w:t>O</w:t>
            </w:r>
            <w:r w:rsidRPr="00287AF0">
              <w:rPr>
                <w:vertAlign w:val="superscript"/>
              </w:rPr>
              <w:t>16</w:t>
            </w:r>
            <w:r w:rsidRPr="00287AF0">
              <w:t>O</w:t>
            </w:r>
            <w:r w:rsidRPr="00287AF0">
              <w:rPr>
                <w:vertAlign w:val="superscript"/>
              </w:rPr>
              <w:t>18</w:t>
            </w:r>
            <w:r w:rsidRPr="00287AF0">
              <w:t>O</w:t>
            </w:r>
          </w:p>
        </w:tc>
        <w:tc>
          <w:tcPr>
            <w:tcW w:w="0" w:type="auto"/>
            <w:hideMark/>
          </w:tcPr>
          <w:p w14:paraId="0AA02E93" w14:textId="77777777" w:rsidR="00287AF0" w:rsidRPr="00287AF0" w:rsidRDefault="00287AF0" w:rsidP="00287AF0">
            <w:r w:rsidRPr="00287AF0">
              <w:t> </w:t>
            </w:r>
            <w:r w:rsidRPr="00287AF0">
              <w:t> </w:t>
            </w:r>
            <w:r w:rsidRPr="00287AF0">
              <w:t> </w:t>
            </w:r>
            <w:r w:rsidRPr="00287AF0">
              <w:t> </w:t>
            </w:r>
            <w:r w:rsidRPr="00287AF0">
              <w:t> </w:t>
            </w:r>
            <w:r w:rsidRPr="00287AF0">
              <w:t> </w:t>
            </w:r>
            <w:r w:rsidRPr="00287AF0">
              <w:t>(1)</w:t>
            </w:r>
          </w:p>
        </w:tc>
      </w:tr>
      <w:tr w:rsidR="00287AF0" w:rsidRPr="00287AF0" w14:paraId="67513DF4" w14:textId="77777777" w:rsidTr="00BF387A">
        <w:tc>
          <w:tcPr>
            <w:tcW w:w="0" w:type="auto"/>
            <w:hideMark/>
          </w:tcPr>
          <w:p w14:paraId="08D7A849" w14:textId="77777777" w:rsidR="00287AF0" w:rsidRPr="00287AF0" w:rsidRDefault="00287AF0" w:rsidP="00287AF0">
            <w:r w:rsidRPr="00287AF0">
              <w:rPr>
                <w:i/>
                <w:iCs/>
              </w:rPr>
              <w:t>B</w:t>
            </w:r>
            <w:r w:rsidRPr="00287AF0">
              <w:t>:</w:t>
            </w:r>
          </w:p>
        </w:tc>
        <w:tc>
          <w:tcPr>
            <w:tcW w:w="0" w:type="auto"/>
            <w:hideMark/>
          </w:tcPr>
          <w:p w14:paraId="545FB91B" w14:textId="77777777" w:rsidR="00287AF0" w:rsidRPr="00287AF0" w:rsidRDefault="00287AF0" w:rsidP="00287AF0">
            <w:r w:rsidRPr="00287AF0">
              <w:t> </w:t>
            </w:r>
            <w:r w:rsidRPr="00287AF0">
              <w:t> </w:t>
            </w:r>
            <w:r w:rsidRPr="00287AF0">
              <w:t> </w:t>
            </w:r>
            <w:r w:rsidRPr="00287AF0">
              <w:t> </w:t>
            </w:r>
            <w:r w:rsidRPr="00287AF0">
              <w:t> </w:t>
            </w:r>
            <w:r w:rsidRPr="00287AF0">
              <w:t> </w:t>
            </w:r>
            <w:r w:rsidRPr="00287AF0">
              <w:rPr>
                <w:vertAlign w:val="superscript"/>
              </w:rPr>
              <w:t>18</w:t>
            </w:r>
            <w:r w:rsidRPr="00287AF0">
              <w:t>O + </w:t>
            </w:r>
            <w:r w:rsidRPr="00287AF0">
              <w:rPr>
                <w:vertAlign w:val="superscript"/>
              </w:rPr>
              <w:t>16</w:t>
            </w:r>
            <w:r w:rsidRPr="00287AF0">
              <w:t>O</w:t>
            </w:r>
            <w:r w:rsidRPr="00287AF0">
              <w:rPr>
                <w:vertAlign w:val="superscript"/>
              </w:rPr>
              <w:t>16</w:t>
            </w:r>
            <w:r w:rsidRPr="00287AF0">
              <w:t>O →</w:t>
            </w:r>
            <w:r w:rsidRPr="00287AF0">
              <w:rPr>
                <w:vertAlign w:val="superscript"/>
              </w:rPr>
              <w:t>18</w:t>
            </w:r>
            <w:r w:rsidRPr="00287AF0">
              <w:t>O</w:t>
            </w:r>
            <w:r w:rsidRPr="00287AF0">
              <w:rPr>
                <w:vertAlign w:val="superscript"/>
              </w:rPr>
              <w:t>16</w:t>
            </w:r>
            <w:r w:rsidRPr="00287AF0">
              <w:t>O</w:t>
            </w:r>
            <w:r w:rsidRPr="00287AF0">
              <w:rPr>
                <w:vertAlign w:val="superscript"/>
              </w:rPr>
              <w:t>16</w:t>
            </w:r>
            <w:r w:rsidRPr="00287AF0">
              <w:t>O</w:t>
            </w:r>
          </w:p>
        </w:tc>
        <w:tc>
          <w:tcPr>
            <w:tcW w:w="0" w:type="auto"/>
            <w:hideMark/>
          </w:tcPr>
          <w:p w14:paraId="774D30AC" w14:textId="77777777" w:rsidR="00287AF0" w:rsidRPr="00287AF0" w:rsidRDefault="00287AF0" w:rsidP="00287AF0">
            <w:r w:rsidRPr="00287AF0">
              <w:t> </w:t>
            </w:r>
            <w:r w:rsidRPr="00287AF0">
              <w:t> </w:t>
            </w:r>
            <w:r w:rsidRPr="00287AF0">
              <w:t> </w:t>
            </w:r>
            <w:r w:rsidRPr="00287AF0">
              <w:t> </w:t>
            </w:r>
            <w:r w:rsidRPr="00287AF0">
              <w:t> </w:t>
            </w:r>
            <w:r w:rsidRPr="00287AF0">
              <w:t> </w:t>
            </w:r>
            <w:r w:rsidRPr="00287AF0">
              <w:t>(2)</w:t>
            </w:r>
          </w:p>
        </w:tc>
      </w:tr>
      <w:tr w:rsidR="00287AF0" w:rsidRPr="00287AF0" w14:paraId="57945F40" w14:textId="77777777" w:rsidTr="00BF387A">
        <w:tc>
          <w:tcPr>
            <w:tcW w:w="0" w:type="auto"/>
            <w:hideMark/>
          </w:tcPr>
          <w:p w14:paraId="32C2A311" w14:textId="77777777" w:rsidR="00287AF0" w:rsidRPr="00287AF0" w:rsidRDefault="00287AF0" w:rsidP="00287AF0">
            <w:r w:rsidRPr="00287AF0">
              <w:rPr>
                <w:i/>
                <w:iCs/>
              </w:rPr>
              <w:t>S</w:t>
            </w:r>
            <w:r w:rsidRPr="00287AF0">
              <w:t>:</w:t>
            </w:r>
          </w:p>
        </w:tc>
        <w:tc>
          <w:tcPr>
            <w:tcW w:w="0" w:type="auto"/>
            <w:hideMark/>
          </w:tcPr>
          <w:p w14:paraId="6FF68C74" w14:textId="77777777" w:rsidR="00287AF0" w:rsidRPr="00287AF0" w:rsidRDefault="00287AF0" w:rsidP="00287AF0">
            <w:r w:rsidRPr="00287AF0">
              <w:t> </w:t>
            </w:r>
            <w:r w:rsidRPr="00287AF0">
              <w:t> </w:t>
            </w:r>
            <w:r w:rsidRPr="00287AF0">
              <w:t> </w:t>
            </w:r>
            <w:r w:rsidRPr="00287AF0">
              <w:t> </w:t>
            </w:r>
            <w:r w:rsidRPr="00287AF0">
              <w:t> </w:t>
            </w:r>
            <w:r w:rsidRPr="00287AF0">
              <w:t> </w:t>
            </w:r>
            <w:r w:rsidRPr="00287AF0">
              <w:rPr>
                <w:vertAlign w:val="superscript"/>
              </w:rPr>
              <w:t>16</w:t>
            </w:r>
            <w:r w:rsidRPr="00287AF0">
              <w:t>O + </w:t>
            </w:r>
            <w:r w:rsidRPr="00287AF0">
              <w:rPr>
                <w:vertAlign w:val="superscript"/>
              </w:rPr>
              <w:t>18</w:t>
            </w:r>
            <w:r w:rsidRPr="00287AF0">
              <w:t>O</w:t>
            </w:r>
            <w:r w:rsidRPr="00287AF0">
              <w:rPr>
                <w:vertAlign w:val="superscript"/>
              </w:rPr>
              <w:t>16</w:t>
            </w:r>
            <w:r w:rsidRPr="00287AF0">
              <w:t>O →</w:t>
            </w:r>
            <w:r w:rsidRPr="00287AF0">
              <w:rPr>
                <w:vertAlign w:val="superscript"/>
              </w:rPr>
              <w:t>16</w:t>
            </w:r>
            <w:r w:rsidRPr="00287AF0">
              <w:t>O</w:t>
            </w:r>
            <w:r w:rsidRPr="00287AF0">
              <w:rPr>
                <w:vertAlign w:val="superscript"/>
              </w:rPr>
              <w:t>18</w:t>
            </w:r>
            <w:r w:rsidRPr="00287AF0">
              <w:t>O</w:t>
            </w:r>
            <w:r w:rsidRPr="00287AF0">
              <w:rPr>
                <w:vertAlign w:val="superscript"/>
              </w:rPr>
              <w:t>16</w:t>
            </w:r>
            <w:r w:rsidRPr="00287AF0">
              <w:t>O</w:t>
            </w:r>
          </w:p>
        </w:tc>
        <w:tc>
          <w:tcPr>
            <w:tcW w:w="0" w:type="auto"/>
            <w:hideMark/>
          </w:tcPr>
          <w:p w14:paraId="607730B4" w14:textId="77777777" w:rsidR="00287AF0" w:rsidRPr="00287AF0" w:rsidRDefault="00287AF0" w:rsidP="00287AF0">
            <w:r w:rsidRPr="00287AF0">
              <w:t> </w:t>
            </w:r>
            <w:r w:rsidRPr="00287AF0">
              <w:t> </w:t>
            </w:r>
            <w:r w:rsidRPr="00287AF0">
              <w:t> </w:t>
            </w:r>
            <w:r w:rsidRPr="00287AF0">
              <w:t> </w:t>
            </w:r>
            <w:r w:rsidRPr="00287AF0">
              <w:t> </w:t>
            </w:r>
            <w:r w:rsidRPr="00287AF0">
              <w:t> </w:t>
            </w:r>
            <w:r w:rsidRPr="00287AF0">
              <w:t>(3)</w:t>
            </w:r>
          </w:p>
        </w:tc>
      </w:tr>
      <w:tr w:rsidR="00287AF0" w:rsidRPr="00287AF0" w14:paraId="034972D2" w14:textId="77777777" w:rsidTr="00BF387A">
        <w:tc>
          <w:tcPr>
            <w:tcW w:w="0" w:type="auto"/>
            <w:hideMark/>
          </w:tcPr>
          <w:p w14:paraId="72170FBC" w14:textId="77777777" w:rsidR="00287AF0" w:rsidRPr="00287AF0" w:rsidRDefault="00287AF0" w:rsidP="00287AF0">
            <w:r w:rsidRPr="00287AF0">
              <w:rPr>
                <w:i/>
                <w:iCs/>
              </w:rPr>
              <w:t>I</w:t>
            </w:r>
            <w:r w:rsidRPr="00287AF0">
              <w:t>:</w:t>
            </w:r>
          </w:p>
        </w:tc>
        <w:tc>
          <w:tcPr>
            <w:tcW w:w="0" w:type="auto"/>
            <w:hideMark/>
          </w:tcPr>
          <w:p w14:paraId="79C3984E" w14:textId="77777777" w:rsidR="00287AF0" w:rsidRPr="00287AF0" w:rsidRDefault="00287AF0" w:rsidP="00287AF0">
            <w:r w:rsidRPr="00287AF0">
              <w:t> </w:t>
            </w:r>
            <w:r w:rsidRPr="00287AF0">
              <w:t> </w:t>
            </w:r>
            <w:r w:rsidRPr="00287AF0">
              <w:t> </w:t>
            </w:r>
            <w:r w:rsidRPr="00287AF0">
              <w:t> </w:t>
            </w:r>
            <w:r w:rsidRPr="00287AF0">
              <w:t> </w:t>
            </w:r>
            <w:r w:rsidRPr="00287AF0">
              <w:t> </w:t>
            </w:r>
            <w:r w:rsidRPr="00287AF0">
              <w:rPr>
                <w:vertAlign w:val="superscript"/>
              </w:rPr>
              <w:t>18</w:t>
            </w:r>
            <w:r w:rsidRPr="00287AF0">
              <w:t>O + </w:t>
            </w:r>
            <w:r w:rsidRPr="00287AF0">
              <w:rPr>
                <w:vertAlign w:val="superscript"/>
              </w:rPr>
              <w:t>16</w:t>
            </w:r>
            <w:r w:rsidRPr="00287AF0">
              <w:t>O</w:t>
            </w:r>
            <w:r w:rsidRPr="00287AF0">
              <w:rPr>
                <w:vertAlign w:val="superscript"/>
              </w:rPr>
              <w:t>16</w:t>
            </w:r>
            <w:r w:rsidRPr="00287AF0">
              <w:t>O →</w:t>
            </w:r>
            <w:r w:rsidRPr="00287AF0">
              <w:rPr>
                <w:vertAlign w:val="superscript"/>
              </w:rPr>
              <w:t>16</w:t>
            </w:r>
            <w:r w:rsidRPr="00287AF0">
              <w:t>O</w:t>
            </w:r>
            <w:r w:rsidRPr="00287AF0">
              <w:rPr>
                <w:vertAlign w:val="superscript"/>
              </w:rPr>
              <w:t>18</w:t>
            </w:r>
            <w:r w:rsidRPr="00287AF0">
              <w:t>O</w:t>
            </w:r>
            <w:r w:rsidRPr="00287AF0">
              <w:rPr>
                <w:vertAlign w:val="superscript"/>
              </w:rPr>
              <w:t>16</w:t>
            </w:r>
            <w:r w:rsidRPr="00287AF0">
              <w:t>O</w:t>
            </w:r>
          </w:p>
        </w:tc>
        <w:tc>
          <w:tcPr>
            <w:tcW w:w="0" w:type="auto"/>
            <w:hideMark/>
          </w:tcPr>
          <w:p w14:paraId="5FB6CFA9" w14:textId="77777777" w:rsidR="00287AF0" w:rsidRPr="00287AF0" w:rsidRDefault="00287AF0" w:rsidP="00287AF0">
            <w:r w:rsidRPr="00287AF0">
              <w:t> </w:t>
            </w:r>
            <w:r w:rsidRPr="00287AF0">
              <w:t> </w:t>
            </w:r>
            <w:r w:rsidRPr="00287AF0">
              <w:t> </w:t>
            </w:r>
            <w:r w:rsidRPr="00287AF0">
              <w:t> </w:t>
            </w:r>
            <w:r w:rsidRPr="00287AF0">
              <w:t> </w:t>
            </w:r>
            <w:r w:rsidRPr="00287AF0">
              <w:t> </w:t>
            </w:r>
            <w:r w:rsidRPr="00287AF0">
              <w:t>(4)</w:t>
            </w:r>
          </w:p>
        </w:tc>
      </w:tr>
    </w:tbl>
    <w:p w14:paraId="5CDCD727" w14:textId="77777777" w:rsidR="00BF387A" w:rsidRDefault="00BF387A" w:rsidP="00287AF0"/>
    <w:p w14:paraId="33C68F66" w14:textId="1178A84A" w:rsidR="00287AF0" w:rsidRPr="00287AF0" w:rsidRDefault="00287AF0" w:rsidP="00287AF0">
      <w:r w:rsidRPr="00287AF0">
        <w:t>Two of these pathways, </w:t>
      </w:r>
      <w:r w:rsidRPr="00287AF0">
        <w:rPr>
          <w:i/>
          <w:iCs/>
        </w:rPr>
        <w:t>A</w:t>
      </w:r>
      <w:r w:rsidRPr="00287AF0">
        <w:t> and </w:t>
      </w:r>
      <w:r w:rsidRPr="00287AF0">
        <w:rPr>
          <w:i/>
          <w:iCs/>
        </w:rPr>
        <w:t>B</w:t>
      </w:r>
      <w:r w:rsidRPr="00287AF0">
        <w:t>, produce an asymmetric ozone molecule </w:t>
      </w:r>
      <w:r w:rsidRPr="00287AF0">
        <w:rPr>
          <w:vertAlign w:val="superscript"/>
        </w:rPr>
        <w:t>16</w:t>
      </w:r>
      <w:r w:rsidRPr="00287AF0">
        <w:t>O</w:t>
      </w:r>
      <w:r w:rsidRPr="00287AF0">
        <w:rPr>
          <w:vertAlign w:val="superscript"/>
        </w:rPr>
        <w:t>16</w:t>
      </w:r>
      <w:r w:rsidRPr="00287AF0">
        <w:t>O</w:t>
      </w:r>
      <w:r w:rsidRPr="00287AF0">
        <w:rPr>
          <w:vertAlign w:val="superscript"/>
        </w:rPr>
        <w:t>18</w:t>
      </w:r>
      <w:r w:rsidRPr="00287AF0">
        <w:t>O, while the other two pathways, </w:t>
      </w:r>
      <w:proofErr w:type="gramStart"/>
      <w:r w:rsidRPr="00287AF0">
        <w:rPr>
          <w:i/>
          <w:iCs/>
        </w:rPr>
        <w:t>S</w:t>
      </w:r>
      <w:proofErr w:type="gramEnd"/>
      <w:r w:rsidRPr="00287AF0">
        <w:t> and </w:t>
      </w:r>
      <w:r w:rsidRPr="00287AF0">
        <w:rPr>
          <w:i/>
          <w:iCs/>
        </w:rPr>
        <w:t>I</w:t>
      </w:r>
      <w:r w:rsidRPr="00287AF0">
        <w:t>, produce symmetric ozone molecules </w:t>
      </w:r>
      <w:r w:rsidRPr="00287AF0">
        <w:rPr>
          <w:vertAlign w:val="superscript"/>
        </w:rPr>
        <w:t>16</w:t>
      </w:r>
      <w:r w:rsidRPr="00287AF0">
        <w:t>O</w:t>
      </w:r>
      <w:r w:rsidRPr="00287AF0">
        <w:rPr>
          <w:vertAlign w:val="superscript"/>
        </w:rPr>
        <w:t>18</w:t>
      </w:r>
      <w:r w:rsidRPr="00287AF0">
        <w:t>O</w:t>
      </w:r>
      <w:r w:rsidRPr="00287AF0">
        <w:rPr>
          <w:vertAlign w:val="superscript"/>
        </w:rPr>
        <w:t>16</w:t>
      </w:r>
      <w:r w:rsidRPr="00287AF0">
        <w:t>O. Three of them: </w:t>
      </w:r>
      <w:r w:rsidRPr="00287AF0">
        <w:rPr>
          <w:i/>
          <w:iCs/>
        </w:rPr>
        <w:t>A</w:t>
      </w:r>
      <w:r w:rsidRPr="00287AF0">
        <w:t>, </w:t>
      </w:r>
      <w:r w:rsidRPr="00287AF0">
        <w:rPr>
          <w:i/>
          <w:iCs/>
        </w:rPr>
        <w:t>B</w:t>
      </w:r>
      <w:r w:rsidRPr="00287AF0">
        <w:t> and </w:t>
      </w:r>
      <w:r w:rsidRPr="00287AF0">
        <w:rPr>
          <w:i/>
          <w:iCs/>
        </w:rPr>
        <w:t>S</w:t>
      </w:r>
      <w:r w:rsidRPr="00287AF0">
        <w:t>, correspond to the addition of an atom to a diatomic moiety (a direct end-on processes), whereas the last one, </w:t>
      </w:r>
      <w:r w:rsidRPr="00287AF0">
        <w:rPr>
          <w:i/>
          <w:iCs/>
        </w:rPr>
        <w:t>I</w:t>
      </w:r>
      <w:r w:rsidRPr="00287AF0">
        <w:t>, represents the insertion of a rare isotope in-between the two atoms of the reagent molecule (and thus is expected to follow a more complicated indirect reaction path, see below). If two </w:t>
      </w:r>
      <w:r w:rsidRPr="00287AF0">
        <w:rPr>
          <w:vertAlign w:val="superscript"/>
        </w:rPr>
        <w:t>18</w:t>
      </w:r>
      <w:r w:rsidRPr="00287AF0">
        <w:t>O isotopes are involved, then four more recombination pathways need to be considered:</w:t>
      </w:r>
    </w:p>
    <w:tbl>
      <w:tblPr>
        <w:tblStyle w:val="TableGrid"/>
        <w:tblW w:w="0" w:type="dxa"/>
        <w:tblLook w:val="04A0" w:firstRow="1" w:lastRow="0" w:firstColumn="1" w:lastColumn="0" w:noHBand="0" w:noVBand="1"/>
      </w:tblPr>
      <w:tblGrid>
        <w:gridCol w:w="403"/>
        <w:gridCol w:w="3595"/>
        <w:gridCol w:w="1656"/>
      </w:tblGrid>
      <w:tr w:rsidR="00287AF0" w:rsidRPr="00287AF0" w14:paraId="513FE9C8" w14:textId="77777777" w:rsidTr="00BF387A">
        <w:tc>
          <w:tcPr>
            <w:tcW w:w="0" w:type="auto"/>
            <w:hideMark/>
          </w:tcPr>
          <w:p w14:paraId="6377FCDE" w14:textId="77777777" w:rsidR="00287AF0" w:rsidRPr="00287AF0" w:rsidRDefault="00287AF0" w:rsidP="00287AF0">
            <w:r w:rsidRPr="00287AF0">
              <w:rPr>
                <w:i/>
                <w:iCs/>
              </w:rPr>
              <w:t>A</w:t>
            </w:r>
            <w:r w:rsidRPr="00287AF0">
              <w:t>:</w:t>
            </w:r>
          </w:p>
        </w:tc>
        <w:tc>
          <w:tcPr>
            <w:tcW w:w="0" w:type="auto"/>
            <w:hideMark/>
          </w:tcPr>
          <w:p w14:paraId="0D2CC611" w14:textId="77777777" w:rsidR="00287AF0" w:rsidRPr="00287AF0" w:rsidRDefault="00287AF0" w:rsidP="00287AF0">
            <w:r w:rsidRPr="00287AF0">
              <w:t> </w:t>
            </w:r>
            <w:r w:rsidRPr="00287AF0">
              <w:t> </w:t>
            </w:r>
            <w:r w:rsidRPr="00287AF0">
              <w:t> </w:t>
            </w:r>
            <w:r w:rsidRPr="00287AF0">
              <w:t> </w:t>
            </w:r>
            <w:r w:rsidRPr="00287AF0">
              <w:t> </w:t>
            </w:r>
            <w:r w:rsidRPr="00287AF0">
              <w:t> </w:t>
            </w:r>
            <w:r w:rsidRPr="00287AF0">
              <w:rPr>
                <w:vertAlign w:val="superscript"/>
              </w:rPr>
              <w:t>18</w:t>
            </w:r>
            <w:r w:rsidRPr="00287AF0">
              <w:t>O + </w:t>
            </w:r>
            <w:r w:rsidRPr="00287AF0">
              <w:rPr>
                <w:vertAlign w:val="superscript"/>
              </w:rPr>
              <w:t>18</w:t>
            </w:r>
            <w:r w:rsidRPr="00287AF0">
              <w:t>O</w:t>
            </w:r>
            <w:r w:rsidRPr="00287AF0">
              <w:rPr>
                <w:vertAlign w:val="superscript"/>
              </w:rPr>
              <w:t>16</w:t>
            </w:r>
            <w:r w:rsidRPr="00287AF0">
              <w:t>O →</w:t>
            </w:r>
            <w:r w:rsidRPr="00287AF0">
              <w:rPr>
                <w:vertAlign w:val="superscript"/>
              </w:rPr>
              <w:t>18</w:t>
            </w:r>
            <w:r w:rsidRPr="00287AF0">
              <w:t>O</w:t>
            </w:r>
            <w:r w:rsidRPr="00287AF0">
              <w:rPr>
                <w:vertAlign w:val="superscript"/>
              </w:rPr>
              <w:t>18</w:t>
            </w:r>
            <w:r w:rsidRPr="00287AF0">
              <w:t>O</w:t>
            </w:r>
            <w:r w:rsidRPr="00287AF0">
              <w:rPr>
                <w:vertAlign w:val="superscript"/>
              </w:rPr>
              <w:t>16</w:t>
            </w:r>
            <w:r w:rsidRPr="00287AF0">
              <w:t>O</w:t>
            </w:r>
          </w:p>
        </w:tc>
        <w:tc>
          <w:tcPr>
            <w:tcW w:w="0" w:type="auto"/>
            <w:hideMark/>
          </w:tcPr>
          <w:p w14:paraId="09B71F7E" w14:textId="77777777" w:rsidR="00287AF0" w:rsidRPr="00287AF0" w:rsidRDefault="00287AF0" w:rsidP="00287AF0">
            <w:r w:rsidRPr="00287AF0">
              <w:t> </w:t>
            </w:r>
            <w:r w:rsidRPr="00287AF0">
              <w:t> </w:t>
            </w:r>
            <w:r w:rsidRPr="00287AF0">
              <w:t> </w:t>
            </w:r>
            <w:r w:rsidRPr="00287AF0">
              <w:t> </w:t>
            </w:r>
            <w:r w:rsidRPr="00287AF0">
              <w:t> </w:t>
            </w:r>
            <w:r w:rsidRPr="00287AF0">
              <w:t> </w:t>
            </w:r>
            <w:r w:rsidRPr="00287AF0">
              <w:t>(5)</w:t>
            </w:r>
          </w:p>
        </w:tc>
      </w:tr>
      <w:tr w:rsidR="00287AF0" w:rsidRPr="00287AF0" w14:paraId="5C7A774B" w14:textId="77777777" w:rsidTr="00BF387A">
        <w:tc>
          <w:tcPr>
            <w:tcW w:w="0" w:type="auto"/>
            <w:hideMark/>
          </w:tcPr>
          <w:p w14:paraId="1BF882AA" w14:textId="77777777" w:rsidR="00287AF0" w:rsidRPr="00287AF0" w:rsidRDefault="00287AF0" w:rsidP="00287AF0">
            <w:r w:rsidRPr="00287AF0">
              <w:rPr>
                <w:i/>
                <w:iCs/>
              </w:rPr>
              <w:t>B</w:t>
            </w:r>
            <w:r w:rsidRPr="00287AF0">
              <w:t>:</w:t>
            </w:r>
          </w:p>
        </w:tc>
        <w:tc>
          <w:tcPr>
            <w:tcW w:w="0" w:type="auto"/>
            <w:hideMark/>
          </w:tcPr>
          <w:p w14:paraId="27B9618A" w14:textId="77777777" w:rsidR="00287AF0" w:rsidRPr="00287AF0" w:rsidRDefault="00287AF0" w:rsidP="00287AF0">
            <w:r w:rsidRPr="00287AF0">
              <w:t> </w:t>
            </w:r>
            <w:r w:rsidRPr="00287AF0">
              <w:t> </w:t>
            </w:r>
            <w:r w:rsidRPr="00287AF0">
              <w:t> </w:t>
            </w:r>
            <w:r w:rsidRPr="00287AF0">
              <w:t> </w:t>
            </w:r>
            <w:r w:rsidRPr="00287AF0">
              <w:t> </w:t>
            </w:r>
            <w:r w:rsidRPr="00287AF0">
              <w:t> </w:t>
            </w:r>
            <w:r w:rsidRPr="00287AF0">
              <w:rPr>
                <w:vertAlign w:val="superscript"/>
              </w:rPr>
              <w:t>16</w:t>
            </w:r>
            <w:r w:rsidRPr="00287AF0">
              <w:t>O + </w:t>
            </w:r>
            <w:r w:rsidRPr="00287AF0">
              <w:rPr>
                <w:vertAlign w:val="superscript"/>
              </w:rPr>
              <w:t>18</w:t>
            </w:r>
            <w:r w:rsidRPr="00287AF0">
              <w:t>O</w:t>
            </w:r>
            <w:r w:rsidRPr="00287AF0">
              <w:rPr>
                <w:vertAlign w:val="superscript"/>
              </w:rPr>
              <w:t>18</w:t>
            </w:r>
            <w:r w:rsidRPr="00287AF0">
              <w:t>O →</w:t>
            </w:r>
            <w:r w:rsidRPr="00287AF0">
              <w:rPr>
                <w:vertAlign w:val="superscript"/>
              </w:rPr>
              <w:t>16</w:t>
            </w:r>
            <w:r w:rsidRPr="00287AF0">
              <w:t>O</w:t>
            </w:r>
            <w:r w:rsidRPr="00287AF0">
              <w:rPr>
                <w:vertAlign w:val="superscript"/>
              </w:rPr>
              <w:t>18</w:t>
            </w:r>
            <w:r w:rsidRPr="00287AF0">
              <w:t>O</w:t>
            </w:r>
            <w:r w:rsidRPr="00287AF0">
              <w:rPr>
                <w:vertAlign w:val="superscript"/>
              </w:rPr>
              <w:t>18</w:t>
            </w:r>
            <w:r w:rsidRPr="00287AF0">
              <w:t>O</w:t>
            </w:r>
          </w:p>
        </w:tc>
        <w:tc>
          <w:tcPr>
            <w:tcW w:w="0" w:type="auto"/>
            <w:hideMark/>
          </w:tcPr>
          <w:p w14:paraId="0DDFC44D" w14:textId="77777777" w:rsidR="00287AF0" w:rsidRPr="00287AF0" w:rsidRDefault="00287AF0" w:rsidP="00287AF0">
            <w:r w:rsidRPr="00287AF0">
              <w:t> </w:t>
            </w:r>
            <w:r w:rsidRPr="00287AF0">
              <w:t> </w:t>
            </w:r>
            <w:r w:rsidRPr="00287AF0">
              <w:t> </w:t>
            </w:r>
            <w:r w:rsidRPr="00287AF0">
              <w:t> </w:t>
            </w:r>
            <w:r w:rsidRPr="00287AF0">
              <w:t> </w:t>
            </w:r>
            <w:r w:rsidRPr="00287AF0">
              <w:t> </w:t>
            </w:r>
            <w:r w:rsidRPr="00287AF0">
              <w:t>(6)</w:t>
            </w:r>
          </w:p>
        </w:tc>
      </w:tr>
      <w:tr w:rsidR="00287AF0" w:rsidRPr="00287AF0" w14:paraId="18D1D15E" w14:textId="77777777" w:rsidTr="00BF387A">
        <w:tc>
          <w:tcPr>
            <w:tcW w:w="0" w:type="auto"/>
            <w:hideMark/>
          </w:tcPr>
          <w:p w14:paraId="613F505C" w14:textId="77777777" w:rsidR="00287AF0" w:rsidRPr="00287AF0" w:rsidRDefault="00287AF0" w:rsidP="00287AF0">
            <w:r w:rsidRPr="00287AF0">
              <w:rPr>
                <w:i/>
                <w:iCs/>
              </w:rPr>
              <w:t>S</w:t>
            </w:r>
            <w:r w:rsidRPr="00287AF0">
              <w:t>:</w:t>
            </w:r>
          </w:p>
        </w:tc>
        <w:tc>
          <w:tcPr>
            <w:tcW w:w="0" w:type="auto"/>
            <w:hideMark/>
          </w:tcPr>
          <w:p w14:paraId="54FACAA3" w14:textId="77777777" w:rsidR="00287AF0" w:rsidRPr="00287AF0" w:rsidRDefault="00287AF0" w:rsidP="00287AF0">
            <w:r w:rsidRPr="00287AF0">
              <w:t> </w:t>
            </w:r>
            <w:r w:rsidRPr="00287AF0">
              <w:t> </w:t>
            </w:r>
            <w:r w:rsidRPr="00287AF0">
              <w:t> </w:t>
            </w:r>
            <w:r w:rsidRPr="00287AF0">
              <w:t> </w:t>
            </w:r>
            <w:r w:rsidRPr="00287AF0">
              <w:t> </w:t>
            </w:r>
            <w:r w:rsidRPr="00287AF0">
              <w:t> </w:t>
            </w:r>
            <w:r w:rsidRPr="00287AF0">
              <w:rPr>
                <w:vertAlign w:val="superscript"/>
              </w:rPr>
              <w:t>18</w:t>
            </w:r>
            <w:r w:rsidRPr="00287AF0">
              <w:t>O + </w:t>
            </w:r>
            <w:r w:rsidRPr="00287AF0">
              <w:rPr>
                <w:vertAlign w:val="superscript"/>
              </w:rPr>
              <w:t>16</w:t>
            </w:r>
            <w:r w:rsidRPr="00287AF0">
              <w:t>O</w:t>
            </w:r>
            <w:r w:rsidRPr="00287AF0">
              <w:rPr>
                <w:vertAlign w:val="superscript"/>
              </w:rPr>
              <w:t>18</w:t>
            </w:r>
            <w:r w:rsidRPr="00287AF0">
              <w:t>O →</w:t>
            </w:r>
            <w:r w:rsidRPr="00287AF0">
              <w:rPr>
                <w:vertAlign w:val="superscript"/>
              </w:rPr>
              <w:t>18</w:t>
            </w:r>
            <w:r w:rsidRPr="00287AF0">
              <w:t>O</w:t>
            </w:r>
            <w:r w:rsidRPr="00287AF0">
              <w:rPr>
                <w:vertAlign w:val="superscript"/>
              </w:rPr>
              <w:t>16</w:t>
            </w:r>
            <w:r w:rsidRPr="00287AF0">
              <w:t>O</w:t>
            </w:r>
            <w:r w:rsidRPr="00287AF0">
              <w:rPr>
                <w:vertAlign w:val="superscript"/>
              </w:rPr>
              <w:t>18</w:t>
            </w:r>
            <w:r w:rsidRPr="00287AF0">
              <w:t>O</w:t>
            </w:r>
          </w:p>
        </w:tc>
        <w:tc>
          <w:tcPr>
            <w:tcW w:w="0" w:type="auto"/>
            <w:hideMark/>
          </w:tcPr>
          <w:p w14:paraId="343CBAAA" w14:textId="77777777" w:rsidR="00287AF0" w:rsidRPr="00287AF0" w:rsidRDefault="00287AF0" w:rsidP="00287AF0">
            <w:r w:rsidRPr="00287AF0">
              <w:t> </w:t>
            </w:r>
            <w:r w:rsidRPr="00287AF0">
              <w:t> </w:t>
            </w:r>
            <w:r w:rsidRPr="00287AF0">
              <w:t> </w:t>
            </w:r>
            <w:r w:rsidRPr="00287AF0">
              <w:t> </w:t>
            </w:r>
            <w:r w:rsidRPr="00287AF0">
              <w:t> </w:t>
            </w:r>
            <w:r w:rsidRPr="00287AF0">
              <w:t> </w:t>
            </w:r>
            <w:r w:rsidRPr="00287AF0">
              <w:t>(7)</w:t>
            </w:r>
          </w:p>
        </w:tc>
      </w:tr>
      <w:tr w:rsidR="00287AF0" w:rsidRPr="00287AF0" w14:paraId="310E29FB" w14:textId="77777777" w:rsidTr="00BF387A">
        <w:tc>
          <w:tcPr>
            <w:tcW w:w="0" w:type="auto"/>
            <w:hideMark/>
          </w:tcPr>
          <w:p w14:paraId="4459D32C" w14:textId="77777777" w:rsidR="00287AF0" w:rsidRPr="00287AF0" w:rsidRDefault="00287AF0" w:rsidP="00287AF0">
            <w:r w:rsidRPr="00287AF0">
              <w:rPr>
                <w:i/>
                <w:iCs/>
              </w:rPr>
              <w:t>I</w:t>
            </w:r>
            <w:r w:rsidRPr="00287AF0">
              <w:t>:</w:t>
            </w:r>
          </w:p>
        </w:tc>
        <w:tc>
          <w:tcPr>
            <w:tcW w:w="0" w:type="auto"/>
            <w:hideMark/>
          </w:tcPr>
          <w:p w14:paraId="45071886" w14:textId="77777777" w:rsidR="00287AF0" w:rsidRPr="00287AF0" w:rsidRDefault="00287AF0" w:rsidP="00287AF0">
            <w:r w:rsidRPr="00287AF0">
              <w:t> </w:t>
            </w:r>
            <w:r w:rsidRPr="00287AF0">
              <w:t> </w:t>
            </w:r>
            <w:r w:rsidRPr="00287AF0">
              <w:t> </w:t>
            </w:r>
            <w:r w:rsidRPr="00287AF0">
              <w:t> </w:t>
            </w:r>
            <w:r w:rsidRPr="00287AF0">
              <w:t> </w:t>
            </w:r>
            <w:r w:rsidRPr="00287AF0">
              <w:t> </w:t>
            </w:r>
            <w:r w:rsidRPr="00287AF0">
              <w:rPr>
                <w:vertAlign w:val="superscript"/>
              </w:rPr>
              <w:t>16</w:t>
            </w:r>
            <w:r w:rsidRPr="00287AF0">
              <w:t>O + </w:t>
            </w:r>
            <w:r w:rsidRPr="00287AF0">
              <w:rPr>
                <w:vertAlign w:val="superscript"/>
              </w:rPr>
              <w:t>18</w:t>
            </w:r>
            <w:r w:rsidRPr="00287AF0">
              <w:t>O</w:t>
            </w:r>
            <w:r w:rsidRPr="00287AF0">
              <w:rPr>
                <w:vertAlign w:val="superscript"/>
              </w:rPr>
              <w:t>18</w:t>
            </w:r>
            <w:r w:rsidRPr="00287AF0">
              <w:t>O →</w:t>
            </w:r>
            <w:r w:rsidRPr="00287AF0">
              <w:rPr>
                <w:vertAlign w:val="superscript"/>
              </w:rPr>
              <w:t>18</w:t>
            </w:r>
            <w:r w:rsidRPr="00287AF0">
              <w:t>O</w:t>
            </w:r>
            <w:r w:rsidRPr="00287AF0">
              <w:rPr>
                <w:vertAlign w:val="superscript"/>
              </w:rPr>
              <w:t>16</w:t>
            </w:r>
            <w:r w:rsidRPr="00287AF0">
              <w:t>O</w:t>
            </w:r>
            <w:r w:rsidRPr="00287AF0">
              <w:rPr>
                <w:vertAlign w:val="superscript"/>
              </w:rPr>
              <w:t>18</w:t>
            </w:r>
            <w:r w:rsidRPr="00287AF0">
              <w:t>O</w:t>
            </w:r>
          </w:p>
        </w:tc>
        <w:tc>
          <w:tcPr>
            <w:tcW w:w="0" w:type="auto"/>
            <w:hideMark/>
          </w:tcPr>
          <w:p w14:paraId="3C44A8D8" w14:textId="77777777" w:rsidR="00287AF0" w:rsidRPr="00287AF0" w:rsidRDefault="00287AF0" w:rsidP="00287AF0">
            <w:r w:rsidRPr="00287AF0">
              <w:t> </w:t>
            </w:r>
            <w:r w:rsidRPr="00287AF0">
              <w:t> </w:t>
            </w:r>
            <w:r w:rsidRPr="00287AF0">
              <w:t> </w:t>
            </w:r>
            <w:r w:rsidRPr="00287AF0">
              <w:t> </w:t>
            </w:r>
            <w:r w:rsidRPr="00287AF0">
              <w:t> </w:t>
            </w:r>
            <w:r w:rsidRPr="00287AF0">
              <w:t> </w:t>
            </w:r>
            <w:r w:rsidRPr="00287AF0">
              <w:t>(8)</w:t>
            </w:r>
          </w:p>
        </w:tc>
      </w:tr>
    </w:tbl>
    <w:p w14:paraId="66690FA6" w14:textId="77777777" w:rsidR="00BF387A" w:rsidRDefault="00BF387A" w:rsidP="00287AF0"/>
    <w:p w14:paraId="076D4EEA" w14:textId="22886A77" w:rsidR="00287AF0" w:rsidRPr="00287AF0" w:rsidRDefault="00287AF0" w:rsidP="00287AF0">
      <w:r w:rsidRPr="00287AF0">
        <w:t>with similar nomenclature, similar symmetry properties, and similar reaction mechanisms. However, as we will discuss further below, some properties of the reaction pathways (5)</w:t>
      </w:r>
      <w:proofErr w:type="gramStart"/>
      <w:r w:rsidRPr="00287AF0">
        <w:t>–(</w:t>
      </w:r>
      <w:proofErr w:type="gramEnd"/>
      <w:r w:rsidRPr="00287AF0">
        <w:t>8) for doubly substituted ozone molecules appear to be just opposite to those of pathways (1)–(4) for singly substituted ozone molecules. The singly and doubly substituted molecules are said to represent two </w:t>
      </w:r>
      <w:proofErr w:type="spellStart"/>
      <w:r w:rsidRPr="00287AF0">
        <w:rPr>
          <w:i/>
          <w:iCs/>
        </w:rPr>
        <w:t>isotopologues</w:t>
      </w:r>
      <w:proofErr w:type="spellEnd"/>
      <w:r w:rsidRPr="00287AF0">
        <w:t> of ozone.</w:t>
      </w:r>
    </w:p>
    <w:p w14:paraId="07791A7D" w14:textId="77777777" w:rsidR="00287AF0" w:rsidRPr="00287AF0" w:rsidRDefault="00287AF0" w:rsidP="00287AF0">
      <w:r w:rsidRPr="00287AF0">
        <w:t xml:space="preserve">Different </w:t>
      </w:r>
      <w:proofErr w:type="spellStart"/>
      <w:r w:rsidRPr="00287AF0">
        <w:t>isotopologues</w:t>
      </w:r>
      <w:proofErr w:type="spellEnd"/>
      <w:r w:rsidRPr="00287AF0">
        <w:t xml:space="preserve"> are relatively independent, in a sense that they cannot interconvert one into another, although some of the reagents they use are the same, namely, the </w:t>
      </w:r>
      <w:r w:rsidRPr="00287AF0">
        <w:rPr>
          <w:vertAlign w:val="superscript"/>
        </w:rPr>
        <w:t>16</w:t>
      </w:r>
      <w:r w:rsidRPr="00287AF0">
        <w:t>O and </w:t>
      </w:r>
      <w:r w:rsidRPr="00287AF0">
        <w:rPr>
          <w:vertAlign w:val="superscript"/>
        </w:rPr>
        <w:t>18</w:t>
      </w:r>
      <w:r w:rsidRPr="00287AF0">
        <w:t>O atoms, and the </w:t>
      </w:r>
      <w:r w:rsidRPr="00287AF0">
        <w:rPr>
          <w:vertAlign w:val="superscript"/>
        </w:rPr>
        <w:t>16</w:t>
      </w:r>
      <w:r w:rsidRPr="00287AF0">
        <w:t>O</w:t>
      </w:r>
      <w:r w:rsidRPr="00287AF0">
        <w:rPr>
          <w:vertAlign w:val="superscript"/>
        </w:rPr>
        <w:t>18</w:t>
      </w:r>
      <w:r w:rsidRPr="00287AF0">
        <w:t>O diatomic, see Equations (1)</w:t>
      </w:r>
      <w:proofErr w:type="gramStart"/>
      <w:r w:rsidRPr="00287AF0">
        <w:t>–(</w:t>
      </w:r>
      <w:proofErr w:type="gramEnd"/>
      <w:r w:rsidRPr="00287AF0">
        <w:t xml:space="preserve">8). However, within each </w:t>
      </w:r>
      <w:proofErr w:type="spellStart"/>
      <w:r w:rsidRPr="00287AF0">
        <w:t>isotopologue</w:t>
      </w:r>
      <w:proofErr w:type="spellEnd"/>
      <w:r w:rsidRPr="00287AF0">
        <w:t xml:space="preserve"> the symmetric and asymmetric ozone molecules are closely related, since they can interconvert one into another, at least in principle, following an isomerization path through the potential energy surface, for example:</w:t>
      </w:r>
    </w:p>
    <w:p w14:paraId="44661126" w14:textId="1AACA7CA" w:rsidR="0023169B" w:rsidRDefault="00735DFB" w:rsidP="00287AF0">
      <m:oMathPara>
        <m:oMath>
          <m:sPre>
            <m:sPrePr>
              <m:ctrlPr>
                <w:rPr>
                  <w:rFonts w:ascii="Cambria Math" w:hAnsi="Cambria Math"/>
                </w:rPr>
              </m:ctrlPr>
            </m:sPrePr>
            <m:sub>
              <m:r>
                <w:rPr>
                  <w:rFonts w:ascii="Cambria Math" w:hAnsi="Cambria Math"/>
                </w:rPr>
                <m:t xml:space="preserve"> </m:t>
              </m:r>
            </m:sub>
            <m:sup>
              <m:r>
                <w:rPr>
                  <w:rFonts w:ascii="Cambria Math" w:hAnsi="Cambria Math"/>
                </w:rPr>
                <m:t>16</m:t>
              </m:r>
            </m:sup>
            <m:e>
              <m:r>
                <m:rPr>
                  <m:sty m:val="p"/>
                </m:rPr>
                <w:rPr>
                  <w:rFonts w:ascii="Cambria Math" w:hAnsi="Cambria Math"/>
                </w:rPr>
                <m:t>O</m:t>
              </m:r>
            </m:e>
          </m:sPre>
          <m:sPre>
            <m:sPrePr>
              <m:ctrlPr>
                <w:rPr>
                  <w:rFonts w:ascii="Cambria Math" w:hAnsi="Cambria Math"/>
                </w:rPr>
              </m:ctrlPr>
            </m:sPrePr>
            <m:sub>
              <m:r>
                <w:rPr>
                  <w:rFonts w:ascii="Cambria Math" w:hAnsi="Cambria Math"/>
                </w:rPr>
                <m:t xml:space="preserve"> </m:t>
              </m:r>
            </m:sub>
            <m:sup>
              <m:r>
                <w:rPr>
                  <w:rFonts w:ascii="Cambria Math" w:hAnsi="Cambria Math"/>
                </w:rPr>
                <m:t>16</m:t>
              </m:r>
            </m:sup>
            <m:e>
              <m:r>
                <m:rPr>
                  <m:sty m:val="p"/>
                </m:rPr>
                <w:rPr>
                  <w:rFonts w:ascii="Cambria Math" w:hAnsi="Cambria Math"/>
                </w:rPr>
                <m:t>O</m:t>
              </m:r>
            </m:e>
          </m:sPre>
          <m:sPre>
            <m:sPrePr>
              <m:ctrlPr>
                <w:rPr>
                  <w:rFonts w:ascii="Cambria Math" w:hAnsi="Cambria Math"/>
                </w:rPr>
              </m:ctrlPr>
            </m:sPrePr>
            <m:sub>
              <m:r>
                <w:rPr>
                  <w:rFonts w:ascii="Cambria Math" w:hAnsi="Cambria Math"/>
                </w:rPr>
                <m:t xml:space="preserve"> </m:t>
              </m:r>
            </m:sub>
            <m:sup>
              <m:r>
                <w:rPr>
                  <w:rFonts w:ascii="Cambria Math" w:hAnsi="Cambria Math"/>
                </w:rPr>
                <m:t>18</m:t>
              </m:r>
            </m:sup>
            <m:e>
              <m:r>
                <m:rPr>
                  <m:sty m:val="p"/>
                </m:rPr>
                <w:rPr>
                  <w:rFonts w:ascii="Cambria Math" w:hAnsi="Cambria Math"/>
                </w:rPr>
                <m:t>O</m:t>
              </m:r>
            </m:e>
          </m:sPre>
          <m:r>
            <w:rPr>
              <w:rFonts w:ascii="Cambria Math" w:hAnsi="Cambria Math"/>
            </w:rPr>
            <m:t>⇋</m:t>
          </m:r>
          <m:sPre>
            <m:sPrePr>
              <m:ctrlPr>
                <w:rPr>
                  <w:rFonts w:ascii="Cambria Math" w:hAnsi="Cambria Math"/>
                </w:rPr>
              </m:ctrlPr>
            </m:sPrePr>
            <m:sub>
              <m:r>
                <w:rPr>
                  <w:rFonts w:ascii="Cambria Math" w:hAnsi="Cambria Math"/>
                </w:rPr>
                <m:t xml:space="preserve"> </m:t>
              </m:r>
            </m:sub>
            <m:sup>
              <m:r>
                <w:rPr>
                  <w:rFonts w:ascii="Cambria Math" w:hAnsi="Cambria Math"/>
                </w:rPr>
                <m:t>16</m:t>
              </m:r>
            </m:sup>
            <m:e>
              <m:r>
                <m:rPr>
                  <m:sty m:val="p"/>
                </m:rPr>
                <w:rPr>
                  <w:rFonts w:ascii="Cambria Math" w:hAnsi="Cambria Math"/>
                </w:rPr>
                <m:t>O</m:t>
              </m:r>
            </m:e>
          </m:sPre>
          <m:sPre>
            <m:sPrePr>
              <m:ctrlPr>
                <w:rPr>
                  <w:rFonts w:ascii="Cambria Math" w:hAnsi="Cambria Math"/>
                </w:rPr>
              </m:ctrlPr>
            </m:sPrePr>
            <m:sub>
              <m:r>
                <w:rPr>
                  <w:rFonts w:ascii="Cambria Math" w:hAnsi="Cambria Math"/>
                </w:rPr>
                <m:t xml:space="preserve"> </m:t>
              </m:r>
            </m:sub>
            <m:sup>
              <m:r>
                <w:rPr>
                  <w:rFonts w:ascii="Cambria Math" w:hAnsi="Cambria Math"/>
                </w:rPr>
                <m:t>18</m:t>
              </m:r>
            </m:sup>
            <m:e>
              <m:r>
                <m:rPr>
                  <m:sty m:val="p"/>
                </m:rPr>
                <w:rPr>
                  <w:rFonts w:ascii="Cambria Math" w:hAnsi="Cambria Math"/>
                </w:rPr>
                <m:t>O</m:t>
              </m:r>
            </m:e>
          </m:sPre>
          <m:sPre>
            <m:sPrePr>
              <m:ctrlPr>
                <w:rPr>
                  <w:rFonts w:ascii="Cambria Math" w:hAnsi="Cambria Math"/>
                </w:rPr>
              </m:ctrlPr>
            </m:sPrePr>
            <m:sub>
              <m:r>
                <w:rPr>
                  <w:rFonts w:ascii="Cambria Math" w:hAnsi="Cambria Math"/>
                </w:rPr>
                <m:t xml:space="preserve"> </m:t>
              </m:r>
            </m:sub>
            <m:sup>
              <m:r>
                <w:rPr>
                  <w:rFonts w:ascii="Cambria Math" w:hAnsi="Cambria Math"/>
                </w:rPr>
                <m:t>16</m:t>
              </m:r>
            </m:sup>
            <m:e>
              <m:r>
                <m:rPr>
                  <m:sty m:val="p"/>
                </m:rPr>
                <w:rPr>
                  <w:rFonts w:ascii="Cambria Math" w:hAnsi="Cambria Math"/>
                </w:rPr>
                <m:t>O</m:t>
              </m:r>
            </m:e>
          </m:sPre>
        </m:oMath>
      </m:oMathPara>
    </w:p>
    <w:p w14:paraId="4AFBE43C" w14:textId="618EF551" w:rsidR="00287AF0" w:rsidRPr="00287AF0" w:rsidRDefault="00287AF0" w:rsidP="00287AF0">
      <w:r w:rsidRPr="00287AF0">
        <w:t>(9)</w:t>
      </w:r>
    </w:p>
    <w:p w14:paraId="3C6FA006" w14:textId="77777777" w:rsidR="00287AF0" w:rsidRPr="00287AF0" w:rsidRDefault="00287AF0" w:rsidP="00287AF0">
      <w:r w:rsidRPr="00287AF0">
        <w:t>or:</w:t>
      </w:r>
    </w:p>
    <w:p w14:paraId="51BA4133" w14:textId="77777777" w:rsidR="0023169B" w:rsidRDefault="00030508" w:rsidP="00287AF0">
      <m:oMathPara>
        <m:oMath>
          <m:sPre>
            <m:sPrePr>
              <m:ctrlPr>
                <w:rPr>
                  <w:rFonts w:ascii="Cambria Math" w:hAnsi="Cambria Math"/>
                </w:rPr>
              </m:ctrlPr>
            </m:sPrePr>
            <m:sub>
              <m:r>
                <w:rPr>
                  <w:rFonts w:ascii="Cambria Math" w:hAnsi="Cambria Math"/>
                </w:rPr>
                <m:t xml:space="preserve"> </m:t>
              </m:r>
            </m:sub>
            <m:sup>
              <m:r>
                <w:rPr>
                  <w:rFonts w:ascii="Cambria Math" w:hAnsi="Cambria Math"/>
                </w:rPr>
                <m:t>18</m:t>
              </m:r>
            </m:sup>
            <m:e>
              <m:r>
                <m:rPr>
                  <m:sty m:val="p"/>
                </m:rPr>
                <w:rPr>
                  <w:rFonts w:ascii="Cambria Math" w:hAnsi="Cambria Math"/>
                </w:rPr>
                <m:t>O</m:t>
              </m:r>
            </m:e>
          </m:sPre>
          <m:sPre>
            <m:sPrePr>
              <m:ctrlPr>
                <w:rPr>
                  <w:rFonts w:ascii="Cambria Math" w:hAnsi="Cambria Math"/>
                </w:rPr>
              </m:ctrlPr>
            </m:sPrePr>
            <m:sub>
              <m:r>
                <w:rPr>
                  <w:rFonts w:ascii="Cambria Math" w:hAnsi="Cambria Math"/>
                </w:rPr>
                <m:t xml:space="preserve"> </m:t>
              </m:r>
            </m:sub>
            <m:sup>
              <m:r>
                <w:rPr>
                  <w:rFonts w:ascii="Cambria Math" w:hAnsi="Cambria Math"/>
                </w:rPr>
                <m:t>16</m:t>
              </m:r>
            </m:sup>
            <m:e>
              <m:r>
                <m:rPr>
                  <m:sty m:val="p"/>
                </m:rPr>
                <w:rPr>
                  <w:rFonts w:ascii="Cambria Math" w:hAnsi="Cambria Math"/>
                </w:rPr>
                <m:t>O</m:t>
              </m:r>
            </m:e>
          </m:sPre>
          <m:sPre>
            <m:sPrePr>
              <m:ctrlPr>
                <w:rPr>
                  <w:rFonts w:ascii="Cambria Math" w:hAnsi="Cambria Math"/>
                </w:rPr>
              </m:ctrlPr>
            </m:sPrePr>
            <m:sub>
              <m:r>
                <w:rPr>
                  <w:rFonts w:ascii="Cambria Math" w:hAnsi="Cambria Math"/>
                </w:rPr>
                <m:t xml:space="preserve"> </m:t>
              </m:r>
            </m:sub>
            <m:sup>
              <m:r>
                <w:rPr>
                  <w:rFonts w:ascii="Cambria Math" w:hAnsi="Cambria Math"/>
                </w:rPr>
                <m:t>18</m:t>
              </m:r>
            </m:sup>
            <m:e>
              <m:r>
                <m:rPr>
                  <m:sty m:val="p"/>
                </m:rPr>
                <w:rPr>
                  <w:rFonts w:ascii="Cambria Math" w:hAnsi="Cambria Math"/>
                </w:rPr>
                <m:t>O</m:t>
              </m:r>
            </m:e>
          </m:sPre>
          <m:r>
            <w:rPr>
              <w:rFonts w:ascii="Cambria Math" w:hAnsi="Cambria Math"/>
            </w:rPr>
            <m:t>⇋</m:t>
          </m:r>
          <m:sPre>
            <m:sPrePr>
              <m:ctrlPr>
                <w:rPr>
                  <w:rFonts w:ascii="Cambria Math" w:hAnsi="Cambria Math"/>
                </w:rPr>
              </m:ctrlPr>
            </m:sPrePr>
            <m:sub>
              <m:r>
                <w:rPr>
                  <w:rFonts w:ascii="Cambria Math" w:hAnsi="Cambria Math"/>
                </w:rPr>
                <m:t xml:space="preserve"> </m:t>
              </m:r>
            </m:sub>
            <m:sup>
              <m:r>
                <w:rPr>
                  <w:rFonts w:ascii="Cambria Math" w:hAnsi="Cambria Math"/>
                </w:rPr>
                <m:t>16</m:t>
              </m:r>
            </m:sup>
            <m:e>
              <m:r>
                <m:rPr>
                  <m:sty m:val="p"/>
                </m:rPr>
                <w:rPr>
                  <w:rFonts w:ascii="Cambria Math" w:hAnsi="Cambria Math"/>
                </w:rPr>
                <m:t>O</m:t>
              </m:r>
            </m:e>
          </m:sPre>
          <m:sPre>
            <m:sPrePr>
              <m:ctrlPr>
                <w:rPr>
                  <w:rFonts w:ascii="Cambria Math" w:hAnsi="Cambria Math"/>
                </w:rPr>
              </m:ctrlPr>
            </m:sPrePr>
            <m:sub>
              <m:r>
                <w:rPr>
                  <w:rFonts w:ascii="Cambria Math" w:hAnsi="Cambria Math"/>
                </w:rPr>
                <m:t xml:space="preserve"> </m:t>
              </m:r>
            </m:sub>
            <m:sup>
              <m:r>
                <w:rPr>
                  <w:rFonts w:ascii="Cambria Math" w:hAnsi="Cambria Math"/>
                </w:rPr>
                <m:t>18</m:t>
              </m:r>
            </m:sup>
            <m:e>
              <m:r>
                <m:rPr>
                  <m:sty m:val="p"/>
                </m:rPr>
                <w:rPr>
                  <w:rFonts w:ascii="Cambria Math" w:hAnsi="Cambria Math"/>
                </w:rPr>
                <m:t>O</m:t>
              </m:r>
            </m:e>
          </m:sPre>
          <m:sPre>
            <m:sPrePr>
              <m:ctrlPr>
                <w:rPr>
                  <w:rFonts w:ascii="Cambria Math" w:hAnsi="Cambria Math"/>
                </w:rPr>
              </m:ctrlPr>
            </m:sPrePr>
            <m:sub>
              <m:r>
                <w:rPr>
                  <w:rFonts w:ascii="Cambria Math" w:hAnsi="Cambria Math"/>
                </w:rPr>
                <m:t xml:space="preserve"> </m:t>
              </m:r>
            </m:sub>
            <m:sup>
              <m:r>
                <w:rPr>
                  <w:rFonts w:ascii="Cambria Math" w:hAnsi="Cambria Math"/>
                </w:rPr>
                <m:t>18</m:t>
              </m:r>
            </m:sup>
            <m:e>
              <m:r>
                <m:rPr>
                  <m:sty m:val="p"/>
                </m:rPr>
                <w:rPr>
                  <w:rFonts w:ascii="Cambria Math" w:hAnsi="Cambria Math"/>
                </w:rPr>
                <m:t>O</m:t>
              </m:r>
            </m:e>
          </m:sPre>
        </m:oMath>
      </m:oMathPara>
    </w:p>
    <w:p w14:paraId="343489CD" w14:textId="5BFB4606" w:rsidR="00287AF0" w:rsidRPr="00287AF0" w:rsidRDefault="00287AF0" w:rsidP="00287AF0">
      <w:r w:rsidRPr="00287AF0">
        <w:t>(10)</w:t>
      </w:r>
    </w:p>
    <w:p w14:paraId="5E975E5A" w14:textId="328ECD3E" w:rsidR="00287AF0" w:rsidRPr="00287AF0" w:rsidRDefault="00287AF0" w:rsidP="00287AF0">
      <w:r w:rsidRPr="00287AF0">
        <w:t xml:space="preserve">Therefore, </w:t>
      </w:r>
      <w:proofErr w:type="gramStart"/>
      <w:r w:rsidRPr="00287AF0">
        <w:t>symmetric</w:t>
      </w:r>
      <w:proofErr w:type="gramEnd"/>
      <w:r w:rsidRPr="00287AF0">
        <w:t xml:space="preserve"> and asymmetric ozone molecules within the same </w:t>
      </w:r>
      <w:proofErr w:type="spellStart"/>
      <w:r w:rsidRPr="00287AF0">
        <w:t>isotopologue</w:t>
      </w:r>
      <w:proofErr w:type="spellEnd"/>
      <w:r w:rsidRPr="00287AF0">
        <w:t xml:space="preserve"> are called </w:t>
      </w:r>
      <w:proofErr w:type="spellStart"/>
      <w:r w:rsidRPr="00287AF0">
        <w:rPr>
          <w:i/>
          <w:iCs/>
        </w:rPr>
        <w:t>isotopomers</w:t>
      </w:r>
      <w:proofErr w:type="spellEnd"/>
      <w:r w:rsidRPr="00287AF0">
        <w:t>. In </w:t>
      </w:r>
      <w:r w:rsidRPr="00AD482D">
        <w:rPr>
          <w:b/>
          <w:bCs/>
        </w:rPr>
        <w:t>Figure 1</w:t>
      </w:r>
      <w:proofErr w:type="gramStart"/>
      <w:r w:rsidRPr="00287AF0">
        <w:t>a,b</w:t>
      </w:r>
      <w:proofErr w:type="gramEnd"/>
      <w:r w:rsidRPr="00287AF0">
        <w:t xml:space="preserve">, a schematic of the potential energy surface is given for each </w:t>
      </w:r>
      <w:proofErr w:type="spellStart"/>
      <w:r w:rsidRPr="00287AF0">
        <w:t>isotopologue</w:t>
      </w:r>
      <w:proofErr w:type="spellEnd"/>
      <w:r w:rsidRPr="00287AF0">
        <w:t xml:space="preserve">, with two </w:t>
      </w:r>
      <w:proofErr w:type="spellStart"/>
      <w:r w:rsidRPr="00287AF0">
        <w:t>isotopomers</w:t>
      </w:r>
      <w:proofErr w:type="spellEnd"/>
      <w:r w:rsidRPr="00287AF0">
        <w:t xml:space="preserve"> in each case, and four reaction pathways indicated.</w:t>
      </w:r>
    </w:p>
    <w:p w14:paraId="700B9D93" w14:textId="3C19DFDA" w:rsidR="00287AF0" w:rsidRPr="00287AF0" w:rsidRDefault="00287AF0" w:rsidP="00030508">
      <w:pPr>
        <w:pStyle w:val="NoSpacing"/>
      </w:pPr>
      <w:r w:rsidRPr="00287AF0">
        <w:rPr>
          <w:noProof/>
        </w:rPr>
        <w:drawing>
          <wp:inline distT="0" distB="0" distL="0" distR="0" wp14:anchorId="2C3B4F3A" wp14:editId="5214CAD9">
            <wp:extent cx="3657600" cy="1728216"/>
            <wp:effectExtent l="0" t="0" r="0" b="5715"/>
            <wp:docPr id="10" name="Picture 10" descr="Molecules 26 01289 g001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lecules 26 01289 g001 5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0" cy="1728216"/>
                    </a:xfrm>
                    <a:prstGeom prst="rect">
                      <a:avLst/>
                    </a:prstGeom>
                    <a:noFill/>
                    <a:ln>
                      <a:noFill/>
                    </a:ln>
                  </pic:spPr>
                </pic:pic>
              </a:graphicData>
            </a:graphic>
          </wp:inline>
        </w:drawing>
      </w:r>
    </w:p>
    <w:p w14:paraId="08A90C6A" w14:textId="77777777" w:rsidR="00287AF0" w:rsidRDefault="00287AF0" w:rsidP="00030508">
      <w:pPr>
        <w:pStyle w:val="NoSpacing"/>
      </w:pPr>
      <w:r w:rsidRPr="00287AF0">
        <w:rPr>
          <w:b/>
          <w:bCs/>
        </w:rPr>
        <w:t>Figure 1.</w:t>
      </w:r>
      <w:r w:rsidRPr="00287AF0">
        <w:t> Schematic of the global PES of ozone that possesses a three-fold symmetry with respect to the entrance channels and the product wells, but this symmetry is lowered when rare isotopes are introduced. The channels and the wells are labeled for singly substituted (</w:t>
      </w:r>
      <w:r w:rsidRPr="00287AF0">
        <w:rPr>
          <w:b/>
          <w:bCs/>
        </w:rPr>
        <w:t>a</w:t>
      </w:r>
      <w:r w:rsidRPr="00287AF0">
        <w:t>) and doubly substituted (</w:t>
      </w:r>
      <w:r w:rsidRPr="00287AF0">
        <w:rPr>
          <w:b/>
          <w:bCs/>
        </w:rPr>
        <w:t>b</w:t>
      </w:r>
      <w:r w:rsidRPr="00287AF0">
        <w:t xml:space="preserve">) </w:t>
      </w:r>
      <w:proofErr w:type="spellStart"/>
      <w:r w:rsidRPr="00287AF0">
        <w:t>isotopologues</w:t>
      </w:r>
      <w:proofErr w:type="spellEnd"/>
      <w:r w:rsidRPr="00287AF0">
        <w:t>, respectively. Reagents are indicated by black numbers, the product ozone molecules by white numbers, dotted lines are drawn through transition state regions seen as “bottlenecks” in this figure. Four distinguishable reaction pathways are also indicated in each case, by red letters and arrows. The insertion pathway is shown schematically by dashed arrow.</w:t>
      </w:r>
    </w:p>
    <w:p w14:paraId="3AC4D8BB" w14:textId="77777777" w:rsidR="00030508" w:rsidRPr="00287AF0" w:rsidRDefault="00030508" w:rsidP="00287AF0"/>
    <w:p w14:paraId="584DE34C" w14:textId="77777777" w:rsidR="00287AF0" w:rsidRPr="00287AF0" w:rsidRDefault="00287AF0" w:rsidP="00287AF0">
      <w:r w:rsidRPr="00287AF0">
        <w:t>From this figure one can see that overall, on the global potential energy surface of a triatomic ozone molecule, there are three entrance channels, connected through six transition states to three potential energy wells. However, since two isotopes in each case are indistinguishable (two </w:t>
      </w:r>
      <w:r w:rsidRPr="00287AF0">
        <w:rPr>
          <w:vertAlign w:val="superscript"/>
        </w:rPr>
        <w:t>16</w:t>
      </w:r>
      <w:r w:rsidRPr="00287AF0">
        <w:t xml:space="preserve">O in the singly substituted </w:t>
      </w:r>
      <w:proofErr w:type="spellStart"/>
      <w:r w:rsidRPr="00287AF0">
        <w:t>isotopologue</w:t>
      </w:r>
      <w:proofErr w:type="spellEnd"/>
      <w:r w:rsidRPr="00287AF0">
        <w:t>, or two </w:t>
      </w:r>
      <w:r w:rsidRPr="00287AF0">
        <w:rPr>
          <w:vertAlign w:val="superscript"/>
        </w:rPr>
        <w:t>18</w:t>
      </w:r>
      <w:r w:rsidRPr="00287AF0">
        <w:t xml:space="preserve">O in the doubly substituted </w:t>
      </w:r>
      <w:proofErr w:type="spellStart"/>
      <w:r w:rsidRPr="00287AF0">
        <w:t>isotopologue</w:t>
      </w:r>
      <w:proofErr w:type="spellEnd"/>
      <w:r w:rsidRPr="00287AF0">
        <w:t>) there are only </w:t>
      </w:r>
      <w:r w:rsidRPr="00287AF0">
        <w:rPr>
          <w:i/>
          <w:iCs/>
        </w:rPr>
        <w:t>two</w:t>
      </w:r>
      <w:r w:rsidRPr="00287AF0">
        <w:t> distinguishable sets of reagents, and </w:t>
      </w:r>
      <w:r w:rsidRPr="00287AF0">
        <w:rPr>
          <w:i/>
          <w:iCs/>
        </w:rPr>
        <w:t>two</w:t>
      </w:r>
      <w:r w:rsidRPr="00287AF0">
        <w:t> distinguishable products, leading to </w:t>
      </w:r>
      <w:r w:rsidRPr="00287AF0">
        <w:rPr>
          <w:i/>
          <w:iCs/>
        </w:rPr>
        <w:t>four</w:t>
      </w:r>
      <w:r w:rsidRPr="00287AF0">
        <w:t> distinguishable reaction pathways in each case: </w:t>
      </w:r>
      <w:r w:rsidRPr="00287AF0">
        <w:rPr>
          <w:i/>
          <w:iCs/>
        </w:rPr>
        <w:t>A</w:t>
      </w:r>
      <w:r w:rsidRPr="00287AF0">
        <w:t>, </w:t>
      </w:r>
      <w:r w:rsidRPr="00287AF0">
        <w:rPr>
          <w:i/>
          <w:iCs/>
        </w:rPr>
        <w:t>B</w:t>
      </w:r>
      <w:r w:rsidRPr="00287AF0">
        <w:t> and </w:t>
      </w:r>
      <w:r w:rsidRPr="00287AF0">
        <w:rPr>
          <w:i/>
          <w:iCs/>
        </w:rPr>
        <w:t>S</w:t>
      </w:r>
      <w:r w:rsidRPr="00287AF0">
        <w:t> and </w:t>
      </w:r>
      <w:r w:rsidRPr="00287AF0">
        <w:rPr>
          <w:i/>
          <w:iCs/>
        </w:rPr>
        <w:t>I</w:t>
      </w:r>
      <w:r w:rsidRPr="00287AF0">
        <w:t xml:space="preserve">, as introduced above. </w:t>
      </w:r>
      <w:proofErr w:type="gramStart"/>
      <w:r w:rsidRPr="00287AF0">
        <w:t>For the purpose of</w:t>
      </w:r>
      <w:proofErr w:type="gramEnd"/>
      <w:r w:rsidRPr="00287AF0">
        <w:t xml:space="preserve"> brevity, here and below, the notations “6” and “8” will be used to designate isotopes </w:t>
      </w:r>
      <w:r w:rsidRPr="00287AF0">
        <w:rPr>
          <w:vertAlign w:val="superscript"/>
        </w:rPr>
        <w:t>16</w:t>
      </w:r>
      <w:r w:rsidRPr="00287AF0">
        <w:t>O and </w:t>
      </w:r>
      <w:r w:rsidRPr="00287AF0">
        <w:rPr>
          <w:vertAlign w:val="superscript"/>
        </w:rPr>
        <w:t>18</w:t>
      </w:r>
      <w:r w:rsidRPr="00287AF0">
        <w:t>O respectively. Note that 668 and 866 indicate physically indistinguishable asymmetric ozone molecules formed simultaneously and counted in together as one product. The same is true for 688 and 886 in the case of double substitution.</w:t>
      </w:r>
    </w:p>
    <w:p w14:paraId="3F15BB91" w14:textId="626AF34E" w:rsidR="00287AF0" w:rsidRPr="00287AF0" w:rsidRDefault="00287AF0" w:rsidP="00287AF0">
      <w:r w:rsidRPr="00287AF0">
        <w:t xml:space="preserve">Experimental studies started by the </w:t>
      </w:r>
      <w:proofErr w:type="spellStart"/>
      <w:r w:rsidRPr="00287AF0">
        <w:t>Mauersberger</w:t>
      </w:r>
      <w:proofErr w:type="spellEnd"/>
      <w:r w:rsidRPr="00287AF0">
        <w:t xml:space="preserve"> group [</w:t>
      </w:r>
      <w:r w:rsidRPr="00AD482D">
        <w:rPr>
          <w:b/>
          <w:bCs/>
        </w:rPr>
        <w:t>1</w:t>
      </w:r>
      <w:r w:rsidRPr="00287AF0">
        <w:t>,</w:t>
      </w:r>
      <w:r w:rsidRPr="00AD482D">
        <w:rPr>
          <w:b/>
          <w:bCs/>
        </w:rPr>
        <w:t>2</w:t>
      </w:r>
      <w:r w:rsidRPr="00287AF0">
        <w:t>,</w:t>
      </w:r>
      <w:r w:rsidRPr="00AD482D">
        <w:rPr>
          <w:b/>
          <w:bCs/>
        </w:rPr>
        <w:t>3</w:t>
      </w:r>
      <w:r w:rsidRPr="00287AF0">
        <w:t>,</w:t>
      </w:r>
      <w:r w:rsidRPr="00AD482D">
        <w:rPr>
          <w:b/>
          <w:bCs/>
        </w:rPr>
        <w:t>4</w:t>
      </w:r>
      <w:r w:rsidRPr="00287AF0">
        <w:t>,</w:t>
      </w:r>
      <w:r w:rsidRPr="00AD482D">
        <w:rPr>
          <w:b/>
          <w:bCs/>
        </w:rPr>
        <w:t>5</w:t>
      </w:r>
      <w:r w:rsidRPr="00287AF0">
        <w:t>] and continued by Janssen and coworkers [</w:t>
      </w:r>
      <w:r w:rsidRPr="00AD482D">
        <w:rPr>
          <w:b/>
          <w:bCs/>
        </w:rPr>
        <w:t>6</w:t>
      </w:r>
      <w:r w:rsidRPr="00287AF0">
        <w:t>,</w:t>
      </w:r>
      <w:r w:rsidRPr="00AD482D">
        <w:rPr>
          <w:b/>
          <w:bCs/>
        </w:rPr>
        <w:t>7</w:t>
      </w:r>
      <w:r w:rsidRPr="00287AF0">
        <w:t>,</w:t>
      </w:r>
      <w:r w:rsidRPr="00AD482D">
        <w:rPr>
          <w:b/>
          <w:bCs/>
        </w:rPr>
        <w:t>8</w:t>
      </w:r>
      <w:r w:rsidRPr="00287AF0">
        <w:t>], gave us unique information about the magnitudes of recombination rate coefficients for these four pathways: </w:t>
      </w:r>
      <m:oMath>
        <m:sSub>
          <m:sSubPr>
            <m:ctrlPr>
              <w:rPr>
                <w:rFonts w:ascii="Cambria Math" w:hAnsi="Cambria Math"/>
                <w:i/>
                <w:iCs/>
              </w:rPr>
            </m:ctrlPr>
          </m:sSubPr>
          <m:e>
            <m:r>
              <w:rPr>
                <w:rFonts w:ascii="Cambria Math" w:hAnsi="Cambria Math"/>
              </w:rPr>
              <m:t>κ</m:t>
            </m:r>
          </m:e>
          <m:sub>
            <m:r>
              <w:rPr>
                <w:rFonts w:ascii="Cambria Math" w:hAnsi="Cambria Math"/>
                <w:vertAlign w:val="subscript"/>
              </w:rPr>
              <m:t>A</m:t>
            </m:r>
          </m:sub>
        </m:sSub>
      </m:oMath>
      <w:r w:rsidRPr="00287AF0">
        <w:t>, </w:t>
      </w:r>
      <m:oMath>
        <m:sSub>
          <m:sSubPr>
            <m:ctrlPr>
              <w:rPr>
                <w:rFonts w:ascii="Cambria Math" w:hAnsi="Cambria Math"/>
                <w:i/>
                <w:iCs/>
              </w:rPr>
            </m:ctrlPr>
          </m:sSubPr>
          <m:e>
            <m:r>
              <w:rPr>
                <w:rFonts w:ascii="Cambria Math" w:hAnsi="Cambria Math"/>
              </w:rPr>
              <m:t>κ</m:t>
            </m:r>
          </m:e>
          <m:sub>
            <m:r>
              <w:rPr>
                <w:rFonts w:ascii="Cambria Math" w:hAnsi="Cambria Math"/>
                <w:vertAlign w:val="subscript"/>
              </w:rPr>
              <m:t>B</m:t>
            </m:r>
          </m:sub>
        </m:sSub>
      </m:oMath>
      <w:r w:rsidRPr="00287AF0">
        <w:t>, </w:t>
      </w:r>
      <m:oMath>
        <m:sSub>
          <m:sSubPr>
            <m:ctrlPr>
              <w:rPr>
                <w:rFonts w:ascii="Cambria Math" w:hAnsi="Cambria Math"/>
                <w:i/>
                <w:iCs/>
              </w:rPr>
            </m:ctrlPr>
          </m:sSubPr>
          <m:e>
            <m:r>
              <w:rPr>
                <w:rFonts w:ascii="Cambria Math" w:hAnsi="Cambria Math"/>
              </w:rPr>
              <m:t>κ</m:t>
            </m:r>
          </m:e>
          <m:sub>
            <m:r>
              <w:rPr>
                <w:rFonts w:ascii="Cambria Math" w:hAnsi="Cambria Math"/>
                <w:vertAlign w:val="subscript"/>
              </w:rPr>
              <m:t>S</m:t>
            </m:r>
          </m:sub>
        </m:sSub>
      </m:oMath>
      <w:r w:rsidRPr="00287AF0">
        <w:t> and </w:t>
      </w:r>
      <m:oMath>
        <m:sSub>
          <m:sSubPr>
            <m:ctrlPr>
              <w:rPr>
                <w:rFonts w:ascii="Cambria Math" w:hAnsi="Cambria Math"/>
                <w:i/>
                <w:iCs/>
              </w:rPr>
            </m:ctrlPr>
          </m:sSubPr>
          <m:e>
            <m:r>
              <w:rPr>
                <w:rFonts w:ascii="Cambria Math" w:hAnsi="Cambria Math"/>
              </w:rPr>
              <m:t>κ</m:t>
            </m:r>
          </m:e>
          <m:sub>
            <m:r>
              <w:rPr>
                <w:rFonts w:ascii="Cambria Math" w:hAnsi="Cambria Math"/>
                <w:vertAlign w:val="subscript"/>
              </w:rPr>
              <m:t>I</m:t>
            </m:r>
          </m:sub>
        </m:sSub>
      </m:oMath>
      <w:r w:rsidRPr="00287AF0">
        <w:t> in both singly and doubly substituted cases. Their results, summarized in </w:t>
      </w:r>
      <w:r w:rsidRPr="00AD482D">
        <w:rPr>
          <w:b/>
          <w:bCs/>
        </w:rPr>
        <w:t>Table 1</w:t>
      </w:r>
      <w:r w:rsidRPr="00287AF0">
        <w:t xml:space="preserve"> here, indicate a broad variation of recombination rate coefficients through </w:t>
      </w:r>
      <w:proofErr w:type="spellStart"/>
      <w:r w:rsidRPr="00287AF0">
        <w:t>isotopomers</w:t>
      </w:r>
      <w:proofErr w:type="spellEnd"/>
      <w:r w:rsidRPr="00287AF0">
        <w:t xml:space="preserve"> and </w:t>
      </w:r>
      <w:proofErr w:type="spellStart"/>
      <w:r w:rsidRPr="00287AF0">
        <w:t>isotopologues</w:t>
      </w:r>
      <w:proofErr w:type="spellEnd"/>
      <w:r w:rsidRPr="00287AF0">
        <w:t xml:space="preserve"> of ozone (the factor of 2 is introduced for </w:t>
      </w:r>
      <m:oMath>
        <m:sSub>
          <m:sSubPr>
            <m:ctrlPr>
              <w:rPr>
                <w:rFonts w:ascii="Cambria Math" w:hAnsi="Cambria Math"/>
                <w:i/>
                <w:iCs/>
              </w:rPr>
            </m:ctrlPr>
          </m:sSubPr>
          <m:e>
            <m:r>
              <w:rPr>
                <w:rFonts w:ascii="Cambria Math" w:hAnsi="Cambria Math"/>
              </w:rPr>
              <m:t>κ</m:t>
            </m:r>
          </m:e>
          <m:sub>
            <m:r>
              <w:rPr>
                <w:rFonts w:ascii="Cambria Math" w:hAnsi="Cambria Math"/>
                <w:vertAlign w:val="subscript"/>
              </w:rPr>
              <m:t>Α</m:t>
            </m:r>
          </m:sub>
        </m:sSub>
      </m:oMath>
      <w:r w:rsidRPr="00287AF0">
        <w:t> and </w:t>
      </w:r>
      <m:oMath>
        <m:sSub>
          <m:sSubPr>
            <m:ctrlPr>
              <w:rPr>
                <w:rFonts w:ascii="Cambria Math" w:hAnsi="Cambria Math"/>
                <w:i/>
                <w:iCs/>
              </w:rPr>
            </m:ctrlPr>
          </m:sSubPr>
          <m:e>
            <m:r>
              <w:rPr>
                <w:rFonts w:ascii="Cambria Math" w:hAnsi="Cambria Math"/>
              </w:rPr>
              <m:t>κ</m:t>
            </m:r>
          </m:e>
          <m:sub>
            <m:r>
              <w:rPr>
                <w:rFonts w:ascii="Cambria Math" w:hAnsi="Cambria Math"/>
                <w:vertAlign w:val="subscript"/>
              </w:rPr>
              <m:t>S</m:t>
            </m:r>
          </m:sub>
        </m:sSub>
      </m:oMath>
      <w:r w:rsidRPr="00287AF0">
        <w:t xml:space="preserve"> to account for the usual symmetry effect associated with the number of states in the homonuclear and heteronuclear diatomic reagents). In the first row we collected the values of </w:t>
      </w:r>
      <m:oMath>
        <m:sSub>
          <m:sSubPr>
            <m:ctrlPr>
              <w:rPr>
                <w:rFonts w:ascii="Cambria Math" w:hAnsi="Cambria Math"/>
                <w:i/>
              </w:rPr>
            </m:ctrlPr>
          </m:sSubPr>
          <m:e>
            <m:r>
              <w:rPr>
                <w:rFonts w:ascii="Cambria Math" w:hAnsi="Cambria Math"/>
              </w:rPr>
              <m:t>2</m:t>
            </m:r>
            <m:r>
              <w:rPr>
                <w:rFonts w:ascii="Cambria Math" w:hAnsi="Cambria Math"/>
              </w:rPr>
              <m:t>κ</m:t>
            </m:r>
          </m:e>
          <m:sub>
            <m:r>
              <w:rPr>
                <w:rFonts w:ascii="Cambria Math" w:hAnsi="Cambria Math"/>
                <w:vertAlign w:val="subscript"/>
              </w:rPr>
              <m:t>S</m:t>
            </m:r>
          </m:sub>
        </m:sSub>
      </m:oMath>
      <w:r w:rsidRPr="00287AF0">
        <w:t xml:space="preserve"> that can be used as a convenient reference for each column (Indeed, note that the values of </w:t>
      </w:r>
      <m:oMath>
        <m:sSub>
          <m:sSubPr>
            <m:ctrlPr>
              <w:rPr>
                <w:rFonts w:ascii="Cambria Math" w:hAnsi="Cambria Math"/>
                <w:i/>
              </w:rPr>
            </m:ctrlPr>
          </m:sSubPr>
          <m:e>
            <m:r>
              <w:rPr>
                <w:rFonts w:ascii="Cambria Math" w:hAnsi="Cambria Math"/>
              </w:rPr>
              <m:t>2</m:t>
            </m:r>
            <m:r>
              <w:rPr>
                <w:rFonts w:ascii="Cambria Math" w:hAnsi="Cambria Math"/>
              </w:rPr>
              <m:t>κ</m:t>
            </m:r>
          </m:e>
          <m:sub>
            <m:r>
              <w:rPr>
                <w:rFonts w:ascii="Cambria Math" w:hAnsi="Cambria Math"/>
                <w:vertAlign w:val="subscript"/>
              </w:rPr>
              <m:t>S</m:t>
            </m:r>
          </m:sub>
        </m:sSub>
      </m:oMath>
      <w:r w:rsidRPr="00287AF0">
        <w:t> are very close to each other and to the experimental value for </w:t>
      </w:r>
      <w:r w:rsidRPr="00287AF0">
        <w:rPr>
          <w:i/>
          <w:iCs/>
        </w:rPr>
        <w:t>κ</w:t>
      </w:r>
      <w:r w:rsidRPr="00287AF0">
        <w:rPr>
          <w:vertAlign w:val="subscript"/>
        </w:rPr>
        <w:t>666</w:t>
      </w:r>
      <w:r w:rsidRPr="00287AF0">
        <w:t> = 60 × 10</w:t>
      </w:r>
      <w:r w:rsidRPr="00287AF0">
        <w:rPr>
          <w:vertAlign w:val="superscript"/>
        </w:rPr>
        <w:t>−35</w:t>
      </w:r>
      <w:r w:rsidRPr="00287AF0">
        <w:t> cm</w:t>
      </w:r>
      <w:r w:rsidRPr="00287AF0">
        <w:rPr>
          <w:vertAlign w:val="superscript"/>
        </w:rPr>
        <w:t>6</w:t>
      </w:r>
      <w:r w:rsidRPr="00287AF0">
        <w:t>/s for the usual unsubstituted ozone) [</w:t>
      </w:r>
      <w:r w:rsidRPr="00AD482D">
        <w:rPr>
          <w:b/>
          <w:bCs/>
        </w:rPr>
        <w:t>9</w:t>
      </w:r>
      <w:r w:rsidRPr="00287AF0">
        <w:t xml:space="preserve">]. The values of rate coefficients </w:t>
      </w:r>
      <m:oMath>
        <m:sSub>
          <m:sSubPr>
            <m:ctrlPr>
              <w:rPr>
                <w:rFonts w:ascii="Cambria Math" w:hAnsi="Cambria Math"/>
                <w:i/>
              </w:rPr>
            </m:ctrlPr>
          </m:sSubPr>
          <m:e>
            <m:r>
              <w:rPr>
                <w:rFonts w:ascii="Cambria Math" w:hAnsi="Cambria Math"/>
              </w:rPr>
              <m:t>2</m:t>
            </m:r>
            <m:r>
              <w:rPr>
                <w:rFonts w:ascii="Cambria Math" w:hAnsi="Cambria Math"/>
              </w:rPr>
              <m:t>κ</m:t>
            </m:r>
          </m:e>
          <m:sub>
            <m:r>
              <w:rPr>
                <w:rFonts w:ascii="Cambria Math" w:hAnsi="Cambria Math"/>
                <w:vertAlign w:val="subscript"/>
              </w:rPr>
              <m:t>Α</m:t>
            </m:r>
          </m:sub>
        </m:sSub>
      </m:oMath>
      <w:r w:rsidRPr="00287AF0">
        <w:t> and </w:t>
      </w:r>
      <m:oMath>
        <m:sSub>
          <m:sSubPr>
            <m:ctrlPr>
              <w:rPr>
                <w:rFonts w:ascii="Cambria Math" w:hAnsi="Cambria Math"/>
                <w:i/>
                <w:iCs/>
              </w:rPr>
            </m:ctrlPr>
          </m:sSubPr>
          <m:e>
            <m:r>
              <w:rPr>
                <w:rFonts w:ascii="Cambria Math" w:hAnsi="Cambria Math"/>
              </w:rPr>
              <m:t>κ</m:t>
            </m:r>
          </m:e>
          <m:sub>
            <m:r>
              <w:rPr>
                <w:rFonts w:ascii="Cambria Math" w:hAnsi="Cambria Math"/>
                <w:vertAlign w:val="subscript"/>
              </w:rPr>
              <m:t>B</m:t>
            </m:r>
          </m:sub>
        </m:sSub>
      </m:oMath>
      <w:r w:rsidRPr="00287AF0">
        <w:t xml:space="preserve"> collected in the second and third rows deviate significantly from </w:t>
      </w:r>
      <m:oMath>
        <m:sSub>
          <m:sSubPr>
            <m:ctrlPr>
              <w:rPr>
                <w:rFonts w:ascii="Cambria Math" w:hAnsi="Cambria Math"/>
                <w:i/>
              </w:rPr>
            </m:ctrlPr>
          </m:sSubPr>
          <m:e>
            <m:r>
              <w:rPr>
                <w:rFonts w:ascii="Cambria Math" w:hAnsi="Cambria Math"/>
              </w:rPr>
              <m:t>2</m:t>
            </m:r>
            <m:r>
              <w:rPr>
                <w:rFonts w:ascii="Cambria Math" w:hAnsi="Cambria Math"/>
              </w:rPr>
              <m:t>κ</m:t>
            </m:r>
          </m:e>
          <m:sub>
            <m:r>
              <w:rPr>
                <w:rFonts w:ascii="Cambria Math" w:hAnsi="Cambria Math"/>
                <w:vertAlign w:val="subscript"/>
              </w:rPr>
              <m:t>S</m:t>
            </m:r>
          </m:sub>
        </m:sSub>
      </m:oMath>
      <w:r w:rsidRPr="00287AF0">
        <w:t>, and, importantly, these deviations occur in the opposite directions in the cases of single and double isotopic substitutions (compare even columns with odd columns of </w:t>
      </w:r>
      <w:r w:rsidRPr="00AD482D">
        <w:rPr>
          <w:b/>
          <w:bCs/>
        </w:rPr>
        <w:t>Table 1</w:t>
      </w:r>
      <w:r w:rsidRPr="00287AF0">
        <w:t>). Finally, the values of </w:t>
      </w:r>
      <m:oMath>
        <m:sSub>
          <m:sSubPr>
            <m:ctrlPr>
              <w:rPr>
                <w:rFonts w:ascii="Cambria Math" w:eastAsia="Times New Roman" w:hAnsi="Cambria Math" w:cs="Arial"/>
                <w:i/>
                <w:color w:val="222222"/>
                <w:sz w:val="23"/>
                <w:szCs w:val="23"/>
                <w:bdr w:val="none" w:sz="0" w:space="0" w:color="auto" w:frame="1"/>
              </w:rPr>
            </m:ctrlPr>
          </m:sSubPr>
          <m:e>
            <m:r>
              <w:rPr>
                <w:rFonts w:ascii="Cambria Math" w:eastAsia="Times New Roman" w:hAnsi="Cambria Math" w:cs="Arial"/>
                <w:color w:val="222222"/>
                <w:sz w:val="23"/>
                <w:szCs w:val="23"/>
                <w:bdr w:val="none" w:sz="0" w:space="0" w:color="auto" w:frame="1"/>
              </w:rPr>
              <m:t>κ</m:t>
            </m:r>
          </m:e>
          <m:sub>
            <m:r>
              <w:rPr>
                <w:rFonts w:ascii="Cambria Math" w:eastAsia="Times New Roman" w:hAnsi="Cambria Math" w:cs="Arial"/>
                <w:color w:val="222222"/>
                <w:sz w:val="23"/>
                <w:szCs w:val="23"/>
                <w:bdr w:val="none" w:sz="0" w:space="0" w:color="auto" w:frame="1"/>
              </w:rPr>
              <m:t>I</m:t>
            </m:r>
          </m:sub>
        </m:sSub>
      </m:oMath>
      <w:r w:rsidRPr="00287AF0">
        <w:t> for the insertion pathway, listed in the fourth row, are much smaller than the other three, by up to two orders of magnitude.</w:t>
      </w:r>
    </w:p>
    <w:p w14:paraId="3FC9852A" w14:textId="295DE42C" w:rsidR="00287AF0" w:rsidRPr="00287AF0" w:rsidRDefault="00287AF0" w:rsidP="004A53E7">
      <w:pPr>
        <w:spacing w:after="0"/>
      </w:pPr>
      <w:r w:rsidRPr="00287AF0">
        <w:rPr>
          <w:b/>
          <w:bCs/>
        </w:rPr>
        <w:t>Table 1.</w:t>
      </w:r>
      <w:r w:rsidRPr="00287AF0">
        <w:t> Experimental and theoretical rate coefficients (in the units of 10</w:t>
      </w:r>
      <w:r w:rsidRPr="00287AF0">
        <w:rPr>
          <w:vertAlign w:val="superscript"/>
        </w:rPr>
        <w:t>−35</w:t>
      </w:r>
      <w:r w:rsidRPr="00287AF0">
        <w:t> cm</w:t>
      </w:r>
      <w:r w:rsidRPr="00287AF0">
        <w:rPr>
          <w:vertAlign w:val="superscript"/>
        </w:rPr>
        <w:t>6</w:t>
      </w:r>
      <w:r w:rsidRPr="00287AF0">
        <w:t>/s) for four pathways of ozone formation at 296 K in the cases of single and double isotopic substitution, and the corresponding three isotope effects as defined by Equations (61), (64)</w:t>
      </w:r>
      <w:proofErr w:type="gramStart"/>
      <w:r w:rsidRPr="00287AF0">
        <w:t>–(</w:t>
      </w:r>
      <w:proofErr w:type="gramEnd"/>
      <w:r w:rsidRPr="00287AF0">
        <w:t>67) in </w:t>
      </w:r>
      <w:r w:rsidRPr="00AD482D">
        <w:rPr>
          <w:b/>
          <w:bCs/>
        </w:rPr>
        <w:t>Section 3.1</w:t>
      </w:r>
      <w:r w:rsidRPr="00287AF0">
        <w:t> and </w:t>
      </w:r>
      <w:r w:rsidRPr="00AD482D">
        <w:rPr>
          <w:b/>
          <w:bCs/>
        </w:rPr>
        <w:t>Section 3.2</w:t>
      </w:r>
      <w:r w:rsidRPr="00287AF0">
        <w:t> below.</w:t>
      </w:r>
    </w:p>
    <w:tbl>
      <w:tblPr>
        <w:tblStyle w:val="TableGrid"/>
        <w:tblW w:w="0" w:type="auto"/>
        <w:tblLook w:val="04A0" w:firstRow="1" w:lastRow="0" w:firstColumn="1" w:lastColumn="0" w:noHBand="0" w:noVBand="1"/>
      </w:tblPr>
      <w:tblGrid>
        <w:gridCol w:w="1850"/>
        <w:gridCol w:w="2773"/>
        <w:gridCol w:w="894"/>
        <w:gridCol w:w="1961"/>
        <w:gridCol w:w="894"/>
      </w:tblGrid>
      <w:tr w:rsidR="00A90625" w:rsidRPr="00A90625" w14:paraId="4A29FA3D" w14:textId="77777777" w:rsidTr="00395178">
        <w:tc>
          <w:tcPr>
            <w:tcW w:w="0" w:type="auto"/>
            <w:hideMark/>
          </w:tcPr>
          <w:p w14:paraId="3DD7098A" w14:textId="77777777" w:rsidR="00A90625" w:rsidRPr="00A90625" w:rsidRDefault="00A90625" w:rsidP="00A90625">
            <w:pPr>
              <w:jc w:val="center"/>
              <w:rPr>
                <w:rFonts w:ascii="Arial" w:eastAsia="Times New Roman" w:hAnsi="Arial" w:cs="Arial"/>
                <w:b/>
                <w:bCs/>
                <w:color w:val="222222"/>
                <w:sz w:val="20"/>
                <w:szCs w:val="20"/>
              </w:rPr>
            </w:pPr>
            <w:r w:rsidRPr="00A90625">
              <w:rPr>
                <w:rFonts w:ascii="Arial" w:eastAsia="Times New Roman" w:hAnsi="Arial" w:cs="Arial"/>
                <w:b/>
                <w:bCs/>
                <w:color w:val="222222"/>
                <w:sz w:val="20"/>
                <w:szCs w:val="20"/>
              </w:rPr>
              <w:t>Rate Coefficients</w:t>
            </w:r>
          </w:p>
        </w:tc>
        <w:tc>
          <w:tcPr>
            <w:tcW w:w="0" w:type="auto"/>
            <w:hideMark/>
          </w:tcPr>
          <w:p w14:paraId="1EBE261F" w14:textId="0BE6EC16" w:rsidR="00A90625" w:rsidRPr="00A90625" w:rsidRDefault="00A90625" w:rsidP="00A90625">
            <w:pPr>
              <w:jc w:val="center"/>
              <w:rPr>
                <w:rFonts w:ascii="Arial" w:eastAsia="Times New Roman" w:hAnsi="Arial" w:cs="Arial"/>
                <w:b/>
                <w:bCs/>
                <w:color w:val="222222"/>
                <w:sz w:val="20"/>
                <w:szCs w:val="20"/>
              </w:rPr>
            </w:pPr>
            <w:r w:rsidRPr="00A90625">
              <w:rPr>
                <w:rFonts w:ascii="Arial" w:eastAsia="Times New Roman" w:hAnsi="Arial" w:cs="Arial"/>
                <w:b/>
                <w:bCs/>
                <w:color w:val="222222"/>
                <w:sz w:val="20"/>
                <w:szCs w:val="20"/>
              </w:rPr>
              <w:t>Experiment [</w:t>
            </w:r>
            <w:r w:rsidRPr="00A90625">
              <w:rPr>
                <w:rFonts w:ascii="Arial" w:eastAsia="Times New Roman" w:hAnsi="Arial" w:cs="Arial"/>
                <w:b/>
                <w:bCs/>
                <w:color w:val="3156A2"/>
                <w:sz w:val="20"/>
                <w:szCs w:val="20"/>
                <w:u w:val="single"/>
              </w:rPr>
              <w:t>1</w:t>
            </w:r>
            <w:r w:rsidRPr="00A90625">
              <w:rPr>
                <w:rFonts w:ascii="Arial" w:eastAsia="Times New Roman" w:hAnsi="Arial" w:cs="Arial"/>
                <w:b/>
                <w:bCs/>
                <w:color w:val="222222"/>
                <w:sz w:val="20"/>
                <w:szCs w:val="20"/>
              </w:rPr>
              <w:t>,</w:t>
            </w:r>
            <w:r w:rsidRPr="00A90625">
              <w:rPr>
                <w:rFonts w:ascii="Arial" w:eastAsia="Times New Roman" w:hAnsi="Arial" w:cs="Arial"/>
                <w:b/>
                <w:bCs/>
                <w:color w:val="3156A2"/>
                <w:sz w:val="20"/>
                <w:szCs w:val="20"/>
                <w:u w:val="single"/>
              </w:rPr>
              <w:t>2</w:t>
            </w:r>
            <w:r w:rsidRPr="00A90625">
              <w:rPr>
                <w:rFonts w:ascii="Arial" w:eastAsia="Times New Roman" w:hAnsi="Arial" w:cs="Arial"/>
                <w:b/>
                <w:bCs/>
                <w:color w:val="222222"/>
                <w:sz w:val="20"/>
                <w:szCs w:val="20"/>
              </w:rPr>
              <w:t>,</w:t>
            </w:r>
            <w:r w:rsidRPr="00A90625">
              <w:rPr>
                <w:rFonts w:ascii="Arial" w:eastAsia="Times New Roman" w:hAnsi="Arial" w:cs="Arial"/>
                <w:b/>
                <w:bCs/>
                <w:color w:val="3156A2"/>
                <w:sz w:val="20"/>
                <w:szCs w:val="20"/>
                <w:u w:val="single"/>
              </w:rPr>
              <w:t>3</w:t>
            </w:r>
            <w:r w:rsidRPr="00A90625">
              <w:rPr>
                <w:rFonts w:ascii="Arial" w:eastAsia="Times New Roman" w:hAnsi="Arial" w:cs="Arial"/>
                <w:b/>
                <w:bCs/>
                <w:color w:val="222222"/>
                <w:sz w:val="20"/>
                <w:szCs w:val="20"/>
              </w:rPr>
              <w:t>,</w:t>
            </w:r>
            <w:r w:rsidRPr="00A90625">
              <w:rPr>
                <w:rFonts w:ascii="Arial" w:eastAsia="Times New Roman" w:hAnsi="Arial" w:cs="Arial"/>
                <w:b/>
                <w:bCs/>
                <w:color w:val="3156A2"/>
                <w:sz w:val="20"/>
                <w:szCs w:val="20"/>
                <w:u w:val="single"/>
              </w:rPr>
              <w:t>4</w:t>
            </w:r>
            <w:r w:rsidRPr="00A90625">
              <w:rPr>
                <w:rFonts w:ascii="Arial" w:eastAsia="Times New Roman" w:hAnsi="Arial" w:cs="Arial"/>
                <w:b/>
                <w:bCs/>
                <w:color w:val="222222"/>
                <w:sz w:val="20"/>
                <w:szCs w:val="20"/>
              </w:rPr>
              <w:t>,</w:t>
            </w:r>
            <w:r w:rsidRPr="00A90625">
              <w:rPr>
                <w:rFonts w:ascii="Arial" w:eastAsia="Times New Roman" w:hAnsi="Arial" w:cs="Arial"/>
                <w:b/>
                <w:bCs/>
                <w:color w:val="3156A2"/>
                <w:sz w:val="20"/>
                <w:szCs w:val="20"/>
                <w:u w:val="single"/>
              </w:rPr>
              <w:t>5</w:t>
            </w:r>
            <w:r w:rsidRPr="00A90625">
              <w:rPr>
                <w:rFonts w:ascii="Arial" w:eastAsia="Times New Roman" w:hAnsi="Arial" w:cs="Arial"/>
                <w:b/>
                <w:bCs/>
                <w:color w:val="222222"/>
                <w:sz w:val="20"/>
                <w:szCs w:val="20"/>
              </w:rPr>
              <w:t>,</w:t>
            </w:r>
            <w:r w:rsidRPr="00A90625">
              <w:rPr>
                <w:rFonts w:ascii="Arial" w:eastAsia="Times New Roman" w:hAnsi="Arial" w:cs="Arial"/>
                <w:b/>
                <w:bCs/>
                <w:color w:val="3156A2"/>
                <w:sz w:val="20"/>
                <w:szCs w:val="20"/>
                <w:u w:val="single"/>
              </w:rPr>
              <w:t>6</w:t>
            </w:r>
            <w:r w:rsidRPr="00A90625">
              <w:rPr>
                <w:rFonts w:ascii="Arial" w:eastAsia="Times New Roman" w:hAnsi="Arial" w:cs="Arial"/>
                <w:b/>
                <w:bCs/>
                <w:color w:val="222222"/>
                <w:sz w:val="20"/>
                <w:szCs w:val="20"/>
              </w:rPr>
              <w:t>,</w:t>
            </w:r>
            <w:r w:rsidRPr="00A90625">
              <w:rPr>
                <w:rFonts w:ascii="Arial" w:eastAsia="Times New Roman" w:hAnsi="Arial" w:cs="Arial"/>
                <w:b/>
                <w:bCs/>
                <w:color w:val="3156A2"/>
                <w:sz w:val="20"/>
                <w:szCs w:val="20"/>
                <w:u w:val="single"/>
              </w:rPr>
              <w:t>7</w:t>
            </w:r>
            <w:r w:rsidRPr="00A90625">
              <w:rPr>
                <w:rFonts w:ascii="Arial" w:eastAsia="Times New Roman" w:hAnsi="Arial" w:cs="Arial"/>
                <w:b/>
                <w:bCs/>
                <w:color w:val="222222"/>
                <w:sz w:val="20"/>
                <w:szCs w:val="20"/>
              </w:rPr>
              <w:t>,</w:t>
            </w:r>
            <w:r w:rsidRPr="00A90625">
              <w:rPr>
                <w:rFonts w:ascii="Arial" w:eastAsia="Times New Roman" w:hAnsi="Arial" w:cs="Arial"/>
                <w:b/>
                <w:bCs/>
                <w:color w:val="3156A2"/>
                <w:sz w:val="20"/>
                <w:szCs w:val="20"/>
                <w:u w:val="single"/>
              </w:rPr>
              <w:t>8</w:t>
            </w:r>
            <w:r w:rsidRPr="00A90625">
              <w:rPr>
                <w:rFonts w:ascii="Arial" w:eastAsia="Times New Roman" w:hAnsi="Arial" w:cs="Arial"/>
                <w:b/>
                <w:bCs/>
                <w:color w:val="222222"/>
                <w:sz w:val="20"/>
                <w:szCs w:val="20"/>
              </w:rPr>
              <w:t>]</w:t>
            </w:r>
          </w:p>
        </w:tc>
        <w:tc>
          <w:tcPr>
            <w:tcW w:w="0" w:type="auto"/>
          </w:tcPr>
          <w:p w14:paraId="7D95BA9C" w14:textId="5D6FA29C" w:rsidR="00A90625" w:rsidRPr="00A90625" w:rsidRDefault="00A90625" w:rsidP="00A90625">
            <w:pPr>
              <w:jc w:val="center"/>
              <w:rPr>
                <w:rFonts w:ascii="Arial" w:eastAsia="Times New Roman" w:hAnsi="Arial" w:cs="Arial"/>
                <w:b/>
                <w:bCs/>
                <w:color w:val="222222"/>
                <w:sz w:val="20"/>
                <w:szCs w:val="20"/>
              </w:rPr>
            </w:pPr>
          </w:p>
        </w:tc>
        <w:tc>
          <w:tcPr>
            <w:tcW w:w="0" w:type="auto"/>
            <w:hideMark/>
          </w:tcPr>
          <w:p w14:paraId="3F2721BC" w14:textId="77777777" w:rsidR="00A90625" w:rsidRPr="00A90625" w:rsidRDefault="00A90625" w:rsidP="00A90625">
            <w:pPr>
              <w:jc w:val="center"/>
              <w:rPr>
                <w:rFonts w:ascii="Arial" w:eastAsia="Times New Roman" w:hAnsi="Arial" w:cs="Arial"/>
                <w:b/>
                <w:bCs/>
                <w:color w:val="222222"/>
                <w:sz w:val="20"/>
                <w:szCs w:val="20"/>
              </w:rPr>
            </w:pPr>
            <w:r w:rsidRPr="00A90625">
              <w:rPr>
                <w:rFonts w:ascii="Arial" w:eastAsia="Times New Roman" w:hAnsi="Arial" w:cs="Arial"/>
                <w:b/>
                <w:bCs/>
                <w:color w:val="222222"/>
                <w:sz w:val="20"/>
                <w:szCs w:val="20"/>
              </w:rPr>
              <w:t>Theory, This Work</w:t>
            </w:r>
          </w:p>
        </w:tc>
        <w:tc>
          <w:tcPr>
            <w:tcW w:w="0" w:type="auto"/>
          </w:tcPr>
          <w:p w14:paraId="7424FDD0" w14:textId="2F327E61" w:rsidR="00A90625" w:rsidRPr="00A90625" w:rsidRDefault="00A90625" w:rsidP="00A90625">
            <w:pPr>
              <w:jc w:val="center"/>
              <w:rPr>
                <w:rFonts w:ascii="Arial" w:eastAsia="Times New Roman" w:hAnsi="Arial" w:cs="Arial"/>
                <w:b/>
                <w:bCs/>
                <w:color w:val="222222"/>
                <w:sz w:val="20"/>
                <w:szCs w:val="20"/>
              </w:rPr>
            </w:pPr>
          </w:p>
        </w:tc>
      </w:tr>
      <w:tr w:rsidR="00395178" w:rsidRPr="00A90625" w14:paraId="189D4582" w14:textId="77777777" w:rsidTr="00395178">
        <w:tc>
          <w:tcPr>
            <w:tcW w:w="0" w:type="auto"/>
            <w:hideMark/>
          </w:tcPr>
          <w:p w14:paraId="4771E2BB" w14:textId="77777777" w:rsidR="00A90625" w:rsidRPr="00A90625" w:rsidRDefault="00A90625" w:rsidP="00A90625">
            <w:pPr>
              <w:rPr>
                <w:rFonts w:ascii="Arial" w:eastAsia="Times New Roman" w:hAnsi="Arial" w:cs="Arial"/>
                <w:b/>
                <w:bCs/>
                <w:color w:val="222222"/>
                <w:sz w:val="20"/>
                <w:szCs w:val="20"/>
              </w:rPr>
            </w:pPr>
          </w:p>
        </w:tc>
        <w:tc>
          <w:tcPr>
            <w:tcW w:w="0" w:type="auto"/>
            <w:hideMark/>
          </w:tcPr>
          <w:p w14:paraId="77140156" w14:textId="77777777" w:rsidR="00A90625" w:rsidRPr="00A90625" w:rsidRDefault="00A90625" w:rsidP="00A90625">
            <w:pPr>
              <w:jc w:val="center"/>
              <w:rPr>
                <w:rFonts w:ascii="Arial" w:eastAsia="Times New Roman" w:hAnsi="Arial" w:cs="Arial"/>
                <w:b/>
                <w:bCs/>
                <w:color w:val="222222"/>
                <w:sz w:val="20"/>
                <w:szCs w:val="20"/>
              </w:rPr>
            </w:pPr>
            <w:r w:rsidRPr="00A90625">
              <w:rPr>
                <w:rFonts w:ascii="Arial" w:eastAsia="Times New Roman" w:hAnsi="Arial" w:cs="Arial"/>
                <w:b/>
                <w:bCs/>
                <w:color w:val="222222"/>
                <w:sz w:val="20"/>
                <w:szCs w:val="20"/>
              </w:rPr>
              <w:t>Single</w:t>
            </w:r>
          </w:p>
        </w:tc>
        <w:tc>
          <w:tcPr>
            <w:tcW w:w="0" w:type="auto"/>
            <w:hideMark/>
          </w:tcPr>
          <w:p w14:paraId="5584458A" w14:textId="77777777" w:rsidR="00A90625" w:rsidRPr="00A90625" w:rsidRDefault="00A90625" w:rsidP="00A90625">
            <w:pPr>
              <w:jc w:val="center"/>
              <w:rPr>
                <w:rFonts w:ascii="Arial" w:eastAsia="Times New Roman" w:hAnsi="Arial" w:cs="Arial"/>
                <w:b/>
                <w:bCs/>
                <w:color w:val="222222"/>
                <w:sz w:val="20"/>
                <w:szCs w:val="20"/>
              </w:rPr>
            </w:pPr>
            <w:r w:rsidRPr="00A90625">
              <w:rPr>
                <w:rFonts w:ascii="Arial" w:eastAsia="Times New Roman" w:hAnsi="Arial" w:cs="Arial"/>
                <w:b/>
                <w:bCs/>
                <w:color w:val="222222"/>
                <w:sz w:val="20"/>
                <w:szCs w:val="20"/>
              </w:rPr>
              <w:t>Double</w:t>
            </w:r>
          </w:p>
        </w:tc>
        <w:tc>
          <w:tcPr>
            <w:tcW w:w="0" w:type="auto"/>
            <w:hideMark/>
          </w:tcPr>
          <w:p w14:paraId="4E6C9E5E" w14:textId="77777777" w:rsidR="00A90625" w:rsidRPr="00A90625" w:rsidRDefault="00A90625" w:rsidP="00A90625">
            <w:pPr>
              <w:jc w:val="center"/>
              <w:rPr>
                <w:rFonts w:ascii="Arial" w:eastAsia="Times New Roman" w:hAnsi="Arial" w:cs="Arial"/>
                <w:b/>
                <w:bCs/>
                <w:color w:val="222222"/>
                <w:sz w:val="20"/>
                <w:szCs w:val="20"/>
              </w:rPr>
            </w:pPr>
            <w:r w:rsidRPr="00A90625">
              <w:rPr>
                <w:rFonts w:ascii="Arial" w:eastAsia="Times New Roman" w:hAnsi="Arial" w:cs="Arial"/>
                <w:b/>
                <w:bCs/>
                <w:color w:val="222222"/>
                <w:sz w:val="20"/>
                <w:szCs w:val="20"/>
              </w:rPr>
              <w:t>Single</w:t>
            </w:r>
          </w:p>
        </w:tc>
        <w:tc>
          <w:tcPr>
            <w:tcW w:w="0" w:type="auto"/>
            <w:hideMark/>
          </w:tcPr>
          <w:p w14:paraId="380450D1" w14:textId="77777777" w:rsidR="00A90625" w:rsidRPr="00A90625" w:rsidRDefault="00A90625" w:rsidP="00A90625">
            <w:pPr>
              <w:jc w:val="center"/>
              <w:rPr>
                <w:rFonts w:ascii="Arial" w:eastAsia="Times New Roman" w:hAnsi="Arial" w:cs="Arial"/>
                <w:b/>
                <w:bCs/>
                <w:color w:val="222222"/>
                <w:sz w:val="20"/>
                <w:szCs w:val="20"/>
              </w:rPr>
            </w:pPr>
            <w:r w:rsidRPr="00A90625">
              <w:rPr>
                <w:rFonts w:ascii="Arial" w:eastAsia="Times New Roman" w:hAnsi="Arial" w:cs="Arial"/>
                <w:b/>
                <w:bCs/>
                <w:color w:val="222222"/>
                <w:sz w:val="20"/>
                <w:szCs w:val="20"/>
              </w:rPr>
              <w:t>Double</w:t>
            </w:r>
          </w:p>
        </w:tc>
      </w:tr>
      <w:tr w:rsidR="00395178" w:rsidRPr="00A90625" w14:paraId="111AB278" w14:textId="77777777" w:rsidTr="00395178">
        <w:tc>
          <w:tcPr>
            <w:tcW w:w="0" w:type="auto"/>
            <w:hideMark/>
          </w:tcPr>
          <w:p w14:paraId="64804F10" w14:textId="094D5396" w:rsidR="00A90625" w:rsidRPr="00A90625" w:rsidRDefault="0052161A" w:rsidP="00A90625">
            <w:pPr>
              <w:jc w:val="center"/>
              <w:rPr>
                <w:rFonts w:ascii="Arial" w:eastAsia="Times New Roman" w:hAnsi="Arial" w:cs="Arial"/>
                <w:color w:val="222222"/>
                <w:sz w:val="20"/>
                <w:szCs w:val="20"/>
              </w:rPr>
            </w:pPr>
            <m:oMathPara>
              <m:oMath>
                <m:sSub>
                  <m:sSubPr>
                    <m:ctrlPr>
                      <w:rPr>
                        <w:rFonts w:ascii="Cambria Math" w:eastAsia="Times New Roman" w:hAnsi="Cambria Math" w:cs="Arial"/>
                        <w:i/>
                        <w:color w:val="222222"/>
                        <w:sz w:val="23"/>
                        <w:szCs w:val="23"/>
                        <w:bdr w:val="none" w:sz="0" w:space="0" w:color="auto" w:frame="1"/>
                      </w:rPr>
                    </m:ctrlPr>
                  </m:sSubPr>
                  <m:e>
                    <m:r>
                      <w:rPr>
                        <w:rFonts w:ascii="Cambria Math" w:eastAsia="Times New Roman" w:hAnsi="Cambria Math" w:cs="Arial"/>
                        <w:color w:val="222222"/>
                        <w:sz w:val="23"/>
                        <w:szCs w:val="23"/>
                        <w:bdr w:val="none" w:sz="0" w:space="0" w:color="auto" w:frame="1"/>
                      </w:rPr>
                      <m:t>2κ</m:t>
                    </m:r>
                  </m:e>
                  <m:sub>
                    <m:r>
                      <w:rPr>
                        <w:rFonts w:ascii="Cambria Math" w:eastAsia="Times New Roman" w:hAnsi="Cambria Math" w:cs="Arial"/>
                        <w:color w:val="222222"/>
                        <w:sz w:val="15"/>
                        <w:szCs w:val="15"/>
                        <w:vertAlign w:val="subscript"/>
                      </w:rPr>
                      <m:t>S</m:t>
                    </m:r>
                  </m:sub>
                </m:sSub>
              </m:oMath>
            </m:oMathPara>
          </w:p>
        </w:tc>
        <w:tc>
          <w:tcPr>
            <w:tcW w:w="0" w:type="auto"/>
            <w:hideMark/>
          </w:tcPr>
          <w:p w14:paraId="2965F38D" w14:textId="77777777" w:rsidR="00A90625" w:rsidRPr="00A90625" w:rsidRDefault="00A90625" w:rsidP="00A90625">
            <w:pPr>
              <w:jc w:val="center"/>
              <w:rPr>
                <w:rFonts w:ascii="Arial" w:eastAsia="Times New Roman" w:hAnsi="Arial" w:cs="Arial"/>
                <w:color w:val="222222"/>
                <w:sz w:val="20"/>
                <w:szCs w:val="20"/>
              </w:rPr>
            </w:pPr>
            <w:r w:rsidRPr="00A90625">
              <w:rPr>
                <w:rFonts w:ascii="Arial" w:eastAsia="Times New Roman" w:hAnsi="Arial" w:cs="Arial"/>
                <w:color w:val="222222"/>
                <w:sz w:val="20"/>
                <w:szCs w:val="20"/>
              </w:rPr>
              <w:t>60</w:t>
            </w:r>
          </w:p>
        </w:tc>
        <w:tc>
          <w:tcPr>
            <w:tcW w:w="0" w:type="auto"/>
            <w:hideMark/>
          </w:tcPr>
          <w:p w14:paraId="473D40CA" w14:textId="77777777" w:rsidR="00A90625" w:rsidRPr="00A90625" w:rsidRDefault="00A90625" w:rsidP="00A90625">
            <w:pPr>
              <w:jc w:val="center"/>
              <w:rPr>
                <w:rFonts w:ascii="Arial" w:eastAsia="Times New Roman" w:hAnsi="Arial" w:cs="Arial"/>
                <w:color w:val="222222"/>
                <w:sz w:val="20"/>
                <w:szCs w:val="20"/>
              </w:rPr>
            </w:pPr>
            <w:r w:rsidRPr="00A90625">
              <w:rPr>
                <w:rFonts w:ascii="Arial" w:eastAsia="Times New Roman" w:hAnsi="Arial" w:cs="Arial"/>
                <w:color w:val="222222"/>
                <w:sz w:val="20"/>
                <w:szCs w:val="20"/>
              </w:rPr>
              <w:t>62</w:t>
            </w:r>
          </w:p>
        </w:tc>
        <w:tc>
          <w:tcPr>
            <w:tcW w:w="0" w:type="auto"/>
            <w:hideMark/>
          </w:tcPr>
          <w:p w14:paraId="13EB53B0" w14:textId="77777777" w:rsidR="00A90625" w:rsidRPr="00A90625" w:rsidRDefault="00A90625" w:rsidP="00A90625">
            <w:pPr>
              <w:jc w:val="center"/>
              <w:rPr>
                <w:rFonts w:ascii="Arial" w:eastAsia="Times New Roman" w:hAnsi="Arial" w:cs="Arial"/>
                <w:color w:val="222222"/>
                <w:sz w:val="20"/>
                <w:szCs w:val="20"/>
              </w:rPr>
            </w:pPr>
            <w:r w:rsidRPr="00A90625">
              <w:rPr>
                <w:rFonts w:ascii="Arial" w:eastAsia="Times New Roman" w:hAnsi="Arial" w:cs="Arial"/>
                <w:color w:val="222222"/>
                <w:sz w:val="20"/>
                <w:szCs w:val="20"/>
              </w:rPr>
              <w:t>60</w:t>
            </w:r>
          </w:p>
        </w:tc>
        <w:tc>
          <w:tcPr>
            <w:tcW w:w="0" w:type="auto"/>
            <w:hideMark/>
          </w:tcPr>
          <w:p w14:paraId="45F6334C" w14:textId="77777777" w:rsidR="00A90625" w:rsidRPr="00A90625" w:rsidRDefault="00A90625" w:rsidP="00A90625">
            <w:pPr>
              <w:jc w:val="center"/>
              <w:rPr>
                <w:rFonts w:ascii="Arial" w:eastAsia="Times New Roman" w:hAnsi="Arial" w:cs="Arial"/>
                <w:color w:val="222222"/>
                <w:sz w:val="20"/>
                <w:szCs w:val="20"/>
              </w:rPr>
            </w:pPr>
            <w:r w:rsidRPr="00A90625">
              <w:rPr>
                <w:rFonts w:ascii="Arial" w:eastAsia="Times New Roman" w:hAnsi="Arial" w:cs="Arial"/>
                <w:color w:val="222222"/>
                <w:sz w:val="20"/>
                <w:szCs w:val="20"/>
              </w:rPr>
              <w:t>61</w:t>
            </w:r>
          </w:p>
        </w:tc>
      </w:tr>
      <w:tr w:rsidR="00395178" w:rsidRPr="00A90625" w14:paraId="67588267" w14:textId="77777777" w:rsidTr="00395178">
        <w:tc>
          <w:tcPr>
            <w:tcW w:w="0" w:type="auto"/>
            <w:hideMark/>
          </w:tcPr>
          <w:p w14:paraId="483D607D" w14:textId="07DC6F64" w:rsidR="00A90625" w:rsidRPr="00A90625" w:rsidRDefault="0052161A" w:rsidP="00A90625">
            <w:pPr>
              <w:jc w:val="center"/>
              <w:rPr>
                <w:rFonts w:ascii="Arial" w:eastAsia="Times New Roman" w:hAnsi="Arial" w:cs="Arial"/>
                <w:color w:val="222222"/>
                <w:sz w:val="20"/>
                <w:szCs w:val="20"/>
              </w:rPr>
            </w:pPr>
            <m:oMathPara>
              <m:oMath>
                <m:r>
                  <w:rPr>
                    <w:rFonts w:ascii="Cambria Math" w:eastAsia="Times New Roman" w:hAnsi="Cambria Math" w:cs="Arial"/>
                    <w:color w:val="222222"/>
                    <w:sz w:val="23"/>
                    <w:szCs w:val="23"/>
                    <w:bdr w:val="none" w:sz="0" w:space="0" w:color="auto" w:frame="1"/>
                  </w:rPr>
                  <m:t>2</m:t>
                </m:r>
                <m:sSub>
                  <m:sSubPr>
                    <m:ctrlPr>
                      <w:rPr>
                        <w:rFonts w:ascii="Cambria Math" w:eastAsia="Times New Roman" w:hAnsi="Cambria Math" w:cs="Arial"/>
                        <w:i/>
                        <w:color w:val="222222"/>
                        <w:sz w:val="23"/>
                        <w:szCs w:val="23"/>
                        <w:bdr w:val="none" w:sz="0" w:space="0" w:color="auto" w:frame="1"/>
                      </w:rPr>
                    </m:ctrlPr>
                  </m:sSubPr>
                  <m:e>
                    <m:r>
                      <w:rPr>
                        <w:rFonts w:ascii="Cambria Math" w:eastAsia="Times New Roman" w:hAnsi="Cambria Math" w:cs="Arial"/>
                        <w:color w:val="222222"/>
                        <w:sz w:val="23"/>
                        <w:szCs w:val="23"/>
                        <w:bdr w:val="none" w:sz="0" w:space="0" w:color="auto" w:frame="1"/>
                      </w:rPr>
                      <m:t>κ</m:t>
                    </m:r>
                  </m:e>
                  <m:sub>
                    <m:r>
                      <w:rPr>
                        <w:rFonts w:ascii="Cambria Math" w:eastAsia="Times New Roman" w:hAnsi="Cambria Math" w:cs="Arial"/>
                        <w:color w:val="222222"/>
                        <w:sz w:val="15"/>
                        <w:szCs w:val="15"/>
                        <w:vertAlign w:val="subscript"/>
                      </w:rPr>
                      <m:t>A</m:t>
                    </m:r>
                  </m:sub>
                </m:sSub>
              </m:oMath>
            </m:oMathPara>
          </w:p>
        </w:tc>
        <w:tc>
          <w:tcPr>
            <w:tcW w:w="0" w:type="auto"/>
            <w:hideMark/>
          </w:tcPr>
          <w:p w14:paraId="75AB6C68" w14:textId="77777777" w:rsidR="00A90625" w:rsidRPr="00A90625" w:rsidRDefault="00A90625" w:rsidP="00A90625">
            <w:pPr>
              <w:jc w:val="center"/>
              <w:rPr>
                <w:rFonts w:ascii="Arial" w:eastAsia="Times New Roman" w:hAnsi="Arial" w:cs="Arial"/>
                <w:color w:val="222222"/>
                <w:sz w:val="20"/>
                <w:szCs w:val="20"/>
              </w:rPr>
            </w:pPr>
            <w:r w:rsidRPr="00A90625">
              <w:rPr>
                <w:rFonts w:ascii="Arial" w:eastAsia="Times New Roman" w:hAnsi="Arial" w:cs="Arial"/>
                <w:color w:val="222222"/>
                <w:sz w:val="20"/>
                <w:szCs w:val="20"/>
              </w:rPr>
              <w:t>86</w:t>
            </w:r>
          </w:p>
        </w:tc>
        <w:tc>
          <w:tcPr>
            <w:tcW w:w="0" w:type="auto"/>
            <w:hideMark/>
          </w:tcPr>
          <w:p w14:paraId="4C6AB92F" w14:textId="77777777" w:rsidR="00A90625" w:rsidRPr="00A90625" w:rsidRDefault="00A90625" w:rsidP="00A90625">
            <w:pPr>
              <w:jc w:val="center"/>
              <w:rPr>
                <w:rFonts w:ascii="Arial" w:eastAsia="Times New Roman" w:hAnsi="Arial" w:cs="Arial"/>
                <w:color w:val="222222"/>
                <w:sz w:val="20"/>
                <w:szCs w:val="20"/>
              </w:rPr>
            </w:pPr>
            <w:r w:rsidRPr="00A90625">
              <w:rPr>
                <w:rFonts w:ascii="Arial" w:eastAsia="Times New Roman" w:hAnsi="Arial" w:cs="Arial"/>
                <w:color w:val="222222"/>
                <w:sz w:val="20"/>
                <w:szCs w:val="20"/>
              </w:rPr>
              <w:t>55</w:t>
            </w:r>
          </w:p>
        </w:tc>
        <w:tc>
          <w:tcPr>
            <w:tcW w:w="0" w:type="auto"/>
            <w:hideMark/>
          </w:tcPr>
          <w:p w14:paraId="354F0D07" w14:textId="77777777" w:rsidR="00A90625" w:rsidRPr="00A90625" w:rsidRDefault="00A90625" w:rsidP="00A90625">
            <w:pPr>
              <w:jc w:val="center"/>
              <w:rPr>
                <w:rFonts w:ascii="Arial" w:eastAsia="Times New Roman" w:hAnsi="Arial" w:cs="Arial"/>
                <w:color w:val="222222"/>
                <w:sz w:val="20"/>
                <w:szCs w:val="20"/>
              </w:rPr>
            </w:pPr>
            <w:r w:rsidRPr="00A90625">
              <w:rPr>
                <w:rFonts w:ascii="Arial" w:eastAsia="Times New Roman" w:hAnsi="Arial" w:cs="Arial"/>
                <w:color w:val="222222"/>
                <w:sz w:val="20"/>
                <w:szCs w:val="20"/>
              </w:rPr>
              <w:t>73</w:t>
            </w:r>
          </w:p>
        </w:tc>
        <w:tc>
          <w:tcPr>
            <w:tcW w:w="0" w:type="auto"/>
            <w:hideMark/>
          </w:tcPr>
          <w:p w14:paraId="34B38DED" w14:textId="77777777" w:rsidR="00A90625" w:rsidRPr="00A90625" w:rsidRDefault="00A90625" w:rsidP="00A90625">
            <w:pPr>
              <w:jc w:val="center"/>
              <w:rPr>
                <w:rFonts w:ascii="Arial" w:eastAsia="Times New Roman" w:hAnsi="Arial" w:cs="Arial"/>
                <w:color w:val="222222"/>
                <w:sz w:val="20"/>
                <w:szCs w:val="20"/>
              </w:rPr>
            </w:pPr>
            <w:r w:rsidRPr="00A90625">
              <w:rPr>
                <w:rFonts w:ascii="Arial" w:eastAsia="Times New Roman" w:hAnsi="Arial" w:cs="Arial"/>
                <w:color w:val="222222"/>
                <w:sz w:val="20"/>
                <w:szCs w:val="20"/>
              </w:rPr>
              <w:t>57</w:t>
            </w:r>
          </w:p>
        </w:tc>
      </w:tr>
      <w:tr w:rsidR="00395178" w:rsidRPr="00A90625" w14:paraId="2C971B5D" w14:textId="77777777" w:rsidTr="00395178">
        <w:tc>
          <w:tcPr>
            <w:tcW w:w="0" w:type="auto"/>
            <w:hideMark/>
          </w:tcPr>
          <w:p w14:paraId="498FAA4B" w14:textId="430325D2" w:rsidR="00A90625" w:rsidRPr="00A90625" w:rsidRDefault="003341C5" w:rsidP="00A90625">
            <w:pPr>
              <w:jc w:val="center"/>
              <w:rPr>
                <w:rFonts w:ascii="Arial" w:eastAsia="Times New Roman" w:hAnsi="Arial" w:cs="Arial"/>
                <w:color w:val="222222"/>
                <w:sz w:val="20"/>
                <w:szCs w:val="20"/>
              </w:rPr>
            </w:pPr>
            <m:oMathPara>
              <m:oMath>
                <m:sSub>
                  <m:sSubPr>
                    <m:ctrlPr>
                      <w:rPr>
                        <w:rFonts w:ascii="Cambria Math" w:hAnsi="Cambria Math"/>
                        <w:i/>
                        <w:iCs/>
                      </w:rPr>
                    </m:ctrlPr>
                  </m:sSubPr>
                  <m:e>
                    <m:r>
                      <w:rPr>
                        <w:rFonts w:ascii="Cambria Math" w:hAnsi="Cambria Math"/>
                      </w:rPr>
                      <m:t>κ</m:t>
                    </m:r>
                  </m:e>
                  <m:sub>
                    <m:r>
                      <w:rPr>
                        <w:rFonts w:ascii="Cambria Math" w:hAnsi="Cambria Math"/>
                        <w:vertAlign w:val="subscript"/>
                      </w:rPr>
                      <m:t>B</m:t>
                    </m:r>
                  </m:sub>
                </m:sSub>
              </m:oMath>
            </m:oMathPara>
          </w:p>
        </w:tc>
        <w:tc>
          <w:tcPr>
            <w:tcW w:w="0" w:type="auto"/>
            <w:hideMark/>
          </w:tcPr>
          <w:p w14:paraId="2784E945" w14:textId="77777777" w:rsidR="00A90625" w:rsidRPr="00A90625" w:rsidRDefault="00A90625" w:rsidP="00A90625">
            <w:pPr>
              <w:jc w:val="center"/>
              <w:rPr>
                <w:rFonts w:ascii="Arial" w:eastAsia="Times New Roman" w:hAnsi="Arial" w:cs="Arial"/>
                <w:color w:val="222222"/>
                <w:sz w:val="20"/>
                <w:szCs w:val="20"/>
              </w:rPr>
            </w:pPr>
            <w:r w:rsidRPr="00A90625">
              <w:rPr>
                <w:rFonts w:ascii="Arial" w:eastAsia="Times New Roman" w:hAnsi="Arial" w:cs="Arial"/>
                <w:color w:val="222222"/>
                <w:sz w:val="20"/>
                <w:szCs w:val="20"/>
              </w:rPr>
              <w:t>55</w:t>
            </w:r>
          </w:p>
        </w:tc>
        <w:tc>
          <w:tcPr>
            <w:tcW w:w="0" w:type="auto"/>
            <w:hideMark/>
          </w:tcPr>
          <w:p w14:paraId="30F5D6BB" w14:textId="77777777" w:rsidR="00A90625" w:rsidRPr="00A90625" w:rsidRDefault="00A90625" w:rsidP="00A90625">
            <w:pPr>
              <w:jc w:val="center"/>
              <w:rPr>
                <w:rFonts w:ascii="Arial" w:eastAsia="Times New Roman" w:hAnsi="Arial" w:cs="Arial"/>
                <w:color w:val="222222"/>
                <w:sz w:val="20"/>
                <w:szCs w:val="20"/>
              </w:rPr>
            </w:pPr>
            <w:r w:rsidRPr="00A90625">
              <w:rPr>
                <w:rFonts w:ascii="Arial" w:eastAsia="Times New Roman" w:hAnsi="Arial" w:cs="Arial"/>
                <w:color w:val="222222"/>
                <w:sz w:val="20"/>
                <w:szCs w:val="20"/>
              </w:rPr>
              <w:t>90</w:t>
            </w:r>
          </w:p>
        </w:tc>
        <w:tc>
          <w:tcPr>
            <w:tcW w:w="0" w:type="auto"/>
            <w:hideMark/>
          </w:tcPr>
          <w:p w14:paraId="623B9587" w14:textId="77777777" w:rsidR="00A90625" w:rsidRPr="00A90625" w:rsidRDefault="00A90625" w:rsidP="00A90625">
            <w:pPr>
              <w:jc w:val="center"/>
              <w:rPr>
                <w:rFonts w:ascii="Arial" w:eastAsia="Times New Roman" w:hAnsi="Arial" w:cs="Arial"/>
                <w:color w:val="222222"/>
                <w:sz w:val="20"/>
                <w:szCs w:val="20"/>
              </w:rPr>
            </w:pPr>
            <w:r w:rsidRPr="00A90625">
              <w:rPr>
                <w:rFonts w:ascii="Arial" w:eastAsia="Times New Roman" w:hAnsi="Arial" w:cs="Arial"/>
                <w:color w:val="222222"/>
                <w:sz w:val="20"/>
                <w:szCs w:val="20"/>
              </w:rPr>
              <w:t>55</w:t>
            </w:r>
          </w:p>
        </w:tc>
        <w:tc>
          <w:tcPr>
            <w:tcW w:w="0" w:type="auto"/>
            <w:hideMark/>
          </w:tcPr>
          <w:p w14:paraId="22E454D4" w14:textId="77777777" w:rsidR="00A90625" w:rsidRPr="00A90625" w:rsidRDefault="00A90625" w:rsidP="00A90625">
            <w:pPr>
              <w:jc w:val="center"/>
              <w:rPr>
                <w:rFonts w:ascii="Arial" w:eastAsia="Times New Roman" w:hAnsi="Arial" w:cs="Arial"/>
                <w:color w:val="222222"/>
                <w:sz w:val="20"/>
                <w:szCs w:val="20"/>
              </w:rPr>
            </w:pPr>
            <w:r w:rsidRPr="00A90625">
              <w:rPr>
                <w:rFonts w:ascii="Arial" w:eastAsia="Times New Roman" w:hAnsi="Arial" w:cs="Arial"/>
                <w:color w:val="222222"/>
                <w:sz w:val="20"/>
                <w:szCs w:val="20"/>
              </w:rPr>
              <w:t>73</w:t>
            </w:r>
          </w:p>
        </w:tc>
      </w:tr>
      <w:tr w:rsidR="00395178" w:rsidRPr="00A90625" w14:paraId="5E96300E" w14:textId="77777777" w:rsidTr="00395178">
        <w:tc>
          <w:tcPr>
            <w:tcW w:w="0" w:type="auto"/>
            <w:hideMark/>
          </w:tcPr>
          <w:p w14:paraId="3C018A2A" w14:textId="4025C446" w:rsidR="00A90625" w:rsidRPr="00A90625" w:rsidRDefault="0090362C" w:rsidP="00A90625">
            <w:pPr>
              <w:jc w:val="center"/>
              <w:rPr>
                <w:rFonts w:ascii="Arial" w:eastAsia="Times New Roman" w:hAnsi="Arial" w:cs="Arial"/>
                <w:color w:val="222222"/>
                <w:sz w:val="20"/>
                <w:szCs w:val="20"/>
              </w:rPr>
            </w:pPr>
            <m:oMathPara>
              <m:oMath>
                <m:sSub>
                  <m:sSubPr>
                    <m:ctrlPr>
                      <w:rPr>
                        <w:rFonts w:ascii="Cambria Math" w:eastAsia="Times New Roman" w:hAnsi="Cambria Math" w:cs="Arial"/>
                        <w:i/>
                        <w:color w:val="222222"/>
                        <w:sz w:val="23"/>
                        <w:szCs w:val="23"/>
                        <w:bdr w:val="none" w:sz="0" w:space="0" w:color="auto" w:frame="1"/>
                      </w:rPr>
                    </m:ctrlPr>
                  </m:sSubPr>
                  <m:e>
                    <m:r>
                      <w:rPr>
                        <w:rFonts w:ascii="Cambria Math" w:eastAsia="Times New Roman" w:hAnsi="Cambria Math" w:cs="Arial"/>
                        <w:color w:val="222222"/>
                        <w:sz w:val="23"/>
                        <w:szCs w:val="23"/>
                        <w:bdr w:val="none" w:sz="0" w:space="0" w:color="auto" w:frame="1"/>
                      </w:rPr>
                      <m:t>κ</m:t>
                    </m:r>
                  </m:e>
                  <m:sub>
                    <m:r>
                      <w:rPr>
                        <w:rFonts w:ascii="Cambria Math" w:eastAsia="Times New Roman" w:hAnsi="Cambria Math" w:cs="Arial"/>
                        <w:color w:val="222222"/>
                        <w:sz w:val="23"/>
                        <w:szCs w:val="23"/>
                        <w:bdr w:val="none" w:sz="0" w:space="0" w:color="auto" w:frame="1"/>
                      </w:rPr>
                      <m:t>I</m:t>
                    </m:r>
                  </m:sub>
                </m:sSub>
              </m:oMath>
            </m:oMathPara>
          </w:p>
        </w:tc>
        <w:tc>
          <w:tcPr>
            <w:tcW w:w="0" w:type="auto"/>
            <w:hideMark/>
          </w:tcPr>
          <w:p w14:paraId="221E3CC2" w14:textId="77777777" w:rsidR="00A90625" w:rsidRPr="00A90625" w:rsidRDefault="00A90625" w:rsidP="00A90625">
            <w:pPr>
              <w:jc w:val="center"/>
              <w:rPr>
                <w:rFonts w:ascii="Arial" w:eastAsia="Times New Roman" w:hAnsi="Arial" w:cs="Arial"/>
                <w:color w:val="222222"/>
                <w:sz w:val="20"/>
                <w:szCs w:val="20"/>
              </w:rPr>
            </w:pPr>
            <w:r w:rsidRPr="00A90625">
              <w:rPr>
                <w:rFonts w:ascii="Arial" w:eastAsia="Times New Roman" w:hAnsi="Arial" w:cs="Arial"/>
                <w:color w:val="222222"/>
                <w:sz w:val="20"/>
                <w:szCs w:val="20"/>
              </w:rPr>
              <w:t>0.36</w:t>
            </w:r>
          </w:p>
        </w:tc>
        <w:tc>
          <w:tcPr>
            <w:tcW w:w="0" w:type="auto"/>
            <w:hideMark/>
          </w:tcPr>
          <w:p w14:paraId="7D0DAD99" w14:textId="77777777" w:rsidR="00A90625" w:rsidRPr="00A90625" w:rsidRDefault="00A90625" w:rsidP="00A90625">
            <w:pPr>
              <w:jc w:val="center"/>
              <w:rPr>
                <w:rFonts w:ascii="Arial" w:eastAsia="Times New Roman" w:hAnsi="Arial" w:cs="Arial"/>
                <w:color w:val="222222"/>
                <w:sz w:val="20"/>
                <w:szCs w:val="20"/>
              </w:rPr>
            </w:pPr>
            <w:r w:rsidRPr="00A90625">
              <w:rPr>
                <w:rFonts w:ascii="Arial" w:eastAsia="Times New Roman" w:hAnsi="Arial" w:cs="Arial"/>
                <w:color w:val="222222"/>
                <w:sz w:val="20"/>
                <w:szCs w:val="20"/>
              </w:rPr>
              <w:t>1.74</w:t>
            </w:r>
          </w:p>
        </w:tc>
        <w:tc>
          <w:tcPr>
            <w:tcW w:w="0" w:type="auto"/>
            <w:hideMark/>
          </w:tcPr>
          <w:p w14:paraId="10C9BF98" w14:textId="77777777" w:rsidR="00A90625" w:rsidRPr="00A90625" w:rsidRDefault="00A90625" w:rsidP="00A90625">
            <w:pPr>
              <w:jc w:val="center"/>
              <w:rPr>
                <w:rFonts w:ascii="Arial" w:eastAsia="Times New Roman" w:hAnsi="Arial" w:cs="Arial"/>
                <w:color w:val="222222"/>
                <w:sz w:val="20"/>
                <w:szCs w:val="20"/>
              </w:rPr>
            </w:pPr>
            <w:r w:rsidRPr="00A90625">
              <w:rPr>
                <w:rFonts w:ascii="Arial" w:eastAsia="Times New Roman" w:hAnsi="Arial" w:cs="Arial"/>
                <w:color w:val="222222"/>
                <w:sz w:val="20"/>
                <w:szCs w:val="20"/>
              </w:rPr>
              <w:t>0.18</w:t>
            </w:r>
          </w:p>
        </w:tc>
        <w:tc>
          <w:tcPr>
            <w:tcW w:w="0" w:type="auto"/>
            <w:hideMark/>
          </w:tcPr>
          <w:p w14:paraId="26C7EB2F" w14:textId="77777777" w:rsidR="00A90625" w:rsidRPr="00A90625" w:rsidRDefault="00A90625" w:rsidP="00A90625">
            <w:pPr>
              <w:jc w:val="center"/>
              <w:rPr>
                <w:rFonts w:ascii="Arial" w:eastAsia="Times New Roman" w:hAnsi="Arial" w:cs="Arial"/>
                <w:color w:val="222222"/>
                <w:sz w:val="20"/>
                <w:szCs w:val="20"/>
              </w:rPr>
            </w:pPr>
            <w:r w:rsidRPr="00A90625">
              <w:rPr>
                <w:rFonts w:ascii="Arial" w:eastAsia="Times New Roman" w:hAnsi="Arial" w:cs="Arial"/>
                <w:color w:val="222222"/>
                <w:sz w:val="20"/>
                <w:szCs w:val="20"/>
              </w:rPr>
              <w:t>1.39</w:t>
            </w:r>
          </w:p>
        </w:tc>
      </w:tr>
      <w:tr w:rsidR="00395178" w:rsidRPr="00A90625" w14:paraId="20A60494" w14:textId="77777777" w:rsidTr="00395178">
        <w:tc>
          <w:tcPr>
            <w:tcW w:w="0" w:type="auto"/>
            <w:hideMark/>
          </w:tcPr>
          <w:p w14:paraId="18E9B731" w14:textId="77777777" w:rsidR="00395178" w:rsidRPr="00A90625" w:rsidRDefault="00395178" w:rsidP="00A90625">
            <w:pPr>
              <w:jc w:val="center"/>
              <w:rPr>
                <w:rFonts w:ascii="Arial" w:eastAsia="Times New Roman" w:hAnsi="Arial" w:cs="Arial"/>
                <w:color w:val="222222"/>
                <w:sz w:val="20"/>
                <w:szCs w:val="20"/>
              </w:rPr>
            </w:pPr>
            <w:r w:rsidRPr="00A90625">
              <w:rPr>
                <w:rFonts w:ascii="Arial" w:eastAsia="Times New Roman" w:hAnsi="Arial" w:cs="Arial"/>
                <w:b/>
                <w:bCs/>
                <w:color w:val="222222"/>
                <w:sz w:val="20"/>
                <w:szCs w:val="20"/>
              </w:rPr>
              <w:t>Isotope Effects</w:t>
            </w:r>
          </w:p>
        </w:tc>
        <w:tc>
          <w:tcPr>
            <w:tcW w:w="0" w:type="auto"/>
          </w:tcPr>
          <w:p w14:paraId="59258F0B" w14:textId="77777777" w:rsidR="00395178" w:rsidRPr="00A90625" w:rsidRDefault="00395178" w:rsidP="00A90625">
            <w:pPr>
              <w:jc w:val="center"/>
              <w:rPr>
                <w:rFonts w:ascii="Arial" w:eastAsia="Times New Roman" w:hAnsi="Arial" w:cs="Arial"/>
                <w:color w:val="222222"/>
                <w:sz w:val="20"/>
                <w:szCs w:val="20"/>
              </w:rPr>
            </w:pPr>
          </w:p>
        </w:tc>
        <w:tc>
          <w:tcPr>
            <w:tcW w:w="0" w:type="auto"/>
          </w:tcPr>
          <w:p w14:paraId="10ED7456" w14:textId="77777777" w:rsidR="00395178" w:rsidRPr="00A90625" w:rsidRDefault="00395178" w:rsidP="00A90625">
            <w:pPr>
              <w:jc w:val="center"/>
              <w:rPr>
                <w:rFonts w:ascii="Arial" w:eastAsia="Times New Roman" w:hAnsi="Arial" w:cs="Arial"/>
                <w:color w:val="222222"/>
                <w:sz w:val="20"/>
                <w:szCs w:val="20"/>
              </w:rPr>
            </w:pPr>
          </w:p>
        </w:tc>
        <w:tc>
          <w:tcPr>
            <w:tcW w:w="0" w:type="auto"/>
          </w:tcPr>
          <w:p w14:paraId="0094CAD5" w14:textId="77777777" w:rsidR="00395178" w:rsidRPr="00A90625" w:rsidRDefault="00395178" w:rsidP="00A90625">
            <w:pPr>
              <w:jc w:val="center"/>
              <w:rPr>
                <w:rFonts w:ascii="Arial" w:eastAsia="Times New Roman" w:hAnsi="Arial" w:cs="Arial"/>
                <w:color w:val="222222"/>
                <w:sz w:val="20"/>
                <w:szCs w:val="20"/>
              </w:rPr>
            </w:pPr>
          </w:p>
        </w:tc>
        <w:tc>
          <w:tcPr>
            <w:tcW w:w="0" w:type="auto"/>
          </w:tcPr>
          <w:p w14:paraId="42BE7BF3" w14:textId="10B55E27" w:rsidR="00395178" w:rsidRPr="00A90625" w:rsidRDefault="00395178" w:rsidP="00A90625">
            <w:pPr>
              <w:jc w:val="center"/>
              <w:rPr>
                <w:rFonts w:ascii="Arial" w:eastAsia="Times New Roman" w:hAnsi="Arial" w:cs="Arial"/>
                <w:color w:val="222222"/>
                <w:sz w:val="20"/>
                <w:szCs w:val="20"/>
              </w:rPr>
            </w:pPr>
          </w:p>
        </w:tc>
      </w:tr>
      <w:tr w:rsidR="00395178" w:rsidRPr="00A90625" w14:paraId="6E090A29" w14:textId="77777777" w:rsidTr="00395178">
        <w:tc>
          <w:tcPr>
            <w:tcW w:w="0" w:type="auto"/>
            <w:hideMark/>
          </w:tcPr>
          <w:p w14:paraId="1C0A5971" w14:textId="77777777" w:rsidR="00A90625" w:rsidRPr="00A90625" w:rsidRDefault="00A90625" w:rsidP="00A90625">
            <w:pPr>
              <w:jc w:val="center"/>
              <w:rPr>
                <w:rFonts w:ascii="Arial" w:eastAsia="Times New Roman" w:hAnsi="Arial" w:cs="Arial"/>
                <w:color w:val="222222"/>
                <w:sz w:val="20"/>
                <w:szCs w:val="20"/>
              </w:rPr>
            </w:pPr>
            <w:r w:rsidRPr="00A90625">
              <w:rPr>
                <w:rFonts w:ascii="Arial" w:eastAsia="Times New Roman" w:hAnsi="Arial" w:cs="Arial"/>
                <w:i/>
                <w:iCs/>
                <w:color w:val="222222"/>
                <w:sz w:val="20"/>
                <w:szCs w:val="20"/>
              </w:rPr>
              <w:t>ζ</w:t>
            </w:r>
          </w:p>
        </w:tc>
        <w:tc>
          <w:tcPr>
            <w:tcW w:w="0" w:type="auto"/>
            <w:hideMark/>
          </w:tcPr>
          <w:p w14:paraId="5415F5F4" w14:textId="77777777" w:rsidR="00A90625" w:rsidRPr="00A90625" w:rsidRDefault="00A90625" w:rsidP="00A90625">
            <w:pPr>
              <w:jc w:val="center"/>
              <w:rPr>
                <w:rFonts w:ascii="Arial" w:eastAsia="Times New Roman" w:hAnsi="Arial" w:cs="Arial"/>
                <w:color w:val="222222"/>
                <w:sz w:val="20"/>
                <w:szCs w:val="20"/>
              </w:rPr>
            </w:pPr>
            <w:r w:rsidRPr="00A90625">
              <w:rPr>
                <w:rFonts w:ascii="Arial" w:eastAsia="Times New Roman" w:hAnsi="Arial" w:cs="Arial"/>
                <w:color w:val="222222"/>
                <w:sz w:val="20"/>
                <w:szCs w:val="20"/>
              </w:rPr>
              <w:t>1.68</w:t>
            </w:r>
          </w:p>
        </w:tc>
        <w:tc>
          <w:tcPr>
            <w:tcW w:w="0" w:type="auto"/>
            <w:hideMark/>
          </w:tcPr>
          <w:p w14:paraId="69896A6E" w14:textId="77777777" w:rsidR="00A90625" w:rsidRPr="00A90625" w:rsidRDefault="00A90625" w:rsidP="00A90625">
            <w:pPr>
              <w:jc w:val="center"/>
              <w:rPr>
                <w:rFonts w:ascii="Arial" w:eastAsia="Times New Roman" w:hAnsi="Arial" w:cs="Arial"/>
                <w:color w:val="222222"/>
                <w:sz w:val="20"/>
                <w:szCs w:val="20"/>
              </w:rPr>
            </w:pPr>
            <w:r w:rsidRPr="00A90625">
              <w:rPr>
                <w:rFonts w:ascii="Arial" w:eastAsia="Times New Roman" w:hAnsi="Arial" w:cs="Arial"/>
                <w:color w:val="222222"/>
                <w:sz w:val="20"/>
                <w:szCs w:val="20"/>
              </w:rPr>
              <w:t>1.77</w:t>
            </w:r>
          </w:p>
        </w:tc>
        <w:tc>
          <w:tcPr>
            <w:tcW w:w="0" w:type="auto"/>
            <w:hideMark/>
          </w:tcPr>
          <w:p w14:paraId="57C4E12A" w14:textId="77777777" w:rsidR="00A90625" w:rsidRPr="00A90625" w:rsidRDefault="00A90625" w:rsidP="00A90625">
            <w:pPr>
              <w:jc w:val="center"/>
              <w:rPr>
                <w:rFonts w:ascii="Arial" w:eastAsia="Times New Roman" w:hAnsi="Arial" w:cs="Arial"/>
                <w:color w:val="222222"/>
                <w:sz w:val="20"/>
                <w:szCs w:val="20"/>
              </w:rPr>
            </w:pPr>
            <w:r w:rsidRPr="00A90625">
              <w:rPr>
                <w:rFonts w:ascii="Arial" w:eastAsia="Times New Roman" w:hAnsi="Arial" w:cs="Arial"/>
                <w:color w:val="222222"/>
                <w:sz w:val="20"/>
                <w:szCs w:val="20"/>
              </w:rPr>
              <w:t>1.45</w:t>
            </w:r>
          </w:p>
        </w:tc>
        <w:tc>
          <w:tcPr>
            <w:tcW w:w="0" w:type="auto"/>
            <w:hideMark/>
          </w:tcPr>
          <w:p w14:paraId="36FEF4FB" w14:textId="77777777" w:rsidR="00A90625" w:rsidRPr="00A90625" w:rsidRDefault="00A90625" w:rsidP="00A90625">
            <w:pPr>
              <w:jc w:val="center"/>
              <w:rPr>
                <w:rFonts w:ascii="Arial" w:eastAsia="Times New Roman" w:hAnsi="Arial" w:cs="Arial"/>
                <w:color w:val="222222"/>
                <w:sz w:val="20"/>
                <w:szCs w:val="20"/>
              </w:rPr>
            </w:pPr>
            <w:r w:rsidRPr="00A90625">
              <w:rPr>
                <w:rFonts w:ascii="Arial" w:eastAsia="Times New Roman" w:hAnsi="Arial" w:cs="Arial"/>
                <w:color w:val="222222"/>
                <w:sz w:val="20"/>
                <w:szCs w:val="20"/>
              </w:rPr>
              <w:t>1.38</w:t>
            </w:r>
          </w:p>
        </w:tc>
      </w:tr>
      <w:tr w:rsidR="00395178" w:rsidRPr="00A90625" w14:paraId="7F79D0A6" w14:textId="77777777" w:rsidTr="00395178">
        <w:tc>
          <w:tcPr>
            <w:tcW w:w="0" w:type="auto"/>
            <w:hideMark/>
          </w:tcPr>
          <w:p w14:paraId="6BD7C3F3" w14:textId="77777777" w:rsidR="00A90625" w:rsidRPr="00A90625" w:rsidRDefault="00A90625" w:rsidP="00A90625">
            <w:pPr>
              <w:jc w:val="center"/>
              <w:rPr>
                <w:rFonts w:ascii="Arial" w:eastAsia="Times New Roman" w:hAnsi="Arial" w:cs="Arial"/>
                <w:color w:val="222222"/>
                <w:sz w:val="20"/>
                <w:szCs w:val="20"/>
              </w:rPr>
            </w:pPr>
            <w:r w:rsidRPr="00A90625">
              <w:rPr>
                <w:rFonts w:ascii="Arial" w:eastAsia="Times New Roman" w:hAnsi="Arial" w:cs="Arial"/>
                <w:i/>
                <w:iCs/>
                <w:color w:val="222222"/>
                <w:sz w:val="20"/>
                <w:szCs w:val="20"/>
              </w:rPr>
              <w:t>η</w:t>
            </w:r>
          </w:p>
        </w:tc>
        <w:tc>
          <w:tcPr>
            <w:tcW w:w="0" w:type="auto"/>
            <w:hideMark/>
          </w:tcPr>
          <w:p w14:paraId="4F852143" w14:textId="77777777" w:rsidR="00A90625" w:rsidRPr="00A90625" w:rsidRDefault="00A90625" w:rsidP="00A90625">
            <w:pPr>
              <w:jc w:val="center"/>
              <w:rPr>
                <w:rFonts w:ascii="Arial" w:eastAsia="Times New Roman" w:hAnsi="Arial" w:cs="Arial"/>
                <w:color w:val="222222"/>
                <w:sz w:val="20"/>
                <w:szCs w:val="20"/>
              </w:rPr>
            </w:pPr>
            <w:r w:rsidRPr="00A90625">
              <w:rPr>
                <w:rFonts w:ascii="Arial" w:eastAsia="Times New Roman" w:hAnsi="Arial" w:cs="Arial"/>
                <w:color w:val="222222"/>
                <w:sz w:val="20"/>
                <w:szCs w:val="20"/>
              </w:rPr>
              <w:t>1.13</w:t>
            </w:r>
          </w:p>
        </w:tc>
        <w:tc>
          <w:tcPr>
            <w:tcW w:w="0" w:type="auto"/>
            <w:hideMark/>
          </w:tcPr>
          <w:p w14:paraId="4159D50A" w14:textId="77777777" w:rsidR="00A90625" w:rsidRPr="00A90625" w:rsidRDefault="00A90625" w:rsidP="00A90625">
            <w:pPr>
              <w:jc w:val="center"/>
              <w:rPr>
                <w:rFonts w:ascii="Arial" w:eastAsia="Times New Roman" w:hAnsi="Arial" w:cs="Arial"/>
                <w:color w:val="222222"/>
                <w:sz w:val="20"/>
                <w:szCs w:val="20"/>
              </w:rPr>
            </w:pPr>
            <w:r w:rsidRPr="00A90625">
              <w:rPr>
                <w:rFonts w:ascii="Arial" w:eastAsia="Times New Roman" w:hAnsi="Arial" w:cs="Arial"/>
                <w:color w:val="222222"/>
                <w:sz w:val="20"/>
                <w:szCs w:val="20"/>
              </w:rPr>
              <w:t>1.19</w:t>
            </w:r>
          </w:p>
        </w:tc>
        <w:tc>
          <w:tcPr>
            <w:tcW w:w="0" w:type="auto"/>
            <w:hideMark/>
          </w:tcPr>
          <w:p w14:paraId="2E4EC856" w14:textId="77777777" w:rsidR="00A90625" w:rsidRPr="00A90625" w:rsidRDefault="00A90625" w:rsidP="00A90625">
            <w:pPr>
              <w:jc w:val="center"/>
              <w:rPr>
                <w:rFonts w:ascii="Arial" w:eastAsia="Times New Roman" w:hAnsi="Arial" w:cs="Arial"/>
                <w:color w:val="222222"/>
                <w:sz w:val="20"/>
                <w:szCs w:val="20"/>
              </w:rPr>
            </w:pPr>
            <w:r w:rsidRPr="00A90625">
              <w:rPr>
                <w:rFonts w:ascii="Arial" w:eastAsia="Times New Roman" w:hAnsi="Arial" w:cs="Arial"/>
                <w:color w:val="222222"/>
                <w:sz w:val="20"/>
                <w:szCs w:val="20"/>
              </w:rPr>
              <w:t>1.02</w:t>
            </w:r>
          </w:p>
        </w:tc>
        <w:tc>
          <w:tcPr>
            <w:tcW w:w="0" w:type="auto"/>
            <w:hideMark/>
          </w:tcPr>
          <w:p w14:paraId="1F684DB5" w14:textId="77777777" w:rsidR="00A90625" w:rsidRPr="00A90625" w:rsidRDefault="00A90625" w:rsidP="00A90625">
            <w:pPr>
              <w:jc w:val="center"/>
              <w:rPr>
                <w:rFonts w:ascii="Arial" w:eastAsia="Times New Roman" w:hAnsi="Arial" w:cs="Arial"/>
                <w:color w:val="222222"/>
                <w:sz w:val="20"/>
                <w:szCs w:val="20"/>
              </w:rPr>
            </w:pPr>
            <w:r w:rsidRPr="00A90625">
              <w:rPr>
                <w:rFonts w:ascii="Arial" w:eastAsia="Times New Roman" w:hAnsi="Arial" w:cs="Arial"/>
                <w:color w:val="222222"/>
                <w:sz w:val="20"/>
                <w:szCs w:val="20"/>
              </w:rPr>
              <w:t>1.08</w:t>
            </w:r>
          </w:p>
        </w:tc>
      </w:tr>
      <w:tr w:rsidR="00395178" w:rsidRPr="00A90625" w14:paraId="562AB466" w14:textId="77777777" w:rsidTr="00395178">
        <w:tc>
          <w:tcPr>
            <w:tcW w:w="0" w:type="auto"/>
            <w:hideMark/>
          </w:tcPr>
          <w:p w14:paraId="7F465D79" w14:textId="77777777" w:rsidR="00395178" w:rsidRPr="00A90625" w:rsidRDefault="00395178" w:rsidP="00A90625">
            <w:pPr>
              <w:jc w:val="center"/>
              <w:rPr>
                <w:rFonts w:ascii="Arial" w:eastAsia="Times New Roman" w:hAnsi="Arial" w:cs="Arial"/>
                <w:color w:val="222222"/>
                <w:sz w:val="20"/>
                <w:szCs w:val="20"/>
              </w:rPr>
            </w:pPr>
            <w:r w:rsidRPr="00A90625">
              <w:rPr>
                <w:rFonts w:ascii="MathJax_Math-italic" w:eastAsia="Times New Roman" w:hAnsi="MathJax_Math-italic" w:cs="Arial"/>
                <w:color w:val="222222"/>
                <w:sz w:val="23"/>
                <w:szCs w:val="23"/>
                <w:bdr w:val="none" w:sz="0" w:space="0" w:color="auto" w:frame="1"/>
              </w:rPr>
              <w:t>ξ</w:t>
            </w:r>
          </w:p>
        </w:tc>
        <w:tc>
          <w:tcPr>
            <w:tcW w:w="0" w:type="auto"/>
            <w:hideMark/>
          </w:tcPr>
          <w:p w14:paraId="44077D67" w14:textId="77777777" w:rsidR="00395178" w:rsidRPr="00A90625" w:rsidRDefault="00395178" w:rsidP="00A90625">
            <w:pPr>
              <w:jc w:val="center"/>
              <w:rPr>
                <w:rFonts w:ascii="Arial" w:eastAsia="Times New Roman" w:hAnsi="Arial" w:cs="Arial"/>
                <w:color w:val="222222"/>
                <w:sz w:val="20"/>
                <w:szCs w:val="20"/>
              </w:rPr>
            </w:pPr>
            <w:r w:rsidRPr="00A90625">
              <w:rPr>
                <w:rFonts w:ascii="Arial" w:eastAsia="Times New Roman" w:hAnsi="Arial" w:cs="Arial"/>
                <w:color w:val="222222"/>
                <w:sz w:val="20"/>
                <w:szCs w:val="20"/>
              </w:rPr>
              <w:t>4.8</w:t>
            </w:r>
          </w:p>
        </w:tc>
        <w:tc>
          <w:tcPr>
            <w:tcW w:w="0" w:type="auto"/>
          </w:tcPr>
          <w:p w14:paraId="497CDDD2" w14:textId="40ACE62F" w:rsidR="00395178" w:rsidRPr="00A90625" w:rsidRDefault="00395178" w:rsidP="00A90625">
            <w:pPr>
              <w:jc w:val="center"/>
              <w:rPr>
                <w:rFonts w:ascii="Arial" w:eastAsia="Times New Roman" w:hAnsi="Arial" w:cs="Arial"/>
                <w:color w:val="222222"/>
                <w:sz w:val="20"/>
                <w:szCs w:val="20"/>
              </w:rPr>
            </w:pPr>
          </w:p>
        </w:tc>
        <w:tc>
          <w:tcPr>
            <w:tcW w:w="0" w:type="auto"/>
            <w:hideMark/>
          </w:tcPr>
          <w:p w14:paraId="643D6830" w14:textId="77777777" w:rsidR="00395178" w:rsidRPr="00A90625" w:rsidRDefault="00395178" w:rsidP="00A90625">
            <w:pPr>
              <w:jc w:val="center"/>
              <w:rPr>
                <w:rFonts w:ascii="Arial" w:eastAsia="Times New Roman" w:hAnsi="Arial" w:cs="Arial"/>
                <w:color w:val="222222"/>
                <w:sz w:val="20"/>
                <w:szCs w:val="20"/>
              </w:rPr>
            </w:pPr>
            <w:r w:rsidRPr="00A90625">
              <w:rPr>
                <w:rFonts w:ascii="Arial" w:eastAsia="Times New Roman" w:hAnsi="Arial" w:cs="Arial"/>
                <w:color w:val="222222"/>
                <w:sz w:val="20"/>
                <w:szCs w:val="20"/>
              </w:rPr>
              <w:t>7.9</w:t>
            </w:r>
          </w:p>
        </w:tc>
        <w:tc>
          <w:tcPr>
            <w:tcW w:w="0" w:type="auto"/>
          </w:tcPr>
          <w:p w14:paraId="5656ACA9" w14:textId="3D363935" w:rsidR="00395178" w:rsidRPr="00A90625" w:rsidRDefault="00395178" w:rsidP="00A90625">
            <w:pPr>
              <w:jc w:val="center"/>
              <w:rPr>
                <w:rFonts w:ascii="Arial" w:eastAsia="Times New Roman" w:hAnsi="Arial" w:cs="Arial"/>
                <w:color w:val="222222"/>
                <w:sz w:val="20"/>
                <w:szCs w:val="20"/>
              </w:rPr>
            </w:pPr>
          </w:p>
        </w:tc>
      </w:tr>
    </w:tbl>
    <w:p w14:paraId="31066DC8" w14:textId="5ECA2CD3" w:rsidR="00287AF0" w:rsidRPr="00287AF0" w:rsidRDefault="00287AF0" w:rsidP="00287AF0"/>
    <w:p w14:paraId="5EAE5D1C" w14:textId="543F7314" w:rsidR="00287AF0" w:rsidRPr="00287AF0" w:rsidRDefault="00287AF0" w:rsidP="00287AF0">
      <w:r w:rsidRPr="00287AF0">
        <w:t>These experimentally measured rate coefficients suggest the presence of three definite isotope related phenomena, namely (see </w:t>
      </w:r>
      <w:r w:rsidRPr="00AD482D">
        <w:rPr>
          <w:b/>
          <w:bCs/>
        </w:rPr>
        <w:t>Table 1</w:t>
      </w:r>
      <w:r w:rsidRPr="00287AF0">
        <w:t>):</w:t>
      </w:r>
    </w:p>
    <w:p w14:paraId="6C154B94" w14:textId="440D3343" w:rsidR="00287AF0" w:rsidRPr="00287AF0" w:rsidRDefault="00287AF0" w:rsidP="0004686F">
      <w:pPr>
        <w:spacing w:after="0"/>
        <w:ind w:left="1440" w:hanging="720"/>
      </w:pPr>
      <w:r w:rsidRPr="00287AF0">
        <w:t>(1)</w:t>
      </w:r>
      <w:r w:rsidR="003F3B84">
        <w:t xml:space="preserve"> </w:t>
      </w:r>
      <w:r w:rsidRPr="00287AF0">
        <w:t xml:space="preserve">Quantum </w:t>
      </w:r>
      <m:oMath>
        <m:r>
          <m:rPr>
            <m:sty m:val="p"/>
          </m:rPr>
          <w:rPr>
            <w:rFonts w:ascii="Cambria Math" w:hAnsi="Cambria Math"/>
          </w:rPr>
          <m:t>ΔZPE</m:t>
        </m:r>
      </m:oMath>
      <w:r w:rsidR="00D32CB1" w:rsidRPr="00287AF0">
        <w:t xml:space="preserve"> </w:t>
      </w:r>
      <w:r w:rsidRPr="00287AF0">
        <w:t xml:space="preserve">-effect, responsible for large difference, about 60%, between </w:t>
      </w:r>
      <m:oMath>
        <m:sSub>
          <m:sSubPr>
            <m:ctrlPr>
              <w:rPr>
                <w:rFonts w:ascii="Cambria Math" w:hAnsi="Cambria Math"/>
                <w:i/>
              </w:rPr>
            </m:ctrlPr>
          </m:sSubPr>
          <m:e>
            <m:r>
              <w:rPr>
                <w:rFonts w:ascii="Cambria Math" w:hAnsi="Cambria Math"/>
              </w:rPr>
              <m:t>2</m:t>
            </m:r>
            <m:r>
              <w:rPr>
                <w:rFonts w:ascii="Cambria Math" w:hAnsi="Cambria Math"/>
              </w:rPr>
              <m:t>κ</m:t>
            </m:r>
          </m:e>
          <m:sub>
            <m:r>
              <w:rPr>
                <w:rFonts w:ascii="Cambria Math" w:hAnsi="Cambria Math"/>
                <w:vertAlign w:val="subscript"/>
              </w:rPr>
              <m:t>Α</m:t>
            </m:r>
          </m:sub>
        </m:sSub>
      </m:oMath>
      <w:r w:rsidRPr="00287AF0">
        <w:t> and </w:t>
      </w:r>
      <m:oMath>
        <m:sSub>
          <m:sSubPr>
            <m:ctrlPr>
              <w:rPr>
                <w:rFonts w:ascii="Cambria Math" w:hAnsi="Cambria Math"/>
                <w:i/>
                <w:iCs/>
              </w:rPr>
            </m:ctrlPr>
          </m:sSubPr>
          <m:e>
            <m:r>
              <w:rPr>
                <w:rFonts w:ascii="Cambria Math" w:hAnsi="Cambria Math"/>
              </w:rPr>
              <m:t>κ</m:t>
            </m:r>
          </m:e>
          <m:sub>
            <m:r>
              <w:rPr>
                <w:rFonts w:ascii="Cambria Math" w:hAnsi="Cambria Math"/>
                <w:vertAlign w:val="subscript"/>
              </w:rPr>
              <m:t>B</m:t>
            </m:r>
          </m:sub>
        </m:sSub>
      </m:oMath>
      <w:r w:rsidRPr="00287AF0">
        <w:t> of the pathways </w:t>
      </w:r>
      <w:r w:rsidRPr="00287AF0">
        <w:rPr>
          <w:i/>
          <w:iCs/>
        </w:rPr>
        <w:t>A</w:t>
      </w:r>
      <w:r w:rsidRPr="00287AF0">
        <w:t> and </w:t>
      </w:r>
      <w:r w:rsidRPr="00287AF0">
        <w:rPr>
          <w:i/>
          <w:iCs/>
        </w:rPr>
        <w:t>B</w:t>
      </w:r>
      <w:r w:rsidRPr="00287AF0">
        <w:t> that are just slightly endo/exothermic (one with respect to another). This phenomenon will be named </w:t>
      </w:r>
      <w:r w:rsidRPr="00287AF0">
        <w:rPr>
          <w:i/>
          <w:iCs/>
        </w:rPr>
        <w:t>ζ</w:t>
      </w:r>
      <w:r w:rsidRPr="00287AF0">
        <w:t>-effect.</w:t>
      </w:r>
    </w:p>
    <w:p w14:paraId="38B8A389" w14:textId="0F945031" w:rsidR="00287AF0" w:rsidRPr="00287AF0" w:rsidRDefault="00287AF0" w:rsidP="0004686F">
      <w:pPr>
        <w:spacing w:after="0"/>
        <w:ind w:left="1440" w:hanging="720"/>
      </w:pPr>
      <w:r w:rsidRPr="00287AF0">
        <w:t>(2)</w:t>
      </w:r>
      <w:r w:rsidR="003F3B84">
        <w:t xml:space="preserve"> </w:t>
      </w:r>
      <w:r w:rsidRPr="00287AF0">
        <w:t>Symmetry-driven η-effect [</w:t>
      </w:r>
      <w:r w:rsidRPr="00AD482D">
        <w:rPr>
          <w:b/>
          <w:bCs/>
        </w:rPr>
        <w:t>1</w:t>
      </w:r>
      <w:r w:rsidRPr="00287AF0">
        <w:t>,</w:t>
      </w:r>
      <w:r w:rsidRPr="00AD482D">
        <w:rPr>
          <w:b/>
          <w:bCs/>
        </w:rPr>
        <w:t>10</w:t>
      </w:r>
      <w:r w:rsidRPr="00287AF0">
        <w:t>,</w:t>
      </w:r>
      <w:r w:rsidRPr="00AD482D">
        <w:rPr>
          <w:b/>
          <w:bCs/>
        </w:rPr>
        <w:t>11</w:t>
      </w:r>
      <w:r w:rsidRPr="00287AF0">
        <w:t>,</w:t>
      </w:r>
      <w:r w:rsidRPr="00AD482D">
        <w:rPr>
          <w:b/>
          <w:bCs/>
        </w:rPr>
        <w:t>12</w:t>
      </w:r>
      <w:r w:rsidRPr="00287AF0">
        <w:t>], that favors formation of asymmetric molecules, </w:t>
      </w:r>
      <w:r w:rsidRPr="00287AF0">
        <w:rPr>
          <w:vertAlign w:val="superscript"/>
        </w:rPr>
        <w:t>16</w:t>
      </w:r>
      <w:r w:rsidRPr="00287AF0">
        <w:t>O</w:t>
      </w:r>
      <w:r w:rsidRPr="00287AF0">
        <w:rPr>
          <w:vertAlign w:val="superscript"/>
        </w:rPr>
        <w:t>16</w:t>
      </w:r>
      <w:r w:rsidRPr="00287AF0">
        <w:t>O</w:t>
      </w:r>
      <w:r w:rsidRPr="00287AF0">
        <w:rPr>
          <w:vertAlign w:val="superscript"/>
        </w:rPr>
        <w:t>18</w:t>
      </w:r>
      <w:r w:rsidRPr="00287AF0">
        <w:t>O and </w:t>
      </w:r>
      <w:r w:rsidRPr="00287AF0">
        <w:rPr>
          <w:vertAlign w:val="superscript"/>
        </w:rPr>
        <w:t>16</w:t>
      </w:r>
      <w:r w:rsidRPr="00287AF0">
        <w:t>O</w:t>
      </w:r>
      <w:r w:rsidRPr="00287AF0">
        <w:rPr>
          <w:vertAlign w:val="superscript"/>
        </w:rPr>
        <w:t>18</w:t>
      </w:r>
      <w:r w:rsidRPr="00287AF0">
        <w:t>O</w:t>
      </w:r>
      <w:r w:rsidRPr="00287AF0">
        <w:rPr>
          <w:vertAlign w:val="superscript"/>
        </w:rPr>
        <w:t>18</w:t>
      </w:r>
      <w:r w:rsidRPr="00287AF0">
        <w:t>O, compared to the symmetric ones, </w:t>
      </w:r>
      <w:r w:rsidRPr="00287AF0">
        <w:rPr>
          <w:vertAlign w:val="superscript"/>
        </w:rPr>
        <w:t>16</w:t>
      </w:r>
      <w:r w:rsidRPr="00287AF0">
        <w:t>O</w:t>
      </w:r>
      <w:r w:rsidRPr="00287AF0">
        <w:rPr>
          <w:vertAlign w:val="superscript"/>
        </w:rPr>
        <w:t>18</w:t>
      </w:r>
      <w:r w:rsidRPr="00287AF0">
        <w:t>O</w:t>
      </w:r>
      <w:r w:rsidRPr="00287AF0">
        <w:rPr>
          <w:vertAlign w:val="superscript"/>
        </w:rPr>
        <w:t>16</w:t>
      </w:r>
      <w:r w:rsidRPr="00287AF0">
        <w:t>O and </w:t>
      </w:r>
      <w:r w:rsidRPr="00287AF0">
        <w:rPr>
          <w:vertAlign w:val="superscript"/>
        </w:rPr>
        <w:t>18</w:t>
      </w:r>
      <w:r w:rsidRPr="00287AF0">
        <w:t>O</w:t>
      </w:r>
      <w:r w:rsidRPr="00287AF0">
        <w:rPr>
          <w:vertAlign w:val="superscript"/>
        </w:rPr>
        <w:t>16</w:t>
      </w:r>
      <w:r w:rsidRPr="00287AF0">
        <w:t>O</w:t>
      </w:r>
      <w:r w:rsidRPr="00287AF0">
        <w:rPr>
          <w:vertAlign w:val="superscript"/>
        </w:rPr>
        <w:t>18</w:t>
      </w:r>
      <w:r w:rsidRPr="00287AF0">
        <w:t xml:space="preserve">O, by about </w:t>
      </w:r>
      <w:proofErr w:type="gramStart"/>
      <w:r w:rsidRPr="00287AF0">
        <w:t>16%;</w:t>
      </w:r>
      <w:proofErr w:type="gramEnd"/>
    </w:p>
    <w:p w14:paraId="5F9D99FE" w14:textId="0FD3BF17" w:rsidR="00287AF0" w:rsidRPr="00287AF0" w:rsidRDefault="00287AF0" w:rsidP="0004686F">
      <w:pPr>
        <w:spacing w:after="0"/>
        <w:ind w:left="1440" w:hanging="720"/>
      </w:pPr>
      <w:r w:rsidRPr="00287AF0">
        <w:t>(3)</w:t>
      </w:r>
      <w:r w:rsidR="003F3B84">
        <w:t xml:space="preserve"> </w:t>
      </w:r>
      <w:r w:rsidRPr="00287AF0">
        <w:t>Very large difference, by a factor of ~5, between the insertion rate coefficients </w:t>
      </w:r>
      <m:oMath>
        <m:sSub>
          <m:sSubPr>
            <m:ctrlPr>
              <w:rPr>
                <w:rFonts w:ascii="Cambria Math" w:eastAsia="Times New Roman" w:hAnsi="Cambria Math" w:cs="Arial"/>
                <w:i/>
                <w:color w:val="222222"/>
                <w:sz w:val="23"/>
                <w:szCs w:val="23"/>
                <w:bdr w:val="none" w:sz="0" w:space="0" w:color="auto" w:frame="1"/>
              </w:rPr>
            </m:ctrlPr>
          </m:sSubPr>
          <m:e>
            <m:r>
              <w:rPr>
                <w:rFonts w:ascii="Cambria Math" w:eastAsia="Times New Roman" w:hAnsi="Cambria Math" w:cs="Arial"/>
                <w:color w:val="222222"/>
                <w:sz w:val="23"/>
                <w:szCs w:val="23"/>
                <w:bdr w:val="none" w:sz="0" w:space="0" w:color="auto" w:frame="1"/>
              </w:rPr>
              <m:t>κ</m:t>
            </m:r>
          </m:e>
          <m:sub>
            <m:r>
              <w:rPr>
                <w:rFonts w:ascii="Cambria Math" w:eastAsia="Times New Roman" w:hAnsi="Cambria Math" w:cs="Arial"/>
                <w:color w:val="222222"/>
                <w:sz w:val="23"/>
                <w:szCs w:val="23"/>
                <w:bdr w:val="none" w:sz="0" w:space="0" w:color="auto" w:frame="1"/>
              </w:rPr>
              <m:t>I</m:t>
            </m:r>
          </m:sub>
        </m:sSub>
      </m:oMath>
      <w:r w:rsidRPr="00287AF0">
        <w:t> in the singly and doubly substituted cases [</w:t>
      </w:r>
      <w:r w:rsidRPr="00AD482D">
        <w:rPr>
          <w:b/>
          <w:bCs/>
        </w:rPr>
        <w:t>1</w:t>
      </w:r>
      <w:r w:rsidRPr="00287AF0">
        <w:t>]. Here we will call it ξ-effect.</w:t>
      </w:r>
    </w:p>
    <w:p w14:paraId="6B5E95E1" w14:textId="77777777" w:rsidR="003F3B84" w:rsidRDefault="003F3B84" w:rsidP="00287AF0"/>
    <w:p w14:paraId="3C297E97" w14:textId="1C19B4EB" w:rsidR="00287AF0" w:rsidRPr="00287AF0" w:rsidRDefault="00287AF0" w:rsidP="00287AF0">
      <w:r w:rsidRPr="00287AF0">
        <w:t>The first two effects received a lot of attention from the theory community [</w:t>
      </w:r>
      <w:r w:rsidRPr="00AD482D">
        <w:rPr>
          <w:b/>
          <w:bCs/>
        </w:rPr>
        <w:t>13</w:t>
      </w:r>
      <w:r w:rsidRPr="00287AF0">
        <w:t>,</w:t>
      </w:r>
      <w:r w:rsidRPr="00AD482D">
        <w:rPr>
          <w:b/>
          <w:bCs/>
        </w:rPr>
        <w:t>14</w:t>
      </w:r>
      <w:r w:rsidRPr="00287AF0">
        <w:t>,</w:t>
      </w:r>
      <w:r w:rsidRPr="00AD482D">
        <w:rPr>
          <w:b/>
          <w:bCs/>
        </w:rPr>
        <w:t>15</w:t>
      </w:r>
      <w:r w:rsidRPr="00287AF0">
        <w:t>,</w:t>
      </w:r>
      <w:r w:rsidRPr="00AD482D">
        <w:rPr>
          <w:b/>
          <w:bCs/>
        </w:rPr>
        <w:t>16</w:t>
      </w:r>
      <w:r w:rsidRPr="00287AF0">
        <w:t>,</w:t>
      </w:r>
      <w:r w:rsidRPr="00AD482D">
        <w:rPr>
          <w:b/>
          <w:bCs/>
        </w:rPr>
        <w:t>17</w:t>
      </w:r>
      <w:r w:rsidRPr="00287AF0">
        <w:t>,</w:t>
      </w:r>
      <w:r w:rsidRPr="00AD482D">
        <w:rPr>
          <w:b/>
          <w:bCs/>
        </w:rPr>
        <w:t>18</w:t>
      </w:r>
      <w:r w:rsidRPr="00287AF0">
        <w:t>,</w:t>
      </w:r>
      <w:r w:rsidRPr="00AD482D">
        <w:rPr>
          <w:b/>
          <w:bCs/>
        </w:rPr>
        <w:t>19</w:t>
      </w:r>
      <w:r w:rsidRPr="00287AF0">
        <w:t>,</w:t>
      </w:r>
      <w:r w:rsidRPr="00AD482D">
        <w:rPr>
          <w:b/>
          <w:bCs/>
        </w:rPr>
        <w:t>20</w:t>
      </w:r>
      <w:r w:rsidRPr="00287AF0">
        <w:t>,</w:t>
      </w:r>
      <w:r w:rsidRPr="00AD482D">
        <w:rPr>
          <w:b/>
          <w:bCs/>
        </w:rPr>
        <w:t>21</w:t>
      </w:r>
      <w:r w:rsidRPr="00287AF0">
        <w:t>,</w:t>
      </w:r>
      <w:r w:rsidRPr="00AD482D">
        <w:rPr>
          <w:b/>
          <w:bCs/>
        </w:rPr>
        <w:t>22</w:t>
      </w:r>
      <w:r w:rsidRPr="00287AF0">
        <w:t>,</w:t>
      </w:r>
      <w:r w:rsidRPr="00AD482D">
        <w:rPr>
          <w:b/>
          <w:bCs/>
        </w:rPr>
        <w:t>23</w:t>
      </w:r>
      <w:r w:rsidRPr="00287AF0">
        <w:t>,</w:t>
      </w:r>
      <w:r w:rsidRPr="00AD482D">
        <w:rPr>
          <w:b/>
          <w:bCs/>
        </w:rPr>
        <w:t>24</w:t>
      </w:r>
      <w:r w:rsidRPr="00287AF0">
        <w:t xml:space="preserve">]. First, the large </w:t>
      </w:r>
      <m:oMath>
        <m:r>
          <m:rPr>
            <m:sty m:val="p"/>
          </m:rPr>
          <w:rPr>
            <w:rFonts w:ascii="Cambria Math" w:hAnsi="Cambria Math"/>
          </w:rPr>
          <m:t>ΔZPE</m:t>
        </m:r>
      </m:oMath>
      <w:r w:rsidR="00D32CB1" w:rsidRPr="00287AF0">
        <w:t xml:space="preserve"> </w:t>
      </w:r>
      <w:r w:rsidRPr="00287AF0">
        <w:t>-effect was shown to originate from quantum mechanics [</w:t>
      </w:r>
      <w:r w:rsidRPr="00AD482D">
        <w:rPr>
          <w:b/>
          <w:bCs/>
        </w:rPr>
        <w:t>14</w:t>
      </w:r>
      <w:r w:rsidRPr="00287AF0">
        <w:t>,</w:t>
      </w:r>
      <w:r w:rsidRPr="00AD482D">
        <w:rPr>
          <w:b/>
          <w:bCs/>
        </w:rPr>
        <w:t>15</w:t>
      </w:r>
      <w:r w:rsidRPr="00287AF0">
        <w:t>,</w:t>
      </w:r>
      <w:r w:rsidRPr="00AD482D">
        <w:rPr>
          <w:b/>
          <w:bCs/>
        </w:rPr>
        <w:t>16</w:t>
      </w:r>
      <w:r w:rsidRPr="00287AF0">
        <w:t>] and thus is fundamentally important for our understanding of the chemical reaction rate laws in general. Nowadays this phenomenon is understood relatively well [</w:t>
      </w:r>
      <w:r w:rsidRPr="00AD482D">
        <w:rPr>
          <w:b/>
          <w:bCs/>
        </w:rPr>
        <w:t>17</w:t>
      </w:r>
      <w:r w:rsidRPr="00287AF0">
        <w:t>,</w:t>
      </w:r>
      <w:r w:rsidRPr="00AD482D">
        <w:rPr>
          <w:b/>
          <w:bCs/>
        </w:rPr>
        <w:t>20</w:t>
      </w:r>
      <w:r w:rsidRPr="00287AF0">
        <w:t>,</w:t>
      </w:r>
      <w:r w:rsidRPr="00AD482D">
        <w:rPr>
          <w:b/>
          <w:bCs/>
        </w:rPr>
        <w:t>21</w:t>
      </w:r>
      <w:r w:rsidRPr="00287AF0">
        <w:t>,</w:t>
      </w:r>
      <w:r w:rsidRPr="00AD482D">
        <w:rPr>
          <w:b/>
          <w:bCs/>
        </w:rPr>
        <w:t>22</w:t>
      </w:r>
      <w:r w:rsidRPr="00287AF0">
        <w:t>] and will naturally emerge as a part of the theory developed below. The symmetry-driven η-effect, practically important for atmospheric chemistry [</w:t>
      </w:r>
      <w:r w:rsidRPr="00AD482D">
        <w:rPr>
          <w:b/>
          <w:bCs/>
        </w:rPr>
        <w:t>6</w:t>
      </w:r>
      <w:r w:rsidRPr="00287AF0">
        <w:t>,</w:t>
      </w:r>
      <w:r w:rsidRPr="00AD482D">
        <w:rPr>
          <w:b/>
          <w:bCs/>
        </w:rPr>
        <w:t>12</w:t>
      </w:r>
      <w:r w:rsidRPr="00287AF0">
        <w:t>], remains mysterious, despite of significant efforts dedicated to finding its origin [</w:t>
      </w:r>
      <w:r w:rsidRPr="00AD482D">
        <w:rPr>
          <w:b/>
          <w:bCs/>
        </w:rPr>
        <w:t>18</w:t>
      </w:r>
      <w:r w:rsidRPr="00287AF0">
        <w:t>,</w:t>
      </w:r>
      <w:r w:rsidRPr="00AD482D">
        <w:rPr>
          <w:b/>
          <w:bCs/>
        </w:rPr>
        <w:t>19</w:t>
      </w:r>
      <w:r w:rsidRPr="00287AF0">
        <w:t>,</w:t>
      </w:r>
      <w:r w:rsidRPr="00AD482D">
        <w:rPr>
          <w:b/>
          <w:bCs/>
        </w:rPr>
        <w:t>20</w:t>
      </w:r>
      <w:r w:rsidRPr="00287AF0">
        <w:t>,</w:t>
      </w:r>
      <w:r w:rsidRPr="00AD482D">
        <w:rPr>
          <w:b/>
          <w:bCs/>
        </w:rPr>
        <w:t>21</w:t>
      </w:r>
      <w:r w:rsidRPr="00287AF0">
        <w:t>,</w:t>
      </w:r>
      <w:r w:rsidRPr="00AD482D">
        <w:rPr>
          <w:b/>
          <w:bCs/>
        </w:rPr>
        <w:t>22</w:t>
      </w:r>
      <w:r w:rsidRPr="00287AF0">
        <w:t>,</w:t>
      </w:r>
      <w:r w:rsidRPr="00AD482D">
        <w:rPr>
          <w:b/>
          <w:bCs/>
        </w:rPr>
        <w:t>23</w:t>
      </w:r>
      <w:r w:rsidRPr="00287AF0">
        <w:t>,</w:t>
      </w:r>
      <w:r w:rsidRPr="00AD482D">
        <w:rPr>
          <w:b/>
          <w:bCs/>
        </w:rPr>
        <w:t>24</w:t>
      </w:r>
      <w:r w:rsidRPr="00287AF0">
        <w:t xml:space="preserve">]. One of the goals of this work is to develop theoretical grounds for the description of this effect (although at present time we cannot say that we entirely understand it). In sharp contrast with the first two phenomena, the third and the largest isotope effect, related to the insertion pathway in singly and doubly substituted </w:t>
      </w:r>
      <w:proofErr w:type="spellStart"/>
      <w:r w:rsidRPr="00287AF0">
        <w:t>isotopologues</w:t>
      </w:r>
      <w:proofErr w:type="spellEnd"/>
      <w:r w:rsidRPr="00287AF0">
        <w:t>, has never been discussed in the literature.</w:t>
      </w:r>
    </w:p>
    <w:p w14:paraId="1EEA2E1D" w14:textId="22466116" w:rsidR="00287AF0" w:rsidRPr="00287AF0" w:rsidRDefault="00287AF0" w:rsidP="00287AF0">
      <w:r w:rsidRPr="00287AF0">
        <w:t>Indeed, the rate coefficient </w:t>
      </w:r>
      <m:oMath>
        <m:sSub>
          <m:sSubPr>
            <m:ctrlPr>
              <w:rPr>
                <w:rFonts w:ascii="Cambria Math" w:eastAsia="Times New Roman" w:hAnsi="Cambria Math" w:cs="Arial"/>
                <w:i/>
                <w:color w:val="222222"/>
                <w:sz w:val="23"/>
                <w:szCs w:val="23"/>
                <w:bdr w:val="none" w:sz="0" w:space="0" w:color="auto" w:frame="1"/>
              </w:rPr>
            </m:ctrlPr>
          </m:sSubPr>
          <m:e>
            <m:r>
              <w:rPr>
                <w:rFonts w:ascii="Cambria Math" w:eastAsia="Times New Roman" w:hAnsi="Cambria Math" w:cs="Arial"/>
                <w:color w:val="222222"/>
                <w:sz w:val="23"/>
                <w:szCs w:val="23"/>
                <w:bdr w:val="none" w:sz="0" w:space="0" w:color="auto" w:frame="1"/>
              </w:rPr>
              <m:t>κ</m:t>
            </m:r>
          </m:e>
          <m:sub>
            <m:r>
              <w:rPr>
                <w:rFonts w:ascii="Cambria Math" w:eastAsia="Times New Roman" w:hAnsi="Cambria Math" w:cs="Arial"/>
                <w:color w:val="222222"/>
                <w:sz w:val="23"/>
                <w:szCs w:val="23"/>
                <w:bdr w:val="none" w:sz="0" w:space="0" w:color="auto" w:frame="1"/>
              </w:rPr>
              <m:t>I</m:t>
            </m:r>
          </m:sub>
        </m:sSub>
      </m:oMath>
      <w:r w:rsidRPr="00287AF0">
        <w:t> of insertion has never been computed theoretically by anyone. One reason for this is that in the experiment the values of </w:t>
      </w:r>
      <m:oMath>
        <m:sSub>
          <m:sSubPr>
            <m:ctrlPr>
              <w:rPr>
                <w:rFonts w:ascii="Cambria Math" w:eastAsia="Times New Roman" w:hAnsi="Cambria Math" w:cs="Arial"/>
                <w:i/>
                <w:color w:val="222222"/>
                <w:sz w:val="23"/>
                <w:szCs w:val="23"/>
                <w:bdr w:val="none" w:sz="0" w:space="0" w:color="auto" w:frame="1"/>
              </w:rPr>
            </m:ctrlPr>
          </m:sSubPr>
          <m:e>
            <m:r>
              <w:rPr>
                <w:rFonts w:ascii="Cambria Math" w:eastAsia="Times New Roman" w:hAnsi="Cambria Math" w:cs="Arial"/>
                <w:color w:val="222222"/>
                <w:sz w:val="23"/>
                <w:szCs w:val="23"/>
                <w:bdr w:val="none" w:sz="0" w:space="0" w:color="auto" w:frame="1"/>
              </w:rPr>
              <m:t>κ</m:t>
            </m:r>
          </m:e>
          <m:sub>
            <m:r>
              <w:rPr>
                <w:rFonts w:ascii="Cambria Math" w:eastAsia="Times New Roman" w:hAnsi="Cambria Math" w:cs="Arial"/>
                <w:color w:val="222222"/>
                <w:sz w:val="23"/>
                <w:szCs w:val="23"/>
                <w:bdr w:val="none" w:sz="0" w:space="0" w:color="auto" w:frame="1"/>
              </w:rPr>
              <m:t>I</m:t>
            </m:r>
          </m:sub>
        </m:sSub>
      </m:oMath>
      <w:r w:rsidRPr="00287AF0">
        <w:t> are smaller than those of </w:t>
      </w:r>
      <m:oMath>
        <m:sSub>
          <m:sSubPr>
            <m:ctrlPr>
              <w:rPr>
                <w:rFonts w:ascii="Cambria Math" w:hAnsi="Cambria Math"/>
                <w:i/>
                <w:iCs/>
              </w:rPr>
            </m:ctrlPr>
          </m:sSubPr>
          <m:e>
            <m:r>
              <w:rPr>
                <w:rFonts w:ascii="Cambria Math" w:hAnsi="Cambria Math"/>
              </w:rPr>
              <m:t>κ</m:t>
            </m:r>
          </m:e>
          <m:sub>
            <m:r>
              <w:rPr>
                <w:rFonts w:ascii="Cambria Math" w:hAnsi="Cambria Math"/>
                <w:vertAlign w:val="subscript"/>
              </w:rPr>
              <m:t>Α</m:t>
            </m:r>
          </m:sub>
        </m:sSub>
      </m:oMath>
      <w:r w:rsidRPr="00287AF0">
        <w:rPr>
          <w:i/>
          <w:iCs/>
        </w:rPr>
        <w:t>,</w:t>
      </w:r>
      <w:r w:rsidRPr="00287AF0">
        <w:t> </w:t>
      </w:r>
      <m:oMath>
        <m:sSub>
          <m:sSubPr>
            <m:ctrlPr>
              <w:rPr>
                <w:rFonts w:ascii="Cambria Math" w:hAnsi="Cambria Math"/>
                <w:i/>
                <w:iCs/>
              </w:rPr>
            </m:ctrlPr>
          </m:sSubPr>
          <m:e>
            <m:r>
              <w:rPr>
                <w:rFonts w:ascii="Cambria Math" w:hAnsi="Cambria Math"/>
              </w:rPr>
              <m:t>κ</m:t>
            </m:r>
          </m:e>
          <m:sub>
            <m:r>
              <w:rPr>
                <w:rFonts w:ascii="Cambria Math" w:hAnsi="Cambria Math"/>
                <w:vertAlign w:val="subscript"/>
              </w:rPr>
              <m:t>B</m:t>
            </m:r>
          </m:sub>
        </m:sSub>
      </m:oMath>
      <w:r w:rsidRPr="00287AF0">
        <w:t> and </w:t>
      </w:r>
      <m:oMath>
        <m:sSub>
          <m:sSubPr>
            <m:ctrlPr>
              <w:rPr>
                <w:rFonts w:ascii="Cambria Math" w:hAnsi="Cambria Math"/>
                <w:i/>
                <w:iCs/>
              </w:rPr>
            </m:ctrlPr>
          </m:sSubPr>
          <m:e>
            <m:r>
              <w:rPr>
                <w:rFonts w:ascii="Cambria Math" w:hAnsi="Cambria Math"/>
              </w:rPr>
              <m:t>κ</m:t>
            </m:r>
          </m:e>
          <m:sub>
            <m:r>
              <w:rPr>
                <w:rFonts w:ascii="Cambria Math" w:hAnsi="Cambria Math"/>
                <w:vertAlign w:val="subscript"/>
              </w:rPr>
              <m:t>S</m:t>
            </m:r>
          </m:sub>
        </m:sSub>
      </m:oMath>
      <w:r w:rsidRPr="00287AF0">
        <w:t>, roughly, by two orders of magnitude [</w:t>
      </w:r>
      <w:r w:rsidRPr="00AD482D">
        <w:rPr>
          <w:b/>
          <w:bCs/>
        </w:rPr>
        <w:t>1</w:t>
      </w:r>
      <w:r w:rsidRPr="00287AF0">
        <w:t>], and therefore for theorists it is very tempting to neglect </w:t>
      </w:r>
      <m:oMath>
        <m:sSub>
          <m:sSubPr>
            <m:ctrlPr>
              <w:rPr>
                <w:rFonts w:ascii="Cambria Math" w:eastAsia="Times New Roman" w:hAnsi="Cambria Math" w:cs="Arial"/>
                <w:i/>
                <w:color w:val="222222"/>
                <w:sz w:val="23"/>
                <w:szCs w:val="23"/>
                <w:bdr w:val="none" w:sz="0" w:space="0" w:color="auto" w:frame="1"/>
              </w:rPr>
            </m:ctrlPr>
          </m:sSubPr>
          <m:e>
            <m:r>
              <w:rPr>
                <w:rFonts w:ascii="Cambria Math" w:eastAsia="Times New Roman" w:hAnsi="Cambria Math" w:cs="Arial"/>
                <w:color w:val="222222"/>
                <w:sz w:val="23"/>
                <w:szCs w:val="23"/>
                <w:bdr w:val="none" w:sz="0" w:space="0" w:color="auto" w:frame="1"/>
              </w:rPr>
              <m:t>κ</m:t>
            </m:r>
          </m:e>
          <m:sub>
            <m:r>
              <w:rPr>
                <w:rFonts w:ascii="Cambria Math" w:eastAsia="Times New Roman" w:hAnsi="Cambria Math" w:cs="Arial"/>
                <w:color w:val="222222"/>
                <w:sz w:val="23"/>
                <w:szCs w:val="23"/>
                <w:bdr w:val="none" w:sz="0" w:space="0" w:color="auto" w:frame="1"/>
              </w:rPr>
              <m:t>I</m:t>
            </m:r>
          </m:sub>
        </m:sSub>
      </m:oMath>
      <w:r w:rsidRPr="00287AF0">
        <w:t>. But then the relevant isotope effect is also lost. In this work we develop a theory that includes all pathways of ozone formation, without neglecting anything </w:t>
      </w:r>
      <w:r w:rsidRPr="00287AF0">
        <w:rPr>
          <w:i/>
          <w:iCs/>
        </w:rPr>
        <w:t>a priori</w:t>
      </w:r>
      <w:r w:rsidRPr="00287AF0">
        <w:t>.</w:t>
      </w:r>
    </w:p>
    <w:p w14:paraId="18F7DE69" w14:textId="4F0A25DA" w:rsidR="00287AF0" w:rsidRPr="00287AF0" w:rsidRDefault="00287AF0" w:rsidP="00287AF0">
      <w:r w:rsidRPr="00287AF0">
        <w:t>Another reason for the absence of any theoretical work on the insertion pathway is that this process is not a simple direct reaction. In the </w:t>
      </w:r>
      <w:r w:rsidRPr="00AD482D">
        <w:rPr>
          <w:b/>
          <w:bCs/>
        </w:rPr>
        <w:t>Figure 1</w:t>
      </w:r>
      <w:r w:rsidRPr="00287AF0">
        <w:t> above, for simplicity, this process is shown by a straight arrow but</w:t>
      </w:r>
      <w:proofErr w:type="gramStart"/>
      <w:r w:rsidRPr="00287AF0">
        <w:t>, in reality, the</w:t>
      </w:r>
      <w:proofErr w:type="gramEnd"/>
      <w:r w:rsidRPr="00287AF0">
        <w:t xml:space="preserve"> reaction path cannot cross the center of this figure (at any relevant temperature) since the PES is extremely repulsive in that part of the configuration space. The insertion path must be indirect, akin to the roaming mechanism [</w:t>
      </w:r>
      <w:r w:rsidRPr="00AD482D">
        <w:rPr>
          <w:b/>
          <w:bCs/>
        </w:rPr>
        <w:t>25</w:t>
      </w:r>
      <w:r w:rsidRPr="00287AF0">
        <w:t xml:space="preserve">], when the reagents enter through one channel, form an excited complex in the adjacent well, then roam through the other channel, isomerizing into the other well, where the second complex is formed and finally stabilized by bath gas collisions. For example, in the case of singly substituted </w:t>
      </w:r>
      <w:proofErr w:type="spellStart"/>
      <w:r w:rsidRPr="00287AF0">
        <w:t>isotopologue</w:t>
      </w:r>
      <w:proofErr w:type="spellEnd"/>
      <w:r w:rsidRPr="00287AF0">
        <w:t xml:space="preserve"> this process can be represented as:</w:t>
      </w:r>
    </w:p>
    <w:p w14:paraId="0F58F1F2" w14:textId="7C1C3014" w:rsidR="000B25A4" w:rsidRDefault="001C1785" w:rsidP="00287AF0">
      <m:oMathPara>
        <m:oMath>
          <m:sPre>
            <m:sPrePr>
              <m:ctrlPr>
                <w:rPr>
                  <w:rFonts w:ascii="Cambria Math" w:hAnsi="Cambria Math"/>
                </w:rPr>
              </m:ctrlPr>
            </m:sPrePr>
            <m:sub>
              <m:r>
                <w:rPr>
                  <w:rFonts w:ascii="Cambria Math" w:hAnsi="Cambria Math"/>
                </w:rPr>
                <m:t xml:space="preserve"> </m:t>
              </m:r>
            </m:sub>
            <m:sup>
              <m:r>
                <w:rPr>
                  <w:rFonts w:ascii="Cambria Math" w:hAnsi="Cambria Math"/>
                </w:rPr>
                <m:t>18</m:t>
              </m:r>
            </m:sup>
            <m:e>
              <m:r>
                <m:rPr>
                  <m:sty m:val="p"/>
                </m:rPr>
                <w:rPr>
                  <w:rFonts w:ascii="Cambria Math" w:hAnsi="Cambria Math"/>
                </w:rPr>
                <m:t>O</m:t>
              </m:r>
            </m:e>
          </m:sPre>
          <m:r>
            <w:rPr>
              <w:rFonts w:ascii="Cambria Math" w:hAnsi="Cambria Math"/>
            </w:rPr>
            <m:t>+</m:t>
          </m:r>
          <m:sPre>
            <m:sPrePr>
              <m:ctrlPr>
                <w:rPr>
                  <w:rFonts w:ascii="Cambria Math" w:hAnsi="Cambria Math"/>
                </w:rPr>
              </m:ctrlPr>
            </m:sPrePr>
            <m:sub>
              <m:r>
                <w:rPr>
                  <w:rFonts w:ascii="Cambria Math" w:hAnsi="Cambria Math"/>
                </w:rPr>
                <m:t xml:space="preserve"> </m:t>
              </m:r>
            </m:sub>
            <m:sup>
              <m:r>
                <w:rPr>
                  <w:rFonts w:ascii="Cambria Math" w:hAnsi="Cambria Math"/>
                </w:rPr>
                <m:t>16</m:t>
              </m:r>
            </m:sup>
            <m:e>
              <m:r>
                <m:rPr>
                  <m:sty m:val="p"/>
                </m:rPr>
                <w:rPr>
                  <w:rFonts w:ascii="Cambria Math" w:hAnsi="Cambria Math"/>
                </w:rPr>
                <m:t>O</m:t>
              </m:r>
            </m:e>
          </m:sPre>
          <m:sPre>
            <m:sPrePr>
              <m:ctrlPr>
                <w:rPr>
                  <w:rFonts w:ascii="Cambria Math" w:hAnsi="Cambria Math"/>
                </w:rPr>
              </m:ctrlPr>
            </m:sPrePr>
            <m:sub>
              <m:r>
                <w:rPr>
                  <w:rFonts w:ascii="Cambria Math" w:hAnsi="Cambria Math"/>
                </w:rPr>
                <m:t xml:space="preserve"> </m:t>
              </m:r>
            </m:sub>
            <m:sup>
              <m:r>
                <w:rPr>
                  <w:rFonts w:ascii="Cambria Math" w:hAnsi="Cambria Math"/>
                </w:rPr>
                <m:t>16</m:t>
              </m:r>
            </m:sup>
            <m:e>
              <m:r>
                <m:rPr>
                  <m:sty m:val="p"/>
                </m:rPr>
                <w:rPr>
                  <w:rFonts w:ascii="Cambria Math" w:hAnsi="Cambria Math"/>
                </w:rPr>
                <m:t>O</m:t>
              </m:r>
            </m:e>
          </m:sPre>
          <m:r>
            <w:rPr>
              <w:rFonts w:ascii="Cambria Math" w:hAnsi="Cambria Math"/>
            </w:rPr>
            <m:t>→</m:t>
          </m:r>
          <m:sPre>
            <m:sPrePr>
              <m:ctrlPr>
                <w:rPr>
                  <w:rFonts w:ascii="Cambria Math" w:hAnsi="Cambria Math"/>
                </w:rPr>
              </m:ctrlPr>
            </m:sPrePr>
            <m:sub>
              <m:r>
                <w:rPr>
                  <w:rFonts w:ascii="Cambria Math" w:hAnsi="Cambria Math"/>
                </w:rPr>
                <m:t xml:space="preserve"> </m:t>
              </m:r>
            </m:sub>
            <m:sup>
              <m:r>
                <w:rPr>
                  <w:rFonts w:ascii="Cambria Math" w:hAnsi="Cambria Math"/>
                </w:rPr>
                <m:t>18</m:t>
              </m:r>
            </m:sup>
            <m:e>
              <m:r>
                <m:rPr>
                  <m:sty m:val="p"/>
                </m:rPr>
                <w:rPr>
                  <w:rFonts w:ascii="Cambria Math" w:hAnsi="Cambria Math"/>
                </w:rPr>
                <m:t>O</m:t>
              </m:r>
            </m:e>
          </m:sPre>
          <m:r>
            <w:rPr>
              <w:rFonts w:ascii="Cambria Math" w:hAnsi="Cambria Math"/>
            </w:rPr>
            <m:t>⋯</m:t>
          </m:r>
          <m:sPre>
            <m:sPrePr>
              <m:ctrlPr>
                <w:rPr>
                  <w:rFonts w:ascii="Cambria Math" w:hAnsi="Cambria Math"/>
                </w:rPr>
              </m:ctrlPr>
            </m:sPrePr>
            <m:sub>
              <m:r>
                <w:rPr>
                  <w:rFonts w:ascii="Cambria Math" w:hAnsi="Cambria Math"/>
                </w:rPr>
                <m:t xml:space="preserve"> </m:t>
              </m:r>
            </m:sub>
            <m:sup>
              <m:r>
                <w:rPr>
                  <w:rFonts w:ascii="Cambria Math" w:hAnsi="Cambria Math"/>
                </w:rPr>
                <m:t>16</m:t>
              </m:r>
            </m:sup>
            <m:e>
              <m:r>
                <m:rPr>
                  <m:sty m:val="p"/>
                </m:rPr>
                <w:rPr>
                  <w:rFonts w:ascii="Cambria Math" w:hAnsi="Cambria Math"/>
                </w:rPr>
                <m:t>O</m:t>
              </m:r>
            </m:e>
          </m:sPre>
          <m:sPre>
            <m:sPrePr>
              <m:ctrlPr>
                <w:rPr>
                  <w:rFonts w:ascii="Cambria Math" w:hAnsi="Cambria Math"/>
                </w:rPr>
              </m:ctrlPr>
            </m:sPrePr>
            <m:sub>
              <m:r>
                <w:rPr>
                  <w:rFonts w:ascii="Cambria Math" w:hAnsi="Cambria Math"/>
                </w:rPr>
                <m:t xml:space="preserve"> </m:t>
              </m:r>
            </m:sub>
            <m:sup>
              <m:r>
                <w:rPr>
                  <w:rFonts w:ascii="Cambria Math" w:hAnsi="Cambria Math"/>
                </w:rPr>
                <m:t>16</m:t>
              </m:r>
            </m:sup>
            <m:e>
              <m:r>
                <m:rPr>
                  <m:sty m:val="p"/>
                </m:rPr>
                <w:rPr>
                  <w:rFonts w:ascii="Cambria Math" w:hAnsi="Cambria Math"/>
                </w:rPr>
                <m:t>O</m:t>
              </m:r>
            </m:e>
          </m:sPre>
          <m:limUpp>
            <m:limUppPr>
              <m:ctrlPr>
                <w:rPr>
                  <w:rFonts w:ascii="Cambria Math" w:hAnsi="Cambria Math"/>
                </w:rPr>
              </m:ctrlPr>
            </m:limUppPr>
            <m:e>
              <m:r>
                <w:rPr>
                  <w:rFonts w:ascii="Cambria Math" w:hAnsi="Cambria Math"/>
                </w:rPr>
                <m:t>→</m:t>
              </m:r>
            </m:e>
            <m:lim>
              <m:r>
                <m:rPr>
                  <m:sty m:val="p"/>
                </m:rPr>
                <w:rPr>
                  <w:rFonts w:ascii="Cambria Math" w:hAnsi="Cambria Math"/>
                </w:rPr>
                <m:t>dec</m:t>
              </m:r>
            </m:lim>
          </m:limUpp>
          <m:sPre>
            <m:sPrePr>
              <m:ctrlPr>
                <w:rPr>
                  <w:rFonts w:ascii="Cambria Math" w:hAnsi="Cambria Math"/>
                </w:rPr>
              </m:ctrlPr>
            </m:sPrePr>
            <m:sub>
              <m:r>
                <w:rPr>
                  <w:rFonts w:ascii="Cambria Math" w:hAnsi="Cambria Math"/>
                </w:rPr>
                <m:t xml:space="preserve"> </m:t>
              </m:r>
            </m:sub>
            <m:sup>
              <m:r>
                <w:rPr>
                  <w:rFonts w:ascii="Cambria Math" w:hAnsi="Cambria Math"/>
                </w:rPr>
                <m:t>18</m:t>
              </m:r>
            </m:sup>
            <m:e>
              <m:r>
                <m:rPr>
                  <m:sty m:val="p"/>
                </m:rPr>
                <w:rPr>
                  <w:rFonts w:ascii="Cambria Math" w:hAnsi="Cambria Math"/>
                </w:rPr>
                <m:t>O</m:t>
              </m:r>
            </m:e>
          </m:sPre>
          <m:sPre>
            <m:sPrePr>
              <m:ctrlPr>
                <w:rPr>
                  <w:rFonts w:ascii="Cambria Math" w:hAnsi="Cambria Math"/>
                </w:rPr>
              </m:ctrlPr>
            </m:sPrePr>
            <m:sub>
              <m:r>
                <w:rPr>
                  <w:rFonts w:ascii="Cambria Math" w:hAnsi="Cambria Math"/>
                </w:rPr>
                <m:t xml:space="preserve"> </m:t>
              </m:r>
            </m:sub>
            <m:sup>
              <m:r>
                <w:rPr>
                  <w:rFonts w:ascii="Cambria Math" w:hAnsi="Cambria Math"/>
                </w:rPr>
                <m:t>16</m:t>
              </m:r>
            </m:sup>
            <m:e>
              <m:r>
                <m:rPr>
                  <m:sty m:val="p"/>
                </m:rPr>
                <w:rPr>
                  <w:rFonts w:ascii="Cambria Math" w:hAnsi="Cambria Math"/>
                </w:rPr>
                <m:t>O</m:t>
              </m:r>
            </m:e>
          </m:sPre>
          <m:r>
            <w:rPr>
              <w:rFonts w:ascii="Cambria Math" w:hAnsi="Cambria Math"/>
            </w:rPr>
            <m:t>⋯</m:t>
          </m:r>
          <m:sPre>
            <m:sPrePr>
              <m:ctrlPr>
                <w:rPr>
                  <w:rFonts w:ascii="Cambria Math" w:hAnsi="Cambria Math"/>
                </w:rPr>
              </m:ctrlPr>
            </m:sPrePr>
            <m:sub>
              <m:r>
                <w:rPr>
                  <w:rFonts w:ascii="Cambria Math" w:hAnsi="Cambria Math"/>
                </w:rPr>
                <m:t xml:space="preserve"> </m:t>
              </m:r>
            </m:sub>
            <m:sup>
              <m:r>
                <w:rPr>
                  <w:rFonts w:ascii="Cambria Math" w:hAnsi="Cambria Math"/>
                </w:rPr>
                <m:t>16</m:t>
              </m:r>
            </m:sup>
            <m:e>
              <m:r>
                <m:rPr>
                  <m:sty m:val="p"/>
                </m:rPr>
                <w:rPr>
                  <w:rFonts w:ascii="Cambria Math" w:hAnsi="Cambria Math"/>
                </w:rPr>
                <m:t>O</m:t>
              </m:r>
            </m:e>
          </m:sPre>
          <m:limUpp>
            <m:limUppPr>
              <m:ctrlPr>
                <w:rPr>
                  <w:rFonts w:ascii="Cambria Math" w:hAnsi="Cambria Math"/>
                </w:rPr>
              </m:ctrlPr>
            </m:limUppPr>
            <m:e>
              <m:r>
                <w:rPr>
                  <w:rFonts w:ascii="Cambria Math" w:hAnsi="Cambria Math"/>
                </w:rPr>
                <m:t>→</m:t>
              </m:r>
            </m:e>
            <m:lim>
              <m:r>
                <m:rPr>
                  <m:sty m:val="p"/>
                </m:rPr>
                <w:rPr>
                  <w:rFonts w:ascii="Cambria Math" w:hAnsi="Cambria Math"/>
                </w:rPr>
                <m:t>roam</m:t>
              </m:r>
            </m:lim>
          </m:limUpp>
          <m:sPre>
            <m:sPrePr>
              <m:ctrlPr>
                <w:rPr>
                  <w:rFonts w:ascii="Cambria Math" w:hAnsi="Cambria Math"/>
                </w:rPr>
              </m:ctrlPr>
            </m:sPrePr>
            <m:sub>
              <m:r>
                <w:rPr>
                  <w:rFonts w:ascii="Cambria Math" w:hAnsi="Cambria Math"/>
                </w:rPr>
                <m:t xml:space="preserve"> </m:t>
              </m:r>
            </m:sub>
            <m:sup>
              <m:r>
                <w:rPr>
                  <w:rFonts w:ascii="Cambria Math" w:hAnsi="Cambria Math"/>
                </w:rPr>
                <m:t>16</m:t>
              </m:r>
            </m:sup>
            <m:e>
              <m:r>
                <m:rPr>
                  <m:sty m:val="p"/>
                </m:rPr>
                <w:rPr>
                  <w:rFonts w:ascii="Cambria Math" w:hAnsi="Cambria Math"/>
                </w:rPr>
                <m:t>O</m:t>
              </m:r>
            </m:e>
          </m:sPre>
          <m:r>
            <w:rPr>
              <w:rFonts w:ascii="Cambria Math" w:hAnsi="Cambria Math"/>
            </w:rPr>
            <m:t>⋯</m:t>
          </m:r>
          <m:sPre>
            <m:sPrePr>
              <m:ctrlPr>
                <w:rPr>
                  <w:rFonts w:ascii="Cambria Math" w:hAnsi="Cambria Math"/>
                </w:rPr>
              </m:ctrlPr>
            </m:sPrePr>
            <m:sub>
              <m:r>
                <w:rPr>
                  <w:rFonts w:ascii="Cambria Math" w:hAnsi="Cambria Math"/>
                </w:rPr>
                <m:t xml:space="preserve"> </m:t>
              </m:r>
            </m:sub>
            <m:sup>
              <m:r>
                <w:rPr>
                  <w:rFonts w:ascii="Cambria Math" w:hAnsi="Cambria Math"/>
                </w:rPr>
                <m:t>18</m:t>
              </m:r>
            </m:sup>
            <m:e>
              <m:r>
                <m:rPr>
                  <m:sty m:val="p"/>
                </m:rPr>
                <w:rPr>
                  <w:rFonts w:ascii="Cambria Math" w:hAnsi="Cambria Math"/>
                </w:rPr>
                <m:t>O</m:t>
              </m:r>
            </m:e>
          </m:sPre>
          <m:sPre>
            <m:sPrePr>
              <m:ctrlPr>
                <w:rPr>
                  <w:rFonts w:ascii="Cambria Math" w:hAnsi="Cambria Math"/>
                </w:rPr>
              </m:ctrlPr>
            </m:sPrePr>
            <m:sub>
              <m:r>
                <w:rPr>
                  <w:rFonts w:ascii="Cambria Math" w:hAnsi="Cambria Math"/>
                </w:rPr>
                <m:t xml:space="preserve"> </m:t>
              </m:r>
            </m:sub>
            <m:sup>
              <m:r>
                <w:rPr>
                  <w:rFonts w:ascii="Cambria Math" w:hAnsi="Cambria Math"/>
                </w:rPr>
                <m:t>16</m:t>
              </m:r>
            </m:sup>
            <m:e>
              <m:r>
                <m:rPr>
                  <m:sty m:val="p"/>
                </m:rPr>
                <w:rPr>
                  <w:rFonts w:ascii="Cambria Math" w:hAnsi="Cambria Math"/>
                </w:rPr>
                <m:t>O</m:t>
              </m:r>
            </m:e>
          </m:sPre>
          <m:limUpp>
            <m:limUppPr>
              <m:ctrlPr>
                <w:rPr>
                  <w:rFonts w:ascii="Cambria Math" w:hAnsi="Cambria Math"/>
                </w:rPr>
              </m:ctrlPr>
            </m:limUppPr>
            <m:e>
              <m:r>
                <w:rPr>
                  <w:rFonts w:ascii="Cambria Math" w:hAnsi="Cambria Math"/>
                </w:rPr>
                <m:t>→</m:t>
              </m:r>
            </m:e>
            <m:lim>
              <m:r>
                <m:rPr>
                  <m:sty m:val="p"/>
                </m:rPr>
                <w:rPr>
                  <w:rFonts w:ascii="Cambria Math" w:hAnsi="Cambria Math"/>
                </w:rPr>
                <m:t>stab</m:t>
              </m:r>
            </m:lim>
          </m:limUpp>
          <m:sPre>
            <m:sPrePr>
              <m:ctrlPr>
                <w:rPr>
                  <w:rFonts w:ascii="Cambria Math" w:hAnsi="Cambria Math"/>
                </w:rPr>
              </m:ctrlPr>
            </m:sPrePr>
            <m:sub>
              <m:r>
                <w:rPr>
                  <w:rFonts w:ascii="Cambria Math" w:hAnsi="Cambria Math"/>
                </w:rPr>
                <m:t xml:space="preserve"> </m:t>
              </m:r>
            </m:sub>
            <m:sup>
              <m:r>
                <w:rPr>
                  <w:rFonts w:ascii="Cambria Math" w:hAnsi="Cambria Math"/>
                </w:rPr>
                <m:t>16</m:t>
              </m:r>
            </m:sup>
            <m:e>
              <m:r>
                <m:rPr>
                  <m:sty m:val="p"/>
                </m:rPr>
                <w:rPr>
                  <w:rFonts w:ascii="Cambria Math" w:hAnsi="Cambria Math"/>
                </w:rPr>
                <m:t>O</m:t>
              </m:r>
            </m:e>
          </m:sPre>
          <m:sPre>
            <m:sPrePr>
              <m:ctrlPr>
                <w:rPr>
                  <w:rFonts w:ascii="Cambria Math" w:hAnsi="Cambria Math"/>
                </w:rPr>
              </m:ctrlPr>
            </m:sPrePr>
            <m:sub>
              <m:r>
                <w:rPr>
                  <w:rFonts w:ascii="Cambria Math" w:hAnsi="Cambria Math"/>
                </w:rPr>
                <m:t xml:space="preserve"> </m:t>
              </m:r>
            </m:sub>
            <m:sup>
              <m:r>
                <w:rPr>
                  <w:rFonts w:ascii="Cambria Math" w:hAnsi="Cambria Math"/>
                </w:rPr>
                <m:t>18</m:t>
              </m:r>
            </m:sup>
            <m:e>
              <m:r>
                <m:rPr>
                  <m:sty m:val="p"/>
                </m:rPr>
                <w:rPr>
                  <w:rFonts w:ascii="Cambria Math" w:hAnsi="Cambria Math"/>
                </w:rPr>
                <m:t>O</m:t>
              </m:r>
            </m:e>
          </m:sPre>
          <m:sPre>
            <m:sPrePr>
              <m:ctrlPr>
                <w:rPr>
                  <w:rFonts w:ascii="Cambria Math" w:hAnsi="Cambria Math"/>
                </w:rPr>
              </m:ctrlPr>
            </m:sPrePr>
            <m:sub>
              <m:r>
                <w:rPr>
                  <w:rFonts w:ascii="Cambria Math" w:hAnsi="Cambria Math"/>
                </w:rPr>
                <m:t xml:space="preserve"> </m:t>
              </m:r>
            </m:sub>
            <m:sup>
              <m:r>
                <w:rPr>
                  <w:rFonts w:ascii="Cambria Math" w:hAnsi="Cambria Math"/>
                </w:rPr>
                <m:t>16</m:t>
              </m:r>
            </m:sup>
            <m:e>
              <m:r>
                <m:rPr>
                  <m:sty m:val="p"/>
                </m:rPr>
                <w:rPr>
                  <w:rFonts w:ascii="Cambria Math" w:hAnsi="Cambria Math"/>
                </w:rPr>
                <m:t>O</m:t>
              </m:r>
            </m:e>
          </m:sPre>
        </m:oMath>
      </m:oMathPara>
    </w:p>
    <w:p w14:paraId="6C13DCCA" w14:textId="0821AF91" w:rsidR="00287AF0" w:rsidRPr="00287AF0" w:rsidRDefault="00287AF0" w:rsidP="00287AF0">
      <w:r w:rsidRPr="00287AF0">
        <w:t>(11)</w:t>
      </w:r>
    </w:p>
    <w:p w14:paraId="510A1A82" w14:textId="77777777" w:rsidR="00287AF0" w:rsidRPr="00287AF0" w:rsidRDefault="00287AF0" w:rsidP="00287AF0">
      <w:r w:rsidRPr="00287AF0">
        <w:t>In the doubly substituted case:</w:t>
      </w:r>
    </w:p>
    <w:p w14:paraId="60600B84" w14:textId="39C275AF" w:rsidR="001C1785" w:rsidRPr="00287AF0" w:rsidRDefault="00DC2157" w:rsidP="00287AF0">
      <m:oMathPara>
        <m:oMath>
          <m:sPre>
            <m:sPrePr>
              <m:ctrlPr>
                <w:rPr>
                  <w:rFonts w:ascii="Cambria Math" w:hAnsi="Cambria Math"/>
                </w:rPr>
              </m:ctrlPr>
            </m:sPrePr>
            <m:sub>
              <m:r>
                <w:rPr>
                  <w:rFonts w:ascii="Cambria Math" w:hAnsi="Cambria Math"/>
                </w:rPr>
                <m:t xml:space="preserve"> </m:t>
              </m:r>
            </m:sub>
            <m:sup>
              <m:r>
                <w:rPr>
                  <w:rFonts w:ascii="Cambria Math" w:hAnsi="Cambria Math"/>
                </w:rPr>
                <m:t>16</m:t>
              </m:r>
            </m:sup>
            <m:e>
              <m:r>
                <m:rPr>
                  <m:sty m:val="p"/>
                </m:rPr>
                <w:rPr>
                  <w:rFonts w:ascii="Cambria Math" w:hAnsi="Cambria Math"/>
                </w:rPr>
                <m:t>O</m:t>
              </m:r>
            </m:e>
          </m:sPre>
          <m:r>
            <w:rPr>
              <w:rFonts w:ascii="Cambria Math" w:hAnsi="Cambria Math"/>
            </w:rPr>
            <m:t>+</m:t>
          </m:r>
          <m:sPre>
            <m:sPrePr>
              <m:ctrlPr>
                <w:rPr>
                  <w:rFonts w:ascii="Cambria Math" w:hAnsi="Cambria Math"/>
                </w:rPr>
              </m:ctrlPr>
            </m:sPrePr>
            <m:sub>
              <m:r>
                <w:rPr>
                  <w:rFonts w:ascii="Cambria Math" w:hAnsi="Cambria Math"/>
                </w:rPr>
                <m:t xml:space="preserve"> </m:t>
              </m:r>
            </m:sub>
            <m:sup>
              <m:r>
                <w:rPr>
                  <w:rFonts w:ascii="Cambria Math" w:hAnsi="Cambria Math"/>
                </w:rPr>
                <m:t>18</m:t>
              </m:r>
            </m:sup>
            <m:e>
              <m:r>
                <m:rPr>
                  <m:sty m:val="p"/>
                </m:rPr>
                <w:rPr>
                  <w:rFonts w:ascii="Cambria Math" w:hAnsi="Cambria Math"/>
                </w:rPr>
                <m:t>O</m:t>
              </m:r>
            </m:e>
          </m:sPre>
          <m:sPre>
            <m:sPrePr>
              <m:ctrlPr>
                <w:rPr>
                  <w:rFonts w:ascii="Cambria Math" w:hAnsi="Cambria Math"/>
                </w:rPr>
              </m:ctrlPr>
            </m:sPrePr>
            <m:sub>
              <m:r>
                <w:rPr>
                  <w:rFonts w:ascii="Cambria Math" w:hAnsi="Cambria Math"/>
                </w:rPr>
                <m:t xml:space="preserve"> </m:t>
              </m:r>
            </m:sub>
            <m:sup>
              <m:r>
                <w:rPr>
                  <w:rFonts w:ascii="Cambria Math" w:hAnsi="Cambria Math"/>
                </w:rPr>
                <m:t>18</m:t>
              </m:r>
            </m:sup>
            <m:e>
              <m:r>
                <m:rPr>
                  <m:sty m:val="p"/>
                </m:rPr>
                <w:rPr>
                  <w:rFonts w:ascii="Cambria Math" w:hAnsi="Cambria Math"/>
                </w:rPr>
                <m:t>O</m:t>
              </m:r>
            </m:e>
          </m:sPre>
          <m:limUpp>
            <m:limUppPr>
              <m:ctrlPr>
                <w:rPr>
                  <w:rFonts w:ascii="Cambria Math" w:hAnsi="Cambria Math"/>
                </w:rPr>
              </m:ctrlPr>
            </m:limUppPr>
            <m:e>
              <m:r>
                <w:rPr>
                  <w:rFonts w:ascii="Cambria Math" w:hAnsi="Cambria Math"/>
                </w:rPr>
                <m:t>→</m:t>
              </m:r>
            </m:e>
            <m:lim>
              <m:r>
                <m:rPr>
                  <m:sty m:val="p"/>
                </m:rPr>
                <w:rPr>
                  <w:rFonts w:ascii="Cambria Math" w:hAnsi="Cambria Math"/>
                </w:rPr>
                <m:t>form</m:t>
              </m:r>
            </m:lim>
          </m:limUpp>
          <m:sPre>
            <m:sPrePr>
              <m:ctrlPr>
                <w:rPr>
                  <w:rFonts w:ascii="Cambria Math" w:hAnsi="Cambria Math"/>
                </w:rPr>
              </m:ctrlPr>
            </m:sPrePr>
            <m:sub>
              <m:r>
                <w:rPr>
                  <w:rFonts w:ascii="Cambria Math" w:hAnsi="Cambria Math"/>
                </w:rPr>
                <m:t xml:space="preserve"> </m:t>
              </m:r>
            </m:sub>
            <m:sup>
              <m:r>
                <w:rPr>
                  <w:rFonts w:ascii="Cambria Math" w:hAnsi="Cambria Math"/>
                </w:rPr>
                <m:t>16</m:t>
              </m:r>
            </m:sup>
            <m:e>
              <m:r>
                <m:rPr>
                  <m:sty m:val="p"/>
                </m:rPr>
                <w:rPr>
                  <w:rFonts w:ascii="Cambria Math" w:hAnsi="Cambria Math"/>
                </w:rPr>
                <m:t>O</m:t>
              </m:r>
            </m:e>
          </m:sPre>
          <m:r>
            <w:rPr>
              <w:rFonts w:ascii="Cambria Math" w:hAnsi="Cambria Math"/>
            </w:rPr>
            <m:t>⋯</m:t>
          </m:r>
          <m:sPre>
            <m:sPrePr>
              <m:ctrlPr>
                <w:rPr>
                  <w:rFonts w:ascii="Cambria Math" w:hAnsi="Cambria Math"/>
                </w:rPr>
              </m:ctrlPr>
            </m:sPrePr>
            <m:sub>
              <m:r>
                <w:rPr>
                  <w:rFonts w:ascii="Cambria Math" w:hAnsi="Cambria Math"/>
                </w:rPr>
                <m:t xml:space="preserve"> </m:t>
              </m:r>
            </m:sub>
            <m:sup>
              <m:r>
                <w:rPr>
                  <w:rFonts w:ascii="Cambria Math" w:hAnsi="Cambria Math"/>
                </w:rPr>
                <m:t>18</m:t>
              </m:r>
            </m:sup>
            <m:e>
              <m:r>
                <m:rPr>
                  <m:sty m:val="p"/>
                </m:rPr>
                <w:rPr>
                  <w:rFonts w:ascii="Cambria Math" w:hAnsi="Cambria Math"/>
                </w:rPr>
                <m:t>O</m:t>
              </m:r>
            </m:e>
          </m:sPre>
          <m:sPre>
            <m:sPrePr>
              <m:ctrlPr>
                <w:rPr>
                  <w:rFonts w:ascii="Cambria Math" w:hAnsi="Cambria Math"/>
                </w:rPr>
              </m:ctrlPr>
            </m:sPrePr>
            <m:sub>
              <m:r>
                <w:rPr>
                  <w:rFonts w:ascii="Cambria Math" w:hAnsi="Cambria Math"/>
                </w:rPr>
                <m:t xml:space="preserve"> </m:t>
              </m:r>
            </m:sub>
            <m:sup>
              <m:r>
                <w:rPr>
                  <w:rFonts w:ascii="Cambria Math" w:hAnsi="Cambria Math"/>
                </w:rPr>
                <m:t>18</m:t>
              </m:r>
            </m:sup>
            <m:e>
              <m:r>
                <m:rPr>
                  <m:sty m:val="p"/>
                </m:rPr>
                <w:rPr>
                  <w:rFonts w:ascii="Cambria Math" w:hAnsi="Cambria Math"/>
                </w:rPr>
                <m:t>O</m:t>
              </m:r>
            </m:e>
          </m:sPre>
          <m:limUpp>
            <m:limUppPr>
              <m:ctrlPr>
                <w:rPr>
                  <w:rFonts w:ascii="Cambria Math" w:hAnsi="Cambria Math"/>
                </w:rPr>
              </m:ctrlPr>
            </m:limUppPr>
            <m:e>
              <m:r>
                <w:rPr>
                  <w:rFonts w:ascii="Cambria Math" w:hAnsi="Cambria Math"/>
                </w:rPr>
                <m:t>→</m:t>
              </m:r>
            </m:e>
            <m:lim>
              <m:r>
                <m:rPr>
                  <m:sty m:val="p"/>
                </m:rPr>
                <w:rPr>
                  <w:rFonts w:ascii="Cambria Math" w:hAnsi="Cambria Math"/>
                </w:rPr>
                <m:t>dec</m:t>
              </m:r>
            </m:lim>
          </m:limUpp>
          <m:sPre>
            <m:sPrePr>
              <m:ctrlPr>
                <w:rPr>
                  <w:rFonts w:ascii="Cambria Math" w:hAnsi="Cambria Math"/>
                </w:rPr>
              </m:ctrlPr>
            </m:sPrePr>
            <m:sub>
              <m:r>
                <w:rPr>
                  <w:rFonts w:ascii="Cambria Math" w:hAnsi="Cambria Math"/>
                </w:rPr>
                <m:t xml:space="preserve"> </m:t>
              </m:r>
            </m:sub>
            <m:sup>
              <m:r>
                <w:rPr>
                  <w:rFonts w:ascii="Cambria Math" w:hAnsi="Cambria Math"/>
                </w:rPr>
                <m:t>16</m:t>
              </m:r>
            </m:sup>
            <m:e>
              <m:r>
                <m:rPr>
                  <m:sty m:val="p"/>
                </m:rPr>
                <w:rPr>
                  <w:rFonts w:ascii="Cambria Math" w:hAnsi="Cambria Math"/>
                </w:rPr>
                <m:t>O</m:t>
              </m:r>
            </m:e>
          </m:sPre>
          <m:sPre>
            <m:sPrePr>
              <m:ctrlPr>
                <w:rPr>
                  <w:rFonts w:ascii="Cambria Math" w:hAnsi="Cambria Math"/>
                </w:rPr>
              </m:ctrlPr>
            </m:sPrePr>
            <m:sub>
              <m:r>
                <w:rPr>
                  <w:rFonts w:ascii="Cambria Math" w:hAnsi="Cambria Math"/>
                </w:rPr>
                <m:t xml:space="preserve"> </m:t>
              </m:r>
            </m:sub>
            <m:sup>
              <m:r>
                <w:rPr>
                  <w:rFonts w:ascii="Cambria Math" w:hAnsi="Cambria Math"/>
                </w:rPr>
                <m:t>18</m:t>
              </m:r>
            </m:sup>
            <m:e>
              <m:r>
                <m:rPr>
                  <m:sty m:val="p"/>
                </m:rPr>
                <w:rPr>
                  <w:rFonts w:ascii="Cambria Math" w:hAnsi="Cambria Math"/>
                </w:rPr>
                <m:t>O</m:t>
              </m:r>
            </m:e>
          </m:sPre>
          <m:r>
            <w:rPr>
              <w:rFonts w:ascii="Cambria Math" w:hAnsi="Cambria Math"/>
            </w:rPr>
            <m:t>⋯</m:t>
          </m:r>
          <m:sPre>
            <m:sPrePr>
              <m:ctrlPr>
                <w:rPr>
                  <w:rFonts w:ascii="Cambria Math" w:hAnsi="Cambria Math"/>
                </w:rPr>
              </m:ctrlPr>
            </m:sPrePr>
            <m:sub>
              <m:r>
                <w:rPr>
                  <w:rFonts w:ascii="Cambria Math" w:hAnsi="Cambria Math"/>
                </w:rPr>
                <m:t xml:space="preserve"> </m:t>
              </m:r>
            </m:sub>
            <m:sup>
              <m:r>
                <w:rPr>
                  <w:rFonts w:ascii="Cambria Math" w:hAnsi="Cambria Math"/>
                </w:rPr>
                <m:t>18</m:t>
              </m:r>
            </m:sup>
            <m:e>
              <m:r>
                <m:rPr>
                  <m:sty m:val="p"/>
                </m:rPr>
                <w:rPr>
                  <w:rFonts w:ascii="Cambria Math" w:hAnsi="Cambria Math"/>
                </w:rPr>
                <m:t>O</m:t>
              </m:r>
            </m:e>
          </m:sPre>
          <m:limUpp>
            <m:limUppPr>
              <m:ctrlPr>
                <w:rPr>
                  <w:rFonts w:ascii="Cambria Math" w:hAnsi="Cambria Math"/>
                </w:rPr>
              </m:ctrlPr>
            </m:limUppPr>
            <m:e>
              <m:r>
                <w:rPr>
                  <w:rFonts w:ascii="Cambria Math" w:hAnsi="Cambria Math"/>
                </w:rPr>
                <m:t>→</m:t>
              </m:r>
            </m:e>
            <m:lim>
              <m:r>
                <m:rPr>
                  <m:sty m:val="p"/>
                </m:rPr>
                <w:rPr>
                  <w:rFonts w:ascii="Cambria Math" w:hAnsi="Cambria Math"/>
                </w:rPr>
                <m:t>roam</m:t>
              </m:r>
            </m:lim>
          </m:limUpp>
          <m:sPre>
            <m:sPrePr>
              <m:ctrlPr>
                <w:rPr>
                  <w:rFonts w:ascii="Cambria Math" w:hAnsi="Cambria Math"/>
                </w:rPr>
              </m:ctrlPr>
            </m:sPrePr>
            <m:sub>
              <m:r>
                <w:rPr>
                  <w:rFonts w:ascii="Cambria Math" w:hAnsi="Cambria Math"/>
                </w:rPr>
                <m:t xml:space="preserve"> </m:t>
              </m:r>
            </m:sub>
            <m:sup>
              <m:r>
                <w:rPr>
                  <w:rFonts w:ascii="Cambria Math" w:hAnsi="Cambria Math"/>
                </w:rPr>
                <m:t>18</m:t>
              </m:r>
            </m:sup>
            <m:e>
              <m:r>
                <m:rPr>
                  <m:sty m:val="p"/>
                </m:rPr>
                <w:rPr>
                  <w:rFonts w:ascii="Cambria Math" w:hAnsi="Cambria Math"/>
                </w:rPr>
                <m:t>O</m:t>
              </m:r>
            </m:e>
          </m:sPre>
          <m:r>
            <w:rPr>
              <w:rFonts w:ascii="Cambria Math" w:hAnsi="Cambria Math"/>
            </w:rPr>
            <m:t>⋯</m:t>
          </m:r>
          <m:sPre>
            <m:sPrePr>
              <m:ctrlPr>
                <w:rPr>
                  <w:rFonts w:ascii="Cambria Math" w:hAnsi="Cambria Math"/>
                </w:rPr>
              </m:ctrlPr>
            </m:sPrePr>
            <m:sub>
              <m:r>
                <w:rPr>
                  <w:rFonts w:ascii="Cambria Math" w:hAnsi="Cambria Math"/>
                </w:rPr>
                <m:t xml:space="preserve"> </m:t>
              </m:r>
            </m:sub>
            <m:sup>
              <m:r>
                <w:rPr>
                  <w:rFonts w:ascii="Cambria Math" w:hAnsi="Cambria Math"/>
                </w:rPr>
                <m:t>16</m:t>
              </m:r>
            </m:sup>
            <m:e>
              <m:r>
                <m:rPr>
                  <m:sty m:val="p"/>
                </m:rPr>
                <w:rPr>
                  <w:rFonts w:ascii="Cambria Math" w:hAnsi="Cambria Math"/>
                </w:rPr>
                <m:t>O</m:t>
              </m:r>
            </m:e>
          </m:sPre>
          <m:sPre>
            <m:sPrePr>
              <m:ctrlPr>
                <w:rPr>
                  <w:rFonts w:ascii="Cambria Math" w:hAnsi="Cambria Math"/>
                </w:rPr>
              </m:ctrlPr>
            </m:sPrePr>
            <m:sub>
              <m:r>
                <w:rPr>
                  <w:rFonts w:ascii="Cambria Math" w:hAnsi="Cambria Math"/>
                </w:rPr>
                <m:t xml:space="preserve"> </m:t>
              </m:r>
            </m:sub>
            <m:sup>
              <m:r>
                <w:rPr>
                  <w:rFonts w:ascii="Cambria Math" w:hAnsi="Cambria Math"/>
                </w:rPr>
                <m:t>18</m:t>
              </m:r>
            </m:sup>
            <m:e>
              <m:r>
                <m:rPr>
                  <m:sty m:val="p"/>
                </m:rPr>
                <w:rPr>
                  <w:rFonts w:ascii="Cambria Math" w:hAnsi="Cambria Math"/>
                </w:rPr>
                <m:t>O</m:t>
              </m:r>
            </m:e>
          </m:sPre>
          <m:limUpp>
            <m:limUppPr>
              <m:ctrlPr>
                <w:rPr>
                  <w:rFonts w:ascii="Cambria Math" w:hAnsi="Cambria Math"/>
                </w:rPr>
              </m:ctrlPr>
            </m:limUppPr>
            <m:e>
              <m:r>
                <w:rPr>
                  <w:rFonts w:ascii="Cambria Math" w:hAnsi="Cambria Math"/>
                </w:rPr>
                <m:t>→</m:t>
              </m:r>
            </m:e>
            <m:lim>
              <m:r>
                <m:rPr>
                  <m:sty m:val="p"/>
                </m:rPr>
                <w:rPr>
                  <w:rFonts w:ascii="Cambria Math" w:hAnsi="Cambria Math"/>
                </w:rPr>
                <m:t>stab</m:t>
              </m:r>
            </m:lim>
          </m:limUpp>
          <m:sPre>
            <m:sPrePr>
              <m:ctrlPr>
                <w:rPr>
                  <w:rFonts w:ascii="Cambria Math" w:hAnsi="Cambria Math"/>
                </w:rPr>
              </m:ctrlPr>
            </m:sPrePr>
            <m:sub>
              <m:r>
                <w:rPr>
                  <w:rFonts w:ascii="Cambria Math" w:hAnsi="Cambria Math"/>
                </w:rPr>
                <m:t xml:space="preserve"> </m:t>
              </m:r>
            </m:sub>
            <m:sup>
              <m:r>
                <w:rPr>
                  <w:rFonts w:ascii="Cambria Math" w:hAnsi="Cambria Math"/>
                </w:rPr>
                <m:t>18</m:t>
              </m:r>
            </m:sup>
            <m:e>
              <m:r>
                <m:rPr>
                  <m:sty m:val="p"/>
                </m:rPr>
                <w:rPr>
                  <w:rFonts w:ascii="Cambria Math" w:hAnsi="Cambria Math"/>
                </w:rPr>
                <m:t>O</m:t>
              </m:r>
            </m:e>
          </m:sPre>
          <m:sPre>
            <m:sPrePr>
              <m:ctrlPr>
                <w:rPr>
                  <w:rFonts w:ascii="Cambria Math" w:hAnsi="Cambria Math"/>
                </w:rPr>
              </m:ctrlPr>
            </m:sPrePr>
            <m:sub>
              <m:r>
                <w:rPr>
                  <w:rFonts w:ascii="Cambria Math" w:hAnsi="Cambria Math"/>
                </w:rPr>
                <m:t xml:space="preserve"> </m:t>
              </m:r>
            </m:sub>
            <m:sup>
              <m:r>
                <w:rPr>
                  <w:rFonts w:ascii="Cambria Math" w:hAnsi="Cambria Math"/>
                </w:rPr>
                <m:t>16</m:t>
              </m:r>
            </m:sup>
            <m:e>
              <m:r>
                <m:rPr>
                  <m:sty m:val="p"/>
                </m:rPr>
                <w:rPr>
                  <w:rFonts w:ascii="Cambria Math" w:hAnsi="Cambria Math"/>
                </w:rPr>
                <m:t>O</m:t>
              </m:r>
            </m:e>
          </m:sPre>
          <m:sPre>
            <m:sPrePr>
              <m:ctrlPr>
                <w:rPr>
                  <w:rFonts w:ascii="Cambria Math" w:hAnsi="Cambria Math"/>
                </w:rPr>
              </m:ctrlPr>
            </m:sPrePr>
            <m:sub>
              <m:r>
                <w:rPr>
                  <w:rFonts w:ascii="Cambria Math" w:hAnsi="Cambria Math"/>
                </w:rPr>
                <m:t xml:space="preserve"> </m:t>
              </m:r>
            </m:sub>
            <m:sup>
              <m:r>
                <w:rPr>
                  <w:rFonts w:ascii="Cambria Math" w:hAnsi="Cambria Math"/>
                </w:rPr>
                <m:t>18</m:t>
              </m:r>
            </m:sup>
            <m:e>
              <m:r>
                <m:rPr>
                  <m:sty m:val="p"/>
                </m:rPr>
                <w:rPr>
                  <w:rFonts w:ascii="Cambria Math" w:hAnsi="Cambria Math"/>
                </w:rPr>
                <m:t>O</m:t>
              </m:r>
            </m:e>
          </m:sPre>
        </m:oMath>
      </m:oMathPara>
    </w:p>
    <w:p w14:paraId="3DA6B332" w14:textId="77777777" w:rsidR="00287AF0" w:rsidRPr="00287AF0" w:rsidRDefault="00287AF0" w:rsidP="00287AF0">
      <w:r w:rsidRPr="00287AF0">
        <w:t>(12)</w:t>
      </w:r>
    </w:p>
    <w:p w14:paraId="3F354EF8" w14:textId="4A67E17A" w:rsidR="00287AF0" w:rsidRPr="00287AF0" w:rsidRDefault="00287AF0" w:rsidP="00287AF0">
      <w:r w:rsidRPr="00287AF0">
        <w:t>How to describe these processes theoretically? Classical trajectories are used for the description of roaming [</w:t>
      </w:r>
      <w:r w:rsidRPr="00AD482D">
        <w:rPr>
          <w:b/>
          <w:bCs/>
        </w:rPr>
        <w:t>25</w:t>
      </w:r>
      <w:r w:rsidRPr="00287AF0">
        <w:t>], but the classical approach is efficient and accurate only if roaming is the dominant mechanism of the reaction, or the only one possible. In the case of ozone, the insertion by roaming is a minor pathway, with a small probability. Prediction of rare events using classical trajectories is problematic on its own, and therefore is not expected to be helpful in the case of ozone. The quantum dynamics treatment, such as the wave packet method [</w:t>
      </w:r>
      <w:r w:rsidRPr="00AD482D">
        <w:rPr>
          <w:b/>
          <w:bCs/>
        </w:rPr>
        <w:t>26</w:t>
      </w:r>
      <w:r w:rsidRPr="00287AF0">
        <w:t xml:space="preserve">], is usually employed for the description of direct reactions, that proceed through the transition state relatively fast, without formation of a long-lived complex. The propagation of wave packets through the extended parts of the potential energy landscape, </w:t>
      </w:r>
      <w:proofErr w:type="gramStart"/>
      <w:r w:rsidRPr="00287AF0">
        <w:t>in particular over</w:t>
      </w:r>
      <w:proofErr w:type="gramEnd"/>
      <w:r w:rsidRPr="00287AF0">
        <w:t xml:space="preserve"> the deep wells where the long-lived complexes (scattering resonances) are formed, is numerically challenging [</w:t>
      </w:r>
      <w:r w:rsidRPr="00AD482D">
        <w:rPr>
          <w:b/>
          <w:bCs/>
        </w:rPr>
        <w:t>26</w:t>
      </w:r>
      <w:r w:rsidRPr="00287AF0">
        <w:t>]. Therefore, the quantum dynamical description of roaming is not routinely done [</w:t>
      </w:r>
      <w:r w:rsidRPr="00AD482D">
        <w:rPr>
          <w:b/>
          <w:bCs/>
        </w:rPr>
        <w:t>27</w:t>
      </w:r>
      <w:r w:rsidRPr="00287AF0">
        <w:t>]. It appears that all previously developed theoretical models of ozone formation either used an approximate treatment for scattering resonances or did not include the lifetimes at all, appealing to the low-pressure regime [</w:t>
      </w:r>
      <w:r w:rsidRPr="00AD482D">
        <w:rPr>
          <w:b/>
          <w:bCs/>
        </w:rPr>
        <w:t>28</w:t>
      </w:r>
      <w:r w:rsidRPr="00287AF0">
        <w:t>,</w:t>
      </w:r>
      <w:r w:rsidRPr="00AD482D">
        <w:rPr>
          <w:b/>
          <w:bCs/>
        </w:rPr>
        <w:t>29</w:t>
      </w:r>
      <w:r w:rsidRPr="00287AF0">
        <w:t>,</w:t>
      </w:r>
      <w:r w:rsidRPr="00AD482D">
        <w:rPr>
          <w:b/>
          <w:bCs/>
        </w:rPr>
        <w:t>30</w:t>
      </w:r>
      <w:r w:rsidRPr="00287AF0">
        <w:t>,</w:t>
      </w:r>
      <w:r w:rsidRPr="00AD482D">
        <w:rPr>
          <w:b/>
          <w:bCs/>
        </w:rPr>
        <w:t>31</w:t>
      </w:r>
      <w:r w:rsidRPr="00287AF0">
        <w:t>].</w:t>
      </w:r>
    </w:p>
    <w:p w14:paraId="7B2356B5" w14:textId="6EF3FC28" w:rsidR="00287AF0" w:rsidRPr="00287AF0" w:rsidRDefault="00287AF0" w:rsidP="00287AF0">
      <w:r w:rsidRPr="00287AF0">
        <w:t>In this work, for theoretical description of the insertion process, we employed a general time-independent quantum mechanical approach, in which the metastable ozone states above dissociation threshold are described by scattering resonances. Complex absorbing potential is introduced in the asymptotic part of the PES, and the widths of individual scattering resonances </w:t>
      </w:r>
      <m:oMath>
        <m:sSub>
          <m:sSubPr>
            <m:ctrlPr>
              <w:rPr>
                <w:rFonts w:ascii="Cambria Math" w:hAnsi="Cambria Math"/>
              </w:rPr>
            </m:ctrlPr>
          </m:sSubPr>
          <m:e>
            <m:r>
              <m:rPr>
                <m:sty m:val="p"/>
              </m:rPr>
              <w:rPr>
                <w:rFonts w:ascii="Cambria Math" w:hAnsi="Cambria Math"/>
              </w:rPr>
              <m:t>Γ</m:t>
            </m:r>
          </m:e>
          <m:sub>
            <m:r>
              <w:rPr>
                <w:rFonts w:ascii="Cambria Math" w:hAnsi="Cambria Math"/>
              </w:rPr>
              <m:t>i</m:t>
            </m:r>
          </m:sub>
        </m:sSub>
      </m:oMath>
      <w:r w:rsidRPr="00287AF0">
        <w:t> are obtained from the complex parts of the total energy, that are used to compute rate coefficients of decay (spontaneous, first order) of the individual scattering resonances as:</w:t>
      </w:r>
    </w:p>
    <w:p w14:paraId="7BE184A6" w14:textId="2D5155C5" w:rsidR="00DC2157" w:rsidRPr="00287AF0" w:rsidRDefault="00C66FEC" w:rsidP="00287AF0">
      <m:oMathPara>
        <m:oMath>
          <m:sSubSup>
            <m:sSubSupPr>
              <m:ctrlPr>
                <w:rPr>
                  <w:rFonts w:ascii="Cambria Math" w:hAnsi="Cambria Math"/>
                </w:rPr>
              </m:ctrlPr>
            </m:sSubSupPr>
            <m:e>
              <m:r>
                <w:rPr>
                  <w:rFonts w:ascii="Cambria Math" w:hAnsi="Cambria Math"/>
                </w:rPr>
                <m:t>k</m:t>
              </m:r>
            </m:e>
            <m:sub>
              <m:r>
                <w:rPr>
                  <w:rFonts w:ascii="Cambria Math" w:hAnsi="Cambria Math"/>
                </w:rPr>
                <m:t>i</m:t>
              </m:r>
            </m:sub>
            <m:sup>
              <m:r>
                <m:rPr>
                  <m:sty m:val="p"/>
                </m:rPr>
                <w:rPr>
                  <w:rFonts w:ascii="Cambria Math" w:hAnsi="Cambria Math"/>
                </w:rPr>
                <m:t>dec</m:t>
              </m:r>
            </m:sup>
          </m:sSubSup>
          <m:r>
            <w:rPr>
              <w:rFonts w:ascii="Cambria Math" w:hAnsi="Cambria Math"/>
            </w:rPr>
            <m:t xml:space="preserve"> = </m:t>
          </m:r>
          <m:f>
            <m:fPr>
              <m:ctrlPr>
                <w:rPr>
                  <w:rFonts w:ascii="Cambria Math" w:hAnsi="Cambria Math"/>
                </w:rPr>
              </m:ctrlPr>
            </m:fPr>
            <m:num>
              <m:sSub>
                <m:sSubPr>
                  <m:ctrlPr>
                    <w:rPr>
                      <w:rFonts w:ascii="Cambria Math" w:hAnsi="Cambria Math"/>
                    </w:rPr>
                  </m:ctrlPr>
                </m:sSubPr>
                <m:e>
                  <m:r>
                    <m:rPr>
                      <m:sty m:val="p"/>
                    </m:rPr>
                    <w:rPr>
                      <w:rFonts w:ascii="Cambria Math" w:hAnsi="Cambria Math"/>
                    </w:rPr>
                    <m:t>Γ</m:t>
                  </m:r>
                </m:e>
                <m:sub>
                  <m:r>
                    <w:rPr>
                      <w:rFonts w:ascii="Cambria Math" w:hAnsi="Cambria Math"/>
                    </w:rPr>
                    <m:t>i</m:t>
                  </m:r>
                </m:sub>
              </m:sSub>
            </m:num>
            <m:den>
              <m:r>
                <w:rPr>
                  <w:rFonts w:ascii="Cambria Math" w:hAnsi="Cambria Math"/>
                </w:rPr>
                <m:t>ℏ</m:t>
              </m:r>
            </m:den>
          </m:f>
        </m:oMath>
      </m:oMathPara>
    </w:p>
    <w:p w14:paraId="5C78D34D" w14:textId="77777777" w:rsidR="00287AF0" w:rsidRPr="00287AF0" w:rsidRDefault="00287AF0" w:rsidP="00287AF0">
      <w:r w:rsidRPr="00287AF0">
        <w:t>(13)</w:t>
      </w:r>
    </w:p>
    <w:p w14:paraId="224F1C6C" w14:textId="77777777" w:rsidR="00287AF0" w:rsidRPr="00287AF0" w:rsidRDefault="00287AF0" w:rsidP="00287AF0">
      <w:r w:rsidRPr="00287AF0">
        <w:t xml:space="preserve">Importantly, within this approach, we can setup the complex potential in the individual channels on the PES, </w:t>
      </w:r>
      <w:proofErr w:type="gramStart"/>
      <w:r w:rsidRPr="00287AF0">
        <w:t>in order to</w:t>
      </w:r>
      <w:proofErr w:type="gramEnd"/>
      <w:r w:rsidRPr="00287AF0">
        <w:t xml:space="preserve"> split the resonance width and the corresponding decay rate coefficient onto two channel-specific contributions:</w:t>
      </w:r>
    </w:p>
    <w:p w14:paraId="4DA5398F" w14:textId="4D8D5877" w:rsidR="00C66FEC" w:rsidRPr="00287AF0" w:rsidRDefault="00C66FEC" w:rsidP="00287AF0">
      <m:oMathPara>
        <m:oMath>
          <m:sSubSup>
            <m:sSubSupPr>
              <m:ctrlPr>
                <w:rPr>
                  <w:rFonts w:ascii="Cambria Math" w:hAnsi="Cambria Math"/>
                </w:rPr>
              </m:ctrlPr>
            </m:sSubSupPr>
            <m:e>
              <m:r>
                <m:rPr>
                  <m:sty m:val="p"/>
                </m:rPr>
                <w:rPr>
                  <w:rFonts w:ascii="Cambria Math" w:hAnsi="Cambria Math"/>
                </w:rPr>
                <m:t>Γ</m:t>
              </m:r>
            </m:e>
            <m:sub>
              <m:r>
                <w:rPr>
                  <w:rFonts w:ascii="Cambria Math" w:hAnsi="Cambria Math"/>
                </w:rPr>
                <m:t>i</m:t>
              </m:r>
            </m:sub>
            <m:sup>
              <m:r>
                <m:rPr>
                  <m:sty m:val="p"/>
                </m:rPr>
                <w:rPr>
                  <w:rFonts w:ascii="Cambria Math" w:hAnsi="Cambria Math"/>
                </w:rPr>
                <m:t>tot</m:t>
              </m:r>
            </m:sup>
          </m:sSubSup>
          <m:r>
            <w:rPr>
              <w:rFonts w:ascii="Cambria Math" w:hAnsi="Cambria Math"/>
            </w:rPr>
            <m:t>=</m:t>
          </m:r>
          <m:sSubSup>
            <m:sSubSupPr>
              <m:ctrlPr>
                <w:rPr>
                  <w:rFonts w:ascii="Cambria Math" w:hAnsi="Cambria Math"/>
                </w:rPr>
              </m:ctrlPr>
            </m:sSubSupPr>
            <m:e>
              <m:r>
                <m:rPr>
                  <m:sty m:val="p"/>
                </m:rPr>
                <w:rPr>
                  <w:rFonts w:ascii="Cambria Math" w:hAnsi="Cambria Math"/>
                </w:rPr>
                <m:t>Γ</m:t>
              </m:r>
            </m:e>
            <m:sub>
              <m:r>
                <w:rPr>
                  <w:rFonts w:ascii="Cambria Math" w:hAnsi="Cambria Math"/>
                </w:rPr>
                <m:t>i</m:t>
              </m:r>
            </m:sub>
            <m:sup>
              <m:r>
                <m:rPr>
                  <m:sty m:val="p"/>
                </m:rPr>
                <w:rPr>
                  <w:rFonts w:ascii="Cambria Math" w:hAnsi="Cambria Math"/>
                </w:rPr>
                <m:t>ch</m:t>
              </m:r>
              <m:r>
                <w:rPr>
                  <w:rFonts w:ascii="Cambria Math" w:hAnsi="Cambria Math"/>
                </w:rPr>
                <m:t>1</m:t>
              </m:r>
            </m:sup>
          </m:sSubSup>
          <m:r>
            <w:rPr>
              <w:rFonts w:ascii="Cambria Math" w:hAnsi="Cambria Math"/>
            </w:rPr>
            <m:t>+</m:t>
          </m:r>
          <m:sSubSup>
            <m:sSubSupPr>
              <m:ctrlPr>
                <w:rPr>
                  <w:rFonts w:ascii="Cambria Math" w:hAnsi="Cambria Math"/>
                </w:rPr>
              </m:ctrlPr>
            </m:sSubSupPr>
            <m:e>
              <m:r>
                <m:rPr>
                  <m:sty m:val="p"/>
                </m:rPr>
                <w:rPr>
                  <w:rFonts w:ascii="Cambria Math" w:hAnsi="Cambria Math"/>
                </w:rPr>
                <m:t>Γ</m:t>
              </m:r>
            </m:e>
            <m:sub>
              <m:r>
                <w:rPr>
                  <w:rFonts w:ascii="Cambria Math" w:hAnsi="Cambria Math"/>
                </w:rPr>
                <m:t>i</m:t>
              </m:r>
            </m:sub>
            <m:sup>
              <m:r>
                <m:rPr>
                  <m:sty m:val="p"/>
                </m:rPr>
                <w:rPr>
                  <w:rFonts w:ascii="Cambria Math" w:hAnsi="Cambria Math"/>
                </w:rPr>
                <m:t>ch</m:t>
              </m:r>
              <m:r>
                <w:rPr>
                  <w:rFonts w:ascii="Cambria Math" w:hAnsi="Cambria Math"/>
                </w:rPr>
                <m:t>2</m:t>
              </m:r>
            </m:sup>
          </m:sSubSup>
        </m:oMath>
      </m:oMathPara>
    </w:p>
    <w:p w14:paraId="7CB2CE7D" w14:textId="77777777" w:rsidR="00287AF0" w:rsidRPr="00287AF0" w:rsidRDefault="00287AF0" w:rsidP="00287AF0">
      <w:r w:rsidRPr="00287AF0">
        <w:t>(14)</w:t>
      </w:r>
    </w:p>
    <w:p w14:paraId="061FE13F" w14:textId="589CD4D9" w:rsidR="00C66FEC" w:rsidRPr="00287AF0" w:rsidRDefault="006D6557" w:rsidP="00287AF0">
      <m:oMathPara>
        <m:oMath>
          <m:sSubSup>
            <m:sSubSupPr>
              <m:ctrlPr>
                <w:rPr>
                  <w:rFonts w:ascii="Cambria Math" w:hAnsi="Cambria Math"/>
                </w:rPr>
              </m:ctrlPr>
            </m:sSubSupPr>
            <m:e>
              <m:r>
                <w:rPr>
                  <w:rFonts w:ascii="Cambria Math" w:hAnsi="Cambria Math"/>
                </w:rPr>
                <m:t>k</m:t>
              </m:r>
            </m:e>
            <m:sub>
              <m:r>
                <w:rPr>
                  <w:rFonts w:ascii="Cambria Math" w:hAnsi="Cambria Math"/>
                </w:rPr>
                <m:t>i</m:t>
              </m:r>
            </m:sub>
            <m:sup>
              <m:r>
                <m:rPr>
                  <m:sty m:val="p"/>
                </m:rPr>
                <w:rPr>
                  <w:rFonts w:ascii="Cambria Math" w:hAnsi="Cambria Math"/>
                </w:rPr>
                <m:t>dec</m:t>
              </m:r>
            </m:sup>
          </m:sSubSup>
          <m:r>
            <w:rPr>
              <w:rFonts w:ascii="Cambria Math" w:hAnsi="Cambria Math"/>
            </w:rPr>
            <m:t xml:space="preserve">= </m:t>
          </m:r>
          <m:sSubSup>
            <m:sSubSupPr>
              <m:ctrlPr>
                <w:rPr>
                  <w:rFonts w:ascii="Cambria Math" w:hAnsi="Cambria Math"/>
                </w:rPr>
              </m:ctrlPr>
            </m:sSubSupPr>
            <m:e>
              <m:r>
                <w:rPr>
                  <w:rFonts w:ascii="Cambria Math" w:hAnsi="Cambria Math"/>
                </w:rPr>
                <m:t>k</m:t>
              </m:r>
            </m:e>
            <m:sub>
              <m:r>
                <w:rPr>
                  <w:rFonts w:ascii="Cambria Math" w:hAnsi="Cambria Math"/>
                </w:rPr>
                <m:t>i</m:t>
              </m:r>
            </m:sub>
            <m:sup>
              <m:r>
                <m:rPr>
                  <m:sty m:val="p"/>
                </m:rPr>
                <w:rPr>
                  <w:rFonts w:ascii="Cambria Math" w:hAnsi="Cambria Math"/>
                </w:rPr>
                <m:t>dec</m:t>
              </m:r>
              <m:r>
                <w:rPr>
                  <w:rFonts w:ascii="Cambria Math" w:hAnsi="Cambria Math"/>
                </w:rPr>
                <m:t>,</m:t>
              </m:r>
              <m:r>
                <m:rPr>
                  <m:sty m:val="p"/>
                </m:rPr>
                <w:rPr>
                  <w:rFonts w:ascii="Cambria Math" w:hAnsi="Cambria Math"/>
                </w:rPr>
                <m:t>ch</m:t>
              </m:r>
              <m:r>
                <w:rPr>
                  <w:rFonts w:ascii="Cambria Math" w:hAnsi="Cambria Math"/>
                </w:rPr>
                <m:t>1</m:t>
              </m:r>
            </m:sup>
          </m:sSubSup>
          <m:r>
            <w:rPr>
              <w:rFonts w:ascii="Cambria Math" w:hAnsi="Cambria Math"/>
            </w:rPr>
            <m:t>+</m:t>
          </m:r>
          <m:sSubSup>
            <m:sSubSupPr>
              <m:ctrlPr>
                <w:rPr>
                  <w:rFonts w:ascii="Cambria Math" w:hAnsi="Cambria Math"/>
                </w:rPr>
              </m:ctrlPr>
            </m:sSubSupPr>
            <m:e>
              <m:r>
                <w:rPr>
                  <w:rFonts w:ascii="Cambria Math" w:hAnsi="Cambria Math"/>
                </w:rPr>
                <m:t>k</m:t>
              </m:r>
            </m:e>
            <m:sub>
              <m:r>
                <w:rPr>
                  <w:rFonts w:ascii="Cambria Math" w:hAnsi="Cambria Math"/>
                </w:rPr>
                <m:t>i</m:t>
              </m:r>
            </m:sub>
            <m:sup>
              <m:r>
                <m:rPr>
                  <m:sty m:val="p"/>
                </m:rPr>
                <w:rPr>
                  <w:rFonts w:ascii="Cambria Math" w:hAnsi="Cambria Math"/>
                </w:rPr>
                <m:t>dec</m:t>
              </m:r>
              <m:r>
                <w:rPr>
                  <w:rFonts w:ascii="Cambria Math" w:hAnsi="Cambria Math"/>
                </w:rPr>
                <m:t>,</m:t>
              </m:r>
              <m:r>
                <m:rPr>
                  <m:sty m:val="p"/>
                </m:rPr>
                <w:rPr>
                  <w:rFonts w:ascii="Cambria Math" w:hAnsi="Cambria Math"/>
                </w:rPr>
                <m:t>ch</m:t>
              </m:r>
              <m:r>
                <w:rPr>
                  <w:rFonts w:ascii="Cambria Math" w:hAnsi="Cambria Math"/>
                </w:rPr>
                <m:t>2</m:t>
              </m:r>
            </m:sup>
          </m:sSubSup>
        </m:oMath>
      </m:oMathPara>
    </w:p>
    <w:p w14:paraId="47DB864D" w14:textId="77777777" w:rsidR="00287AF0" w:rsidRPr="00287AF0" w:rsidRDefault="00287AF0" w:rsidP="00287AF0">
      <w:r w:rsidRPr="00287AF0">
        <w:t>(15)</w:t>
      </w:r>
    </w:p>
    <w:p w14:paraId="4BBC0287" w14:textId="114900CD" w:rsidR="00287AF0" w:rsidRPr="00287AF0" w:rsidRDefault="00287AF0" w:rsidP="00287AF0">
      <w:r w:rsidRPr="00287AF0">
        <w:t>Here </w:t>
      </w:r>
      <m:oMath>
        <m:sSubSup>
          <m:sSubSupPr>
            <m:ctrlPr>
              <w:rPr>
                <w:rFonts w:ascii="Cambria Math" w:hAnsi="Cambria Math"/>
              </w:rPr>
            </m:ctrlPr>
          </m:sSubSupPr>
          <m:e>
            <m:r>
              <w:rPr>
                <w:rFonts w:ascii="Cambria Math" w:hAnsi="Cambria Math"/>
              </w:rPr>
              <m:t>k</m:t>
            </m:r>
          </m:e>
          <m:sub>
            <m:r>
              <w:rPr>
                <w:rFonts w:ascii="Cambria Math" w:hAnsi="Cambria Math"/>
              </w:rPr>
              <m:t>i</m:t>
            </m:r>
          </m:sub>
          <m:sup>
            <m:r>
              <m:rPr>
                <m:sty m:val="p"/>
              </m:rPr>
              <w:rPr>
                <w:rFonts w:ascii="Cambria Math" w:hAnsi="Cambria Math"/>
              </w:rPr>
              <m:t>dec</m:t>
            </m:r>
            <m:r>
              <w:rPr>
                <w:rFonts w:ascii="Cambria Math" w:hAnsi="Cambria Math"/>
              </w:rPr>
              <m:t>,</m:t>
            </m:r>
            <m:r>
              <m:rPr>
                <m:sty m:val="p"/>
              </m:rPr>
              <w:rPr>
                <w:rFonts w:ascii="Cambria Math" w:hAnsi="Cambria Math"/>
              </w:rPr>
              <m:t>ch</m:t>
            </m:r>
            <m:r>
              <w:rPr>
                <w:rFonts w:ascii="Cambria Math" w:hAnsi="Cambria Math"/>
              </w:rPr>
              <m:t>1</m:t>
            </m:r>
          </m:sup>
        </m:sSubSup>
        <m:r>
          <w:rPr>
            <w:rFonts w:ascii="Cambria Math" w:hAnsi="Cambria Math"/>
          </w:rPr>
          <m:t>=</m:t>
        </m:r>
        <m:f>
          <m:fPr>
            <m:ctrlPr>
              <w:rPr>
                <w:rFonts w:ascii="Cambria Math" w:hAnsi="Cambria Math"/>
                <w:i/>
              </w:rPr>
            </m:ctrlPr>
          </m:fPr>
          <m:num>
            <m:sSubSup>
              <m:sSubSupPr>
                <m:ctrlPr>
                  <w:rPr>
                    <w:rFonts w:ascii="Cambria Math" w:hAnsi="Cambria Math"/>
                  </w:rPr>
                </m:ctrlPr>
              </m:sSubSupPr>
              <m:e>
                <m:r>
                  <m:rPr>
                    <m:sty m:val="p"/>
                  </m:rPr>
                  <w:rPr>
                    <w:rFonts w:ascii="Cambria Math" w:hAnsi="Cambria Math"/>
                  </w:rPr>
                  <m:t>Γ</m:t>
                </m:r>
              </m:e>
              <m:sub>
                <m:r>
                  <w:rPr>
                    <w:rFonts w:ascii="Cambria Math" w:hAnsi="Cambria Math"/>
                  </w:rPr>
                  <m:t>i</m:t>
                </m:r>
              </m:sub>
              <m:sup>
                <m:r>
                  <m:rPr>
                    <m:sty m:val="p"/>
                  </m:rPr>
                  <w:rPr>
                    <w:rFonts w:ascii="Cambria Math" w:hAnsi="Cambria Math"/>
                  </w:rPr>
                  <m:t>ch</m:t>
                </m:r>
                <m:r>
                  <w:rPr>
                    <w:rFonts w:ascii="Cambria Math" w:hAnsi="Cambria Math"/>
                  </w:rPr>
                  <m:t>1</m:t>
                </m:r>
              </m:sup>
            </m:sSubSup>
          </m:num>
          <m:den>
            <m:r>
              <w:rPr>
                <w:rFonts w:ascii="Cambria Math" w:hAnsi="Cambria Math"/>
              </w:rPr>
              <m:t>ℏ</m:t>
            </m:r>
          </m:den>
        </m:f>
      </m:oMath>
      <w:r w:rsidRPr="00287AF0">
        <w:t>, whereas </w:t>
      </w:r>
      <m:oMath>
        <m:sSubSup>
          <m:sSubSupPr>
            <m:ctrlPr>
              <w:rPr>
                <w:rFonts w:ascii="Cambria Math" w:hAnsi="Cambria Math"/>
              </w:rPr>
            </m:ctrlPr>
          </m:sSubSupPr>
          <m:e>
            <m:r>
              <w:rPr>
                <w:rFonts w:ascii="Cambria Math" w:hAnsi="Cambria Math"/>
              </w:rPr>
              <m:t>k</m:t>
            </m:r>
          </m:e>
          <m:sub>
            <m:r>
              <w:rPr>
                <w:rFonts w:ascii="Cambria Math" w:hAnsi="Cambria Math"/>
              </w:rPr>
              <m:t>i</m:t>
            </m:r>
          </m:sub>
          <m:sup>
            <m:r>
              <m:rPr>
                <m:sty m:val="p"/>
              </m:rPr>
              <w:rPr>
                <w:rFonts w:ascii="Cambria Math" w:hAnsi="Cambria Math"/>
              </w:rPr>
              <m:t>dec</m:t>
            </m:r>
            <m:r>
              <w:rPr>
                <w:rFonts w:ascii="Cambria Math" w:hAnsi="Cambria Math"/>
              </w:rPr>
              <m:t>,</m:t>
            </m:r>
            <m:r>
              <m:rPr>
                <m:sty m:val="p"/>
              </m:rPr>
              <w:rPr>
                <w:rFonts w:ascii="Cambria Math" w:hAnsi="Cambria Math"/>
              </w:rPr>
              <m:t>ch</m:t>
            </m:r>
            <m:r>
              <w:rPr>
                <w:rFonts w:ascii="Cambria Math" w:hAnsi="Cambria Math"/>
              </w:rPr>
              <m:t>2</m:t>
            </m:r>
          </m:sup>
        </m:sSubSup>
        <m:r>
          <w:rPr>
            <w:rFonts w:ascii="Cambria Math" w:hAnsi="Cambria Math"/>
          </w:rPr>
          <m:t>=</m:t>
        </m:r>
        <m:f>
          <m:fPr>
            <m:ctrlPr>
              <w:rPr>
                <w:rFonts w:ascii="Cambria Math" w:hAnsi="Cambria Math"/>
                <w:i/>
              </w:rPr>
            </m:ctrlPr>
          </m:fPr>
          <m:num>
            <m:sSubSup>
              <m:sSubSupPr>
                <m:ctrlPr>
                  <w:rPr>
                    <w:rFonts w:ascii="Cambria Math" w:hAnsi="Cambria Math"/>
                  </w:rPr>
                </m:ctrlPr>
              </m:sSubSupPr>
              <m:e>
                <m:r>
                  <m:rPr>
                    <m:sty m:val="p"/>
                  </m:rPr>
                  <w:rPr>
                    <w:rFonts w:ascii="Cambria Math" w:hAnsi="Cambria Math"/>
                  </w:rPr>
                  <m:t>Γ</m:t>
                </m:r>
              </m:e>
              <m:sub>
                <m:r>
                  <w:rPr>
                    <w:rFonts w:ascii="Cambria Math" w:hAnsi="Cambria Math"/>
                  </w:rPr>
                  <m:t>i</m:t>
                </m:r>
              </m:sub>
              <m:sup>
                <m:r>
                  <m:rPr>
                    <m:sty m:val="p"/>
                  </m:rPr>
                  <w:rPr>
                    <w:rFonts w:ascii="Cambria Math" w:hAnsi="Cambria Math"/>
                  </w:rPr>
                  <m:t>ch</m:t>
                </m:r>
                <m:r>
                  <w:rPr>
                    <w:rFonts w:ascii="Cambria Math" w:hAnsi="Cambria Math"/>
                  </w:rPr>
                  <m:t>2</m:t>
                </m:r>
              </m:sup>
            </m:sSubSup>
          </m:num>
          <m:den>
            <m:r>
              <w:rPr>
                <w:rFonts w:ascii="Cambria Math" w:hAnsi="Cambria Math"/>
              </w:rPr>
              <m:t>ℏ</m:t>
            </m:r>
          </m:den>
        </m:f>
      </m:oMath>
      <w:r w:rsidRPr="00287AF0">
        <w:t>. For example, in the singly substituted case </w:t>
      </w:r>
      <m:oMath>
        <m:sSubSup>
          <m:sSubSupPr>
            <m:ctrlPr>
              <w:rPr>
                <w:rFonts w:ascii="Cambria Math" w:hAnsi="Cambria Math"/>
              </w:rPr>
            </m:ctrlPr>
          </m:sSubSupPr>
          <m:e>
            <m:r>
              <w:rPr>
                <w:rFonts w:ascii="Cambria Math" w:hAnsi="Cambria Math"/>
              </w:rPr>
              <m:t>k</m:t>
            </m:r>
          </m:e>
          <m:sub>
            <m:r>
              <w:rPr>
                <w:rFonts w:ascii="Cambria Math" w:hAnsi="Cambria Math"/>
              </w:rPr>
              <m:t>i</m:t>
            </m:r>
          </m:sub>
          <m:sup>
            <m:r>
              <m:rPr>
                <m:sty m:val="p"/>
              </m:rPr>
              <w:rPr>
                <w:rFonts w:ascii="Cambria Math" w:hAnsi="Cambria Math"/>
              </w:rPr>
              <m:t>dec</m:t>
            </m:r>
            <m:r>
              <w:rPr>
                <w:rFonts w:ascii="Cambria Math" w:hAnsi="Cambria Math"/>
              </w:rPr>
              <m:t>,</m:t>
            </m:r>
            <m:r>
              <m:rPr>
                <m:sty m:val="p"/>
              </m:rPr>
              <w:rPr>
                <w:rFonts w:ascii="Cambria Math" w:hAnsi="Cambria Math"/>
              </w:rPr>
              <m:t>ch</m:t>
            </m:r>
            <m:r>
              <w:rPr>
                <w:rFonts w:ascii="Cambria Math" w:hAnsi="Cambria Math"/>
              </w:rPr>
              <m:t>1</m:t>
            </m:r>
          </m:sup>
        </m:sSubSup>
      </m:oMath>
      <w:r w:rsidRPr="00287AF0">
        <w:t> corresponds to the decay of metastable ozone onto </w:t>
      </w:r>
      <w:r w:rsidRPr="00287AF0">
        <w:rPr>
          <w:vertAlign w:val="superscript"/>
        </w:rPr>
        <w:t>18</w:t>
      </w:r>
      <w:r w:rsidRPr="00287AF0">
        <w:t>O + </w:t>
      </w:r>
      <w:r w:rsidRPr="00287AF0">
        <w:rPr>
          <w:vertAlign w:val="superscript"/>
        </w:rPr>
        <w:t>16</w:t>
      </w:r>
      <w:r w:rsidRPr="00287AF0">
        <w:t>O</w:t>
      </w:r>
      <w:r w:rsidRPr="00287AF0">
        <w:rPr>
          <w:vertAlign w:val="superscript"/>
        </w:rPr>
        <w:t>16</w:t>
      </w:r>
      <w:r w:rsidRPr="00287AF0">
        <w:t>O through one channel at the bottom of </w:t>
      </w:r>
      <w:r w:rsidRPr="00AD482D">
        <w:rPr>
          <w:b/>
          <w:bCs/>
        </w:rPr>
        <w:t>Figure 1</w:t>
      </w:r>
      <w:r w:rsidRPr="00287AF0">
        <w:t>a, while </w:t>
      </w:r>
      <m:oMath>
        <m:sSubSup>
          <m:sSubSupPr>
            <m:ctrlPr>
              <w:rPr>
                <w:rFonts w:ascii="Cambria Math" w:hAnsi="Cambria Math"/>
              </w:rPr>
            </m:ctrlPr>
          </m:sSubSupPr>
          <m:e>
            <m:r>
              <w:rPr>
                <w:rFonts w:ascii="Cambria Math" w:hAnsi="Cambria Math"/>
              </w:rPr>
              <m:t>k</m:t>
            </m:r>
          </m:e>
          <m:sub>
            <m:r>
              <w:rPr>
                <w:rFonts w:ascii="Cambria Math" w:hAnsi="Cambria Math"/>
              </w:rPr>
              <m:t>i</m:t>
            </m:r>
          </m:sub>
          <m:sup>
            <m:r>
              <m:rPr>
                <m:sty m:val="p"/>
              </m:rPr>
              <w:rPr>
                <w:rFonts w:ascii="Cambria Math" w:hAnsi="Cambria Math"/>
              </w:rPr>
              <m:t>dec</m:t>
            </m:r>
            <m:r>
              <w:rPr>
                <w:rFonts w:ascii="Cambria Math" w:hAnsi="Cambria Math"/>
              </w:rPr>
              <m:t>,</m:t>
            </m:r>
            <m:r>
              <m:rPr>
                <m:sty m:val="p"/>
              </m:rPr>
              <w:rPr>
                <w:rFonts w:ascii="Cambria Math" w:hAnsi="Cambria Math"/>
              </w:rPr>
              <m:t>ch</m:t>
            </m:r>
            <m:r>
              <w:rPr>
                <w:rFonts w:ascii="Cambria Math" w:hAnsi="Cambria Math"/>
              </w:rPr>
              <m:t>2</m:t>
            </m:r>
          </m:sup>
        </m:sSubSup>
      </m:oMath>
      <w:r w:rsidRPr="00287AF0">
        <w:t> corresponds to the decay of a metastable ozone onto </w:t>
      </w:r>
      <w:r w:rsidRPr="00287AF0">
        <w:rPr>
          <w:vertAlign w:val="superscript"/>
        </w:rPr>
        <w:t>16</w:t>
      </w:r>
      <w:r w:rsidRPr="00287AF0">
        <w:t>O + </w:t>
      </w:r>
      <w:r w:rsidRPr="00287AF0">
        <w:rPr>
          <w:vertAlign w:val="superscript"/>
        </w:rPr>
        <w:t>16</w:t>
      </w:r>
      <w:r w:rsidRPr="00287AF0">
        <w:t>O</w:t>
      </w:r>
      <w:r w:rsidRPr="00287AF0">
        <w:rPr>
          <w:vertAlign w:val="superscript"/>
        </w:rPr>
        <w:t>18</w:t>
      </w:r>
      <w:r w:rsidRPr="00287AF0">
        <w:t>O through two indistinguishable channels at the top of </w:t>
      </w:r>
      <w:r w:rsidRPr="00AD482D">
        <w:rPr>
          <w:b/>
          <w:bCs/>
        </w:rPr>
        <w:t>Figure 1</w:t>
      </w:r>
      <w:r w:rsidRPr="00287AF0">
        <w:t>a. Similar, in the doubly substituted case </w:t>
      </w:r>
      <m:oMath>
        <m:sSubSup>
          <m:sSubSupPr>
            <m:ctrlPr>
              <w:rPr>
                <w:rFonts w:ascii="Cambria Math" w:hAnsi="Cambria Math"/>
              </w:rPr>
            </m:ctrlPr>
          </m:sSubSupPr>
          <m:e>
            <m:r>
              <w:rPr>
                <w:rFonts w:ascii="Cambria Math" w:hAnsi="Cambria Math"/>
              </w:rPr>
              <m:t>k</m:t>
            </m:r>
          </m:e>
          <m:sub>
            <m:r>
              <w:rPr>
                <w:rFonts w:ascii="Cambria Math" w:hAnsi="Cambria Math"/>
              </w:rPr>
              <m:t>i</m:t>
            </m:r>
          </m:sub>
          <m:sup>
            <m:r>
              <m:rPr>
                <m:sty m:val="p"/>
              </m:rPr>
              <w:rPr>
                <w:rFonts w:ascii="Cambria Math" w:hAnsi="Cambria Math"/>
              </w:rPr>
              <m:t>dec</m:t>
            </m:r>
            <m:r>
              <w:rPr>
                <w:rFonts w:ascii="Cambria Math" w:hAnsi="Cambria Math"/>
              </w:rPr>
              <m:t>,</m:t>
            </m:r>
            <m:r>
              <m:rPr>
                <m:sty m:val="p"/>
              </m:rPr>
              <w:rPr>
                <w:rFonts w:ascii="Cambria Math" w:hAnsi="Cambria Math"/>
              </w:rPr>
              <m:t>ch</m:t>
            </m:r>
            <m:r>
              <w:rPr>
                <w:rFonts w:ascii="Cambria Math" w:hAnsi="Cambria Math"/>
              </w:rPr>
              <m:t>1</m:t>
            </m:r>
          </m:sup>
        </m:sSubSup>
      </m:oMath>
      <w:r w:rsidRPr="00287AF0">
        <w:t> corresponds to the decay of ozone onto </w:t>
      </w:r>
      <w:r w:rsidRPr="00287AF0">
        <w:rPr>
          <w:vertAlign w:val="superscript"/>
        </w:rPr>
        <w:t>16</w:t>
      </w:r>
      <w:r w:rsidRPr="00287AF0">
        <w:t>O + </w:t>
      </w:r>
      <w:r w:rsidRPr="00287AF0">
        <w:rPr>
          <w:vertAlign w:val="superscript"/>
        </w:rPr>
        <w:t>18</w:t>
      </w:r>
      <w:r w:rsidRPr="00287AF0">
        <w:t>O</w:t>
      </w:r>
      <w:r w:rsidRPr="00287AF0">
        <w:rPr>
          <w:vertAlign w:val="superscript"/>
        </w:rPr>
        <w:t>18</w:t>
      </w:r>
      <w:r w:rsidRPr="00287AF0">
        <w:t>O through one channel at the bottom of </w:t>
      </w:r>
      <w:r w:rsidRPr="00AD482D">
        <w:rPr>
          <w:b/>
          <w:bCs/>
        </w:rPr>
        <w:t>Figure 1</w:t>
      </w:r>
      <w:r w:rsidRPr="00287AF0">
        <w:t>b, while </w:t>
      </w:r>
      <m:oMath>
        <m:sSubSup>
          <m:sSubSupPr>
            <m:ctrlPr>
              <w:rPr>
                <w:rFonts w:ascii="Cambria Math" w:hAnsi="Cambria Math"/>
              </w:rPr>
            </m:ctrlPr>
          </m:sSubSupPr>
          <m:e>
            <m:r>
              <w:rPr>
                <w:rFonts w:ascii="Cambria Math" w:hAnsi="Cambria Math"/>
              </w:rPr>
              <m:t>k</m:t>
            </m:r>
          </m:e>
          <m:sub>
            <m:r>
              <w:rPr>
                <w:rFonts w:ascii="Cambria Math" w:hAnsi="Cambria Math"/>
              </w:rPr>
              <m:t>i</m:t>
            </m:r>
          </m:sub>
          <m:sup>
            <m:r>
              <m:rPr>
                <m:sty m:val="p"/>
              </m:rPr>
              <w:rPr>
                <w:rFonts w:ascii="Cambria Math" w:hAnsi="Cambria Math"/>
              </w:rPr>
              <m:t>dec</m:t>
            </m:r>
            <m:r>
              <w:rPr>
                <w:rFonts w:ascii="Cambria Math" w:hAnsi="Cambria Math"/>
              </w:rPr>
              <m:t>,</m:t>
            </m:r>
            <m:r>
              <m:rPr>
                <m:sty m:val="p"/>
              </m:rPr>
              <w:rPr>
                <w:rFonts w:ascii="Cambria Math" w:hAnsi="Cambria Math"/>
              </w:rPr>
              <m:t>ch</m:t>
            </m:r>
            <m:r>
              <w:rPr>
                <w:rFonts w:ascii="Cambria Math" w:hAnsi="Cambria Math"/>
              </w:rPr>
              <m:t>2</m:t>
            </m:r>
          </m:sup>
        </m:sSubSup>
      </m:oMath>
      <w:r w:rsidRPr="00287AF0">
        <w:t> corresponds to the decay of a resonance onto </w:t>
      </w:r>
      <w:r w:rsidRPr="00287AF0">
        <w:rPr>
          <w:vertAlign w:val="superscript"/>
        </w:rPr>
        <w:t>18</w:t>
      </w:r>
      <w:r w:rsidRPr="00287AF0">
        <w:t>O + </w:t>
      </w:r>
      <w:r w:rsidRPr="00287AF0">
        <w:rPr>
          <w:vertAlign w:val="superscript"/>
        </w:rPr>
        <w:t>18</w:t>
      </w:r>
      <w:r w:rsidRPr="00287AF0">
        <w:t>O</w:t>
      </w:r>
      <w:r w:rsidRPr="00287AF0">
        <w:rPr>
          <w:vertAlign w:val="superscript"/>
        </w:rPr>
        <w:t>16</w:t>
      </w:r>
      <w:r w:rsidRPr="00287AF0">
        <w:t>O through two indistinguishable channels at the top of </w:t>
      </w:r>
      <w:r w:rsidRPr="00AD482D">
        <w:rPr>
          <w:b/>
          <w:bCs/>
        </w:rPr>
        <w:t>Figure 1</w:t>
      </w:r>
      <w:r w:rsidRPr="00287AF0">
        <w:t>b. Using the equilibrium constant (computed statistically), the rate coefficients of </w:t>
      </w:r>
      <w:r w:rsidRPr="00287AF0">
        <w:rPr>
          <w:i/>
          <w:iCs/>
        </w:rPr>
        <w:t>decay</w:t>
      </w:r>
      <w:r w:rsidRPr="00287AF0">
        <w:t> can be converted into the rate coefficients for </w:t>
      </w:r>
      <w:r w:rsidRPr="00287AF0">
        <w:rPr>
          <w:i/>
          <w:iCs/>
        </w:rPr>
        <w:t>formation</w:t>
      </w:r>
      <w:r w:rsidRPr="00287AF0">
        <w:t> of the metastable ozone states. Note that this part of the method is based on rigorous quantum mechanical calculations.</w:t>
      </w:r>
    </w:p>
    <w:p w14:paraId="06B9C49F" w14:textId="5D169B13" w:rsidR="00287AF0" w:rsidRPr="00287AF0" w:rsidRDefault="00287AF0" w:rsidP="00287AF0">
      <w:r w:rsidRPr="00287AF0">
        <w:t>The second feature of our theory is the splitting of the rate coefficient for </w:t>
      </w:r>
      <w:r w:rsidRPr="00287AF0">
        <w:rPr>
          <w:i/>
          <w:iCs/>
        </w:rPr>
        <w:t>stabilization</w:t>
      </w:r>
      <w:r w:rsidRPr="00287AF0">
        <w:t> of scattering resonances (second order, by collisions with bath gas) onto two components - those that produce symmetric and asymmetric ozone molecules. This is done semi-empirically, by assuming that stabilization rate coefficient for a scattering resonance is proportional to the probability amplitude over certain area of the PES. Namely, integrating the moduli squared of wavefunctions of the individual scattering resonances over the parts of the PES associated with symmetric and asymmetric ozone molecules (see </w:t>
      </w:r>
      <w:r w:rsidRPr="00AD482D">
        <w:rPr>
          <w:b/>
          <w:bCs/>
        </w:rPr>
        <w:t>Figure 1</w:t>
      </w:r>
      <w:r w:rsidRPr="00287AF0">
        <w:t>), we can determine the product-specific probabilities </w:t>
      </w:r>
      <m:oMath>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sym</m:t>
            </m:r>
          </m:sup>
        </m:sSubSup>
      </m:oMath>
      <w:r w:rsidRPr="00287AF0">
        <w:t> and </w:t>
      </w:r>
      <m:oMath>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asym</m:t>
            </m:r>
          </m:sup>
        </m:sSubSup>
      </m:oMath>
      <w:r w:rsidRPr="00287AF0">
        <w:t>, and the total probability [</w:t>
      </w:r>
      <w:r w:rsidRPr="00AD482D">
        <w:rPr>
          <w:b/>
          <w:bCs/>
        </w:rPr>
        <w:t>21</w:t>
      </w:r>
      <w:r w:rsidRPr="00287AF0">
        <w:t>,</w:t>
      </w:r>
      <w:r w:rsidRPr="00AD482D">
        <w:rPr>
          <w:b/>
          <w:bCs/>
        </w:rPr>
        <w:t>22</w:t>
      </w:r>
      <w:r w:rsidRPr="00287AF0">
        <w:t>,</w:t>
      </w:r>
      <w:r w:rsidRPr="00AD482D">
        <w:rPr>
          <w:b/>
          <w:bCs/>
        </w:rPr>
        <w:t>23</w:t>
      </w:r>
      <w:r w:rsidRPr="00287AF0">
        <w:t>,</w:t>
      </w:r>
      <w:r w:rsidRPr="00AD482D">
        <w:rPr>
          <w:b/>
          <w:bCs/>
        </w:rPr>
        <w:t>24</w:t>
      </w:r>
      <w:r w:rsidRPr="00287AF0">
        <w:t>]:</w:t>
      </w:r>
    </w:p>
    <w:p w14:paraId="75B5A677" w14:textId="04A3F5A9" w:rsidR="00503FC1" w:rsidRPr="00287AF0" w:rsidRDefault="00270B36" w:rsidP="00287AF0">
      <m:oMathPara>
        <m:oMath>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tot</m:t>
              </m:r>
            </m:sup>
          </m:sSubSup>
          <m:r>
            <w:rPr>
              <w:rFonts w:ascii="Cambria Math" w:hAnsi="Cambria Math"/>
            </w:rPr>
            <m:t xml:space="preserve">= </m:t>
          </m:r>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sym</m:t>
              </m:r>
            </m:sup>
          </m:sSubSup>
          <m:r>
            <w:rPr>
              <w:rFonts w:ascii="Cambria Math" w:hAnsi="Cambria Math"/>
            </w:rPr>
            <m:t>+</m:t>
          </m:r>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asym</m:t>
              </m:r>
            </m:sup>
          </m:sSubSup>
        </m:oMath>
      </m:oMathPara>
    </w:p>
    <w:p w14:paraId="0C642B4D" w14:textId="77777777" w:rsidR="00287AF0" w:rsidRPr="00287AF0" w:rsidRDefault="00287AF0" w:rsidP="00287AF0">
      <w:r w:rsidRPr="00287AF0">
        <w:t>(16)</w:t>
      </w:r>
    </w:p>
    <w:p w14:paraId="79DDEA3B" w14:textId="77777777" w:rsidR="00287AF0" w:rsidRPr="00287AF0" w:rsidRDefault="00287AF0" w:rsidP="00287AF0">
      <w:r w:rsidRPr="00287AF0">
        <w:t>The two product-specific stabilization rate coefficients, are then computed as:</w:t>
      </w:r>
    </w:p>
    <w:p w14:paraId="1D21FB0D" w14:textId="3BB17EBA" w:rsidR="00270B36" w:rsidRPr="00287AF0" w:rsidRDefault="003E3CC3" w:rsidP="00287AF0">
      <m:oMathPara>
        <m:oMath>
          <m:sSubSup>
            <m:sSubSupPr>
              <m:ctrlPr>
                <w:rPr>
                  <w:rFonts w:ascii="Cambria Math" w:hAnsi="Cambria Math"/>
                </w:rPr>
              </m:ctrlPr>
            </m:sSubSupPr>
            <m:e>
              <m:r>
                <w:rPr>
                  <w:rFonts w:ascii="Cambria Math" w:hAnsi="Cambria Math"/>
                </w:rPr>
                <m:t>k</m:t>
              </m:r>
            </m:e>
            <m:sub>
              <m:r>
                <w:rPr>
                  <w:rFonts w:ascii="Cambria Math" w:hAnsi="Cambria Math"/>
                </w:rPr>
                <m:t>i</m:t>
              </m:r>
            </m:sub>
            <m:sup>
              <m:r>
                <m:rPr>
                  <m:sty m:val="p"/>
                </m:rPr>
                <w:rPr>
                  <w:rFonts w:ascii="Cambria Math" w:hAnsi="Cambria Math"/>
                </w:rPr>
                <m:t>stab</m:t>
              </m:r>
              <m:r>
                <w:rPr>
                  <w:rFonts w:ascii="Cambria Math" w:hAnsi="Cambria Math"/>
                </w:rPr>
                <m:t>,</m:t>
              </m:r>
              <m:r>
                <m:rPr>
                  <m:sty m:val="p"/>
                </m:rPr>
                <w:rPr>
                  <w:rFonts w:ascii="Cambria Math" w:hAnsi="Cambria Math"/>
                </w:rPr>
                <m:t>sym</m:t>
              </m:r>
            </m:sup>
          </m:sSubSup>
          <m:r>
            <w:rPr>
              <w:rFonts w:ascii="Cambria Math" w:hAnsi="Cambria Math"/>
            </w:rPr>
            <m:t>=</m:t>
          </m:r>
          <m:sSup>
            <m:sSupPr>
              <m:ctrlPr>
                <w:rPr>
                  <w:rFonts w:ascii="Cambria Math" w:hAnsi="Cambria Math"/>
                </w:rPr>
              </m:ctrlPr>
            </m:sSupPr>
            <m:e>
              <m:r>
                <w:rPr>
                  <w:rFonts w:ascii="Cambria Math" w:hAnsi="Cambria Math"/>
                </w:rPr>
                <m:t>k</m:t>
              </m:r>
            </m:e>
            <m:sup>
              <m:r>
                <m:rPr>
                  <m:sty m:val="p"/>
                </m:rPr>
                <w:rPr>
                  <w:rFonts w:ascii="Cambria Math" w:hAnsi="Cambria Math"/>
                </w:rPr>
                <m:t>stab</m:t>
              </m:r>
            </m:sup>
          </m:sSup>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sym</m:t>
              </m:r>
            </m:sup>
          </m:sSubSup>
        </m:oMath>
      </m:oMathPara>
    </w:p>
    <w:p w14:paraId="4C30A633" w14:textId="77777777" w:rsidR="00287AF0" w:rsidRPr="00287AF0" w:rsidRDefault="00287AF0" w:rsidP="00287AF0">
      <w:r w:rsidRPr="00287AF0">
        <w:t>(17)</w:t>
      </w:r>
    </w:p>
    <w:p w14:paraId="304ECDAF" w14:textId="265B30D2" w:rsidR="003E3CC3" w:rsidRPr="00287AF0" w:rsidRDefault="00EC4DC9" w:rsidP="00287AF0">
      <m:oMathPara>
        <m:oMath>
          <m:sSubSup>
            <m:sSubSupPr>
              <m:ctrlPr>
                <w:rPr>
                  <w:rFonts w:ascii="Cambria Math" w:hAnsi="Cambria Math"/>
                </w:rPr>
              </m:ctrlPr>
            </m:sSubSupPr>
            <m:e>
              <m:r>
                <w:rPr>
                  <w:rFonts w:ascii="Cambria Math" w:hAnsi="Cambria Math"/>
                </w:rPr>
                <m:t>k</m:t>
              </m:r>
            </m:e>
            <m:sub>
              <m:r>
                <w:rPr>
                  <w:rFonts w:ascii="Cambria Math" w:hAnsi="Cambria Math"/>
                </w:rPr>
                <m:t>i</m:t>
              </m:r>
            </m:sub>
            <m:sup>
              <m:r>
                <m:rPr>
                  <m:sty m:val="p"/>
                </m:rPr>
                <w:rPr>
                  <w:rFonts w:ascii="Cambria Math" w:hAnsi="Cambria Math"/>
                </w:rPr>
                <m:t>stab</m:t>
              </m:r>
              <m:r>
                <w:rPr>
                  <w:rFonts w:ascii="Cambria Math" w:hAnsi="Cambria Math"/>
                </w:rPr>
                <m:t>,</m:t>
              </m:r>
              <m:r>
                <m:rPr>
                  <m:sty m:val="p"/>
                </m:rPr>
                <w:rPr>
                  <w:rFonts w:ascii="Cambria Math" w:hAnsi="Cambria Math"/>
                </w:rPr>
                <m:t>asym</m:t>
              </m:r>
            </m:sup>
          </m:sSubSup>
          <m:r>
            <w:rPr>
              <w:rFonts w:ascii="Cambria Math" w:hAnsi="Cambria Math"/>
            </w:rPr>
            <m:t>=</m:t>
          </m:r>
          <m:sSup>
            <m:sSupPr>
              <m:ctrlPr>
                <w:rPr>
                  <w:rFonts w:ascii="Cambria Math" w:hAnsi="Cambria Math"/>
                </w:rPr>
              </m:ctrlPr>
            </m:sSupPr>
            <m:e>
              <m:r>
                <w:rPr>
                  <w:rFonts w:ascii="Cambria Math" w:hAnsi="Cambria Math"/>
                </w:rPr>
                <m:t>k</m:t>
              </m:r>
            </m:e>
            <m:sup>
              <m:r>
                <m:rPr>
                  <m:sty m:val="p"/>
                </m:rPr>
                <w:rPr>
                  <w:rFonts w:ascii="Cambria Math" w:hAnsi="Cambria Math"/>
                </w:rPr>
                <m:t>stab</m:t>
              </m:r>
            </m:sup>
          </m:sSup>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asym</m:t>
              </m:r>
            </m:sup>
          </m:sSubSup>
        </m:oMath>
      </m:oMathPara>
    </w:p>
    <w:p w14:paraId="122F2D44" w14:textId="77777777" w:rsidR="00287AF0" w:rsidRPr="00287AF0" w:rsidRDefault="00287AF0" w:rsidP="00287AF0">
      <w:r w:rsidRPr="00287AF0">
        <w:t>(18)</w:t>
      </w:r>
    </w:p>
    <w:p w14:paraId="36E836AA" w14:textId="25CD2ACF" w:rsidR="00287AF0" w:rsidRPr="00287AF0" w:rsidRDefault="00287AF0" w:rsidP="00287AF0">
      <w:r w:rsidRPr="00287AF0">
        <w:t>The values of probabilities </w:t>
      </w:r>
      <m:oMath>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sym</m:t>
            </m:r>
          </m:sup>
        </m:sSubSup>
      </m:oMath>
      <w:r w:rsidRPr="00287AF0">
        <w:t> and </w:t>
      </w:r>
      <m:oMath>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asym</m:t>
            </m:r>
          </m:sup>
        </m:sSubSup>
      </m:oMath>
      <w:r w:rsidRPr="00287AF0">
        <w:t> are rigorously determined for individual scattering resonances, by integrating their wave functions. In the singly substituted case </w:t>
      </w:r>
      <m:oMath>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sym</m:t>
            </m:r>
          </m:sup>
        </m:sSubSup>
      </m:oMath>
      <w:r w:rsidRPr="00287AF0">
        <w:t> and </w:t>
      </w:r>
      <m:oMath>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asym</m:t>
            </m:r>
          </m:sup>
        </m:sSubSup>
      </m:oMath>
      <w:r w:rsidRPr="00287AF0">
        <w:t> are associated with </w:t>
      </w:r>
      <w:r w:rsidRPr="00287AF0">
        <w:rPr>
          <w:vertAlign w:val="superscript"/>
        </w:rPr>
        <w:t>16</w:t>
      </w:r>
      <w:r w:rsidRPr="00287AF0">
        <w:t>O</w:t>
      </w:r>
      <w:r w:rsidRPr="00287AF0">
        <w:rPr>
          <w:vertAlign w:val="superscript"/>
        </w:rPr>
        <w:t>18</w:t>
      </w:r>
      <w:r w:rsidRPr="00287AF0">
        <w:t>O</w:t>
      </w:r>
      <w:r w:rsidRPr="00287AF0">
        <w:rPr>
          <w:vertAlign w:val="superscript"/>
        </w:rPr>
        <w:t>16</w:t>
      </w:r>
      <w:r w:rsidRPr="00287AF0">
        <w:t>O and </w:t>
      </w:r>
      <w:r w:rsidRPr="00287AF0">
        <w:rPr>
          <w:vertAlign w:val="superscript"/>
        </w:rPr>
        <w:t>16</w:t>
      </w:r>
      <w:r w:rsidRPr="00287AF0">
        <w:t>O</w:t>
      </w:r>
      <w:r w:rsidRPr="00287AF0">
        <w:rPr>
          <w:vertAlign w:val="superscript"/>
        </w:rPr>
        <w:t>16</w:t>
      </w:r>
      <w:r w:rsidRPr="00287AF0">
        <w:t>O</w:t>
      </w:r>
      <w:r w:rsidRPr="00287AF0">
        <w:rPr>
          <w:vertAlign w:val="superscript"/>
        </w:rPr>
        <w:t>18</w:t>
      </w:r>
      <w:r w:rsidRPr="00287AF0">
        <w:t>O, while in the doubly substituted case they correspond to </w:t>
      </w:r>
      <w:r w:rsidRPr="00287AF0">
        <w:rPr>
          <w:vertAlign w:val="superscript"/>
        </w:rPr>
        <w:t>18</w:t>
      </w:r>
      <w:r w:rsidRPr="00287AF0">
        <w:t>O</w:t>
      </w:r>
      <w:r w:rsidRPr="00287AF0">
        <w:rPr>
          <w:vertAlign w:val="superscript"/>
        </w:rPr>
        <w:t>16</w:t>
      </w:r>
      <w:r w:rsidRPr="00287AF0">
        <w:t>O</w:t>
      </w:r>
      <w:r w:rsidRPr="00287AF0">
        <w:rPr>
          <w:vertAlign w:val="superscript"/>
        </w:rPr>
        <w:t>18</w:t>
      </w:r>
      <w:r w:rsidRPr="00287AF0">
        <w:t>O and </w:t>
      </w:r>
      <w:r w:rsidRPr="00287AF0">
        <w:rPr>
          <w:vertAlign w:val="superscript"/>
        </w:rPr>
        <w:t>16</w:t>
      </w:r>
      <w:r w:rsidRPr="00287AF0">
        <w:t>O</w:t>
      </w:r>
      <w:r w:rsidRPr="00287AF0">
        <w:rPr>
          <w:vertAlign w:val="superscript"/>
        </w:rPr>
        <w:t>18</w:t>
      </w:r>
      <w:r w:rsidRPr="00287AF0">
        <w:t>O</w:t>
      </w:r>
      <w:r w:rsidRPr="00287AF0">
        <w:rPr>
          <w:vertAlign w:val="superscript"/>
        </w:rPr>
        <w:t>18</w:t>
      </w:r>
      <w:r w:rsidRPr="00287AF0">
        <w:t>O, respectively. Their sum defines the total stabilization rate coefficient, naturally, as </w:t>
      </w:r>
      <m:oMath>
        <m:sSubSup>
          <m:sSubSupPr>
            <m:ctrlPr>
              <w:rPr>
                <w:rFonts w:ascii="Cambria Math" w:hAnsi="Cambria Math"/>
              </w:rPr>
            </m:ctrlPr>
          </m:sSubSupPr>
          <m:e>
            <m:r>
              <w:rPr>
                <w:rFonts w:ascii="Cambria Math" w:hAnsi="Cambria Math"/>
              </w:rPr>
              <m:t>k</m:t>
            </m:r>
          </m:e>
          <m:sub>
            <m:r>
              <w:rPr>
                <w:rFonts w:ascii="Cambria Math" w:hAnsi="Cambria Math"/>
              </w:rPr>
              <m:t>i</m:t>
            </m:r>
          </m:sub>
          <m:sup>
            <m:r>
              <m:rPr>
                <m:sty m:val="p"/>
              </m:rPr>
              <w:rPr>
                <w:rFonts w:ascii="Cambria Math" w:hAnsi="Cambria Math"/>
              </w:rPr>
              <m:t>stab</m:t>
            </m:r>
          </m:sup>
        </m:sSubSup>
        <m:r>
          <w:rPr>
            <w:rFonts w:ascii="Cambria Math" w:hAnsi="Cambria Math"/>
          </w:rPr>
          <m:t>=</m:t>
        </m:r>
        <m:sSup>
          <m:sSupPr>
            <m:ctrlPr>
              <w:rPr>
                <w:rFonts w:ascii="Cambria Math" w:hAnsi="Cambria Math"/>
              </w:rPr>
            </m:ctrlPr>
          </m:sSupPr>
          <m:e>
            <m:r>
              <w:rPr>
                <w:rFonts w:ascii="Cambria Math" w:hAnsi="Cambria Math"/>
              </w:rPr>
              <m:t>k</m:t>
            </m:r>
          </m:e>
          <m:sup>
            <m:r>
              <m:rPr>
                <m:sty m:val="p"/>
              </m:rPr>
              <w:rPr>
                <w:rFonts w:ascii="Cambria Math" w:hAnsi="Cambria Math"/>
              </w:rPr>
              <m:t>stab</m:t>
            </m:r>
          </m:sup>
        </m:sSup>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tot</m:t>
            </m:r>
          </m:sup>
        </m:sSubSup>
      </m:oMath>
      <w:r w:rsidRPr="00287AF0">
        <w:t>. One single value of </w:t>
      </w:r>
      <m:oMath>
        <m:sSup>
          <m:sSupPr>
            <m:ctrlPr>
              <w:rPr>
                <w:rFonts w:ascii="Cambria Math" w:hAnsi="Cambria Math"/>
              </w:rPr>
            </m:ctrlPr>
          </m:sSupPr>
          <m:e>
            <m:r>
              <w:rPr>
                <w:rFonts w:ascii="Cambria Math" w:hAnsi="Cambria Math"/>
              </w:rPr>
              <m:t>k</m:t>
            </m:r>
          </m:e>
          <m:sup>
            <m:r>
              <m:rPr>
                <m:sty m:val="p"/>
              </m:rPr>
              <w:rPr>
                <w:rFonts w:ascii="Cambria Math" w:hAnsi="Cambria Math"/>
              </w:rPr>
              <m:t>stab</m:t>
            </m:r>
          </m:sup>
        </m:sSup>
        <m:r>
          <w:rPr>
            <w:rFonts w:ascii="Cambria Math" w:hAnsi="Cambria Math"/>
          </w:rPr>
          <m:t>=v</m:t>
        </m:r>
        <m:sSub>
          <m:sSubPr>
            <m:ctrlPr>
              <w:rPr>
                <w:rFonts w:ascii="Cambria Math" w:hAnsi="Cambria Math"/>
              </w:rPr>
            </m:ctrlPr>
          </m:sSubPr>
          <m:e>
            <m:r>
              <m:rPr>
                <m:sty m:val="p"/>
              </m:rPr>
              <w:rPr>
                <w:rFonts w:ascii="Cambria Math" w:hAnsi="Cambria Math"/>
              </w:rPr>
              <m:t>σ</m:t>
            </m:r>
          </m:e>
          <m:sub>
            <m:r>
              <m:rPr>
                <m:sty m:val="p"/>
              </m:rPr>
              <w:rPr>
                <w:rFonts w:ascii="Cambria Math" w:hAnsi="Cambria Math"/>
              </w:rPr>
              <m:t>stab</m:t>
            </m:r>
          </m:sub>
        </m:sSub>
      </m:oMath>
      <w:r w:rsidRPr="00287AF0">
        <w:t> , where </w:t>
      </w:r>
      <m:oMath>
        <m:r>
          <w:rPr>
            <w:rFonts w:ascii="Cambria Math" w:hAnsi="Cambria Math"/>
          </w:rPr>
          <m:t>v=</m:t>
        </m:r>
        <m:rad>
          <m:radPr>
            <m:degHide m:val="1"/>
            <m:ctrlPr>
              <w:rPr>
                <w:rFonts w:ascii="Cambria Math" w:hAnsi="Cambria Math"/>
              </w:rPr>
            </m:ctrlPr>
          </m:radPr>
          <m:deg/>
          <m:e>
            <m:f>
              <m:fPr>
                <m:ctrlPr>
                  <w:rPr>
                    <w:rFonts w:ascii="Cambria Math" w:hAnsi="Cambria Math"/>
                    <w:i/>
                  </w:rPr>
                </m:ctrlPr>
              </m:fPr>
              <m:num>
                <m:r>
                  <w:rPr>
                    <w:rFonts w:ascii="Cambria Math" w:hAnsi="Cambria Math"/>
                  </w:rPr>
                  <m:t>8kT</m:t>
                </m:r>
              </m:num>
              <m:den>
                <m:r>
                  <w:rPr>
                    <w:rFonts w:ascii="Cambria Math" w:hAnsi="Cambria Math"/>
                  </w:rPr>
                  <m:t>πμ</m:t>
                </m:r>
              </m:den>
            </m:f>
          </m:e>
        </m:rad>
      </m:oMath>
      <w:r w:rsidRPr="00287AF0">
        <w:t>, </w:t>
      </w:r>
      <m:oMath>
        <m:r>
          <w:rPr>
            <w:rFonts w:ascii="Cambria Math" w:hAnsi="Cambria Math"/>
          </w:rPr>
          <m:t>μ</m:t>
        </m:r>
      </m:oMath>
      <w:r w:rsidRPr="00287AF0">
        <w:t> is reduced mass and σ</w:t>
      </w:r>
      <w:r w:rsidRPr="00287AF0">
        <w:rPr>
          <w:vertAlign w:val="subscript"/>
        </w:rPr>
        <w:t>stab</w:t>
      </w:r>
      <w:r w:rsidRPr="00287AF0">
        <w:t> = 154.03 a20 is used for all resonances, as was recommended earlier in the mixed quantum/classical study of collisional energy transfer [</w:t>
      </w:r>
      <w:r w:rsidRPr="00AD482D">
        <w:rPr>
          <w:b/>
          <w:bCs/>
        </w:rPr>
        <w:t>32</w:t>
      </w:r>
      <w:r w:rsidRPr="00287AF0">
        <w:t>].</w:t>
      </w:r>
    </w:p>
    <w:p w14:paraId="0585D624" w14:textId="0BFCC544" w:rsidR="00287AF0" w:rsidRPr="00287AF0" w:rsidRDefault="00287AF0" w:rsidP="00287AF0">
      <w:r w:rsidRPr="00287AF0">
        <w:t>Combination of the two </w:t>
      </w:r>
      <w:r w:rsidRPr="00287AF0">
        <w:rPr>
          <w:i/>
          <w:iCs/>
        </w:rPr>
        <w:t>channel-specific</w:t>
      </w:r>
      <w:r w:rsidRPr="00287AF0">
        <w:t> rate coefficients for decay of resonances, with two </w:t>
      </w:r>
      <w:r w:rsidRPr="00287AF0">
        <w:rPr>
          <w:i/>
          <w:iCs/>
        </w:rPr>
        <w:t>product-specific</w:t>
      </w:r>
      <w:r w:rsidRPr="00287AF0">
        <w:t> stabilization rate coefficients, permits to express four </w:t>
      </w:r>
      <w:r w:rsidRPr="00287AF0">
        <w:rPr>
          <w:i/>
          <w:iCs/>
        </w:rPr>
        <w:t>pathway-specific</w:t>
      </w:r>
      <w:r w:rsidRPr="00287AF0">
        <w:t> recombination rate coefficients </w:t>
      </w:r>
      <w:bookmarkStart w:id="2" w:name="_Hlk92884788"/>
      <m:oMath>
        <m:sSub>
          <m:sSubPr>
            <m:ctrlPr>
              <w:rPr>
                <w:rFonts w:ascii="Cambria Math" w:hAnsi="Cambria Math"/>
                <w:i/>
                <w:iCs/>
              </w:rPr>
            </m:ctrlPr>
          </m:sSubPr>
          <m:e>
            <m:r>
              <w:rPr>
                <w:rFonts w:ascii="Cambria Math" w:hAnsi="Cambria Math"/>
              </w:rPr>
              <m:t>κ</m:t>
            </m:r>
          </m:e>
          <m:sub>
            <m:r>
              <w:rPr>
                <w:rFonts w:ascii="Cambria Math" w:hAnsi="Cambria Math"/>
                <w:vertAlign w:val="subscript"/>
              </w:rPr>
              <m:t>Α</m:t>
            </m:r>
          </m:sub>
        </m:sSub>
      </m:oMath>
      <w:bookmarkEnd w:id="2"/>
      <w:r w:rsidRPr="00287AF0">
        <w:rPr>
          <w:i/>
          <w:iCs/>
        </w:rPr>
        <w:t>,</w:t>
      </w:r>
      <w:r w:rsidRPr="00287AF0">
        <w:t> </w:t>
      </w:r>
      <m:oMath>
        <m:sSub>
          <m:sSubPr>
            <m:ctrlPr>
              <w:rPr>
                <w:rFonts w:ascii="Cambria Math" w:hAnsi="Cambria Math"/>
                <w:i/>
                <w:iCs/>
              </w:rPr>
            </m:ctrlPr>
          </m:sSubPr>
          <m:e>
            <m:r>
              <w:rPr>
                <w:rFonts w:ascii="Cambria Math" w:hAnsi="Cambria Math"/>
              </w:rPr>
              <m:t>κ</m:t>
            </m:r>
          </m:e>
          <m:sub>
            <m:r>
              <w:rPr>
                <w:rFonts w:ascii="Cambria Math" w:hAnsi="Cambria Math"/>
                <w:vertAlign w:val="subscript"/>
              </w:rPr>
              <m:t>B</m:t>
            </m:r>
          </m:sub>
        </m:sSub>
      </m:oMath>
      <w:r w:rsidRPr="00287AF0">
        <w:t>, </w:t>
      </w:r>
      <m:oMath>
        <m:sSub>
          <m:sSubPr>
            <m:ctrlPr>
              <w:rPr>
                <w:rFonts w:ascii="Cambria Math" w:hAnsi="Cambria Math"/>
                <w:i/>
                <w:iCs/>
              </w:rPr>
            </m:ctrlPr>
          </m:sSubPr>
          <m:e>
            <m:r>
              <w:rPr>
                <w:rFonts w:ascii="Cambria Math" w:hAnsi="Cambria Math"/>
              </w:rPr>
              <m:t>κ</m:t>
            </m:r>
          </m:e>
          <m:sub>
            <m:r>
              <w:rPr>
                <w:rFonts w:ascii="Cambria Math" w:hAnsi="Cambria Math"/>
                <w:vertAlign w:val="subscript"/>
              </w:rPr>
              <m:t>S</m:t>
            </m:r>
          </m:sub>
        </m:sSub>
      </m:oMath>
      <w:r w:rsidRPr="00287AF0">
        <w:t> and </w:t>
      </w:r>
      <m:oMath>
        <m:sSub>
          <m:sSubPr>
            <m:ctrlPr>
              <w:rPr>
                <w:rFonts w:ascii="Cambria Math" w:eastAsia="Times New Roman" w:hAnsi="Cambria Math" w:cs="Arial"/>
                <w:i/>
                <w:color w:val="222222"/>
                <w:sz w:val="23"/>
                <w:szCs w:val="23"/>
                <w:bdr w:val="none" w:sz="0" w:space="0" w:color="auto" w:frame="1"/>
              </w:rPr>
            </m:ctrlPr>
          </m:sSubPr>
          <m:e>
            <m:r>
              <w:rPr>
                <w:rFonts w:ascii="Cambria Math" w:eastAsia="Times New Roman" w:hAnsi="Cambria Math" w:cs="Arial"/>
                <w:color w:val="222222"/>
                <w:sz w:val="23"/>
                <w:szCs w:val="23"/>
                <w:bdr w:val="none" w:sz="0" w:space="0" w:color="auto" w:frame="1"/>
              </w:rPr>
              <m:t>κ</m:t>
            </m:r>
          </m:e>
          <m:sub>
            <m:r>
              <w:rPr>
                <w:rFonts w:ascii="Cambria Math" w:eastAsia="Times New Roman" w:hAnsi="Cambria Math" w:cs="Arial"/>
                <w:color w:val="222222"/>
                <w:sz w:val="23"/>
                <w:szCs w:val="23"/>
                <w:bdr w:val="none" w:sz="0" w:space="0" w:color="auto" w:frame="1"/>
              </w:rPr>
              <m:t>I</m:t>
            </m:r>
          </m:sub>
        </m:sSub>
      </m:oMath>
      <w:r w:rsidRPr="00287AF0">
        <w:t> through </w:t>
      </w:r>
      <m:oMath>
        <m:sSubSup>
          <m:sSubSupPr>
            <m:ctrlPr>
              <w:rPr>
                <w:rFonts w:ascii="Cambria Math" w:hAnsi="Cambria Math"/>
              </w:rPr>
            </m:ctrlPr>
          </m:sSubSupPr>
          <m:e>
            <m:r>
              <m:rPr>
                <m:sty m:val="p"/>
              </m:rPr>
              <w:rPr>
                <w:rFonts w:ascii="Cambria Math" w:hAnsi="Cambria Math"/>
              </w:rPr>
              <m:t>Γ</m:t>
            </m:r>
          </m:e>
          <m:sub>
            <m:r>
              <w:rPr>
                <w:rFonts w:ascii="Cambria Math" w:hAnsi="Cambria Math"/>
              </w:rPr>
              <m:t>i</m:t>
            </m:r>
          </m:sub>
          <m:sup>
            <m:r>
              <m:rPr>
                <m:sty m:val="p"/>
              </m:rPr>
              <w:rPr>
                <w:rFonts w:ascii="Cambria Math" w:hAnsi="Cambria Math"/>
              </w:rPr>
              <m:t>ch</m:t>
            </m:r>
            <m:r>
              <w:rPr>
                <w:rFonts w:ascii="Cambria Math" w:hAnsi="Cambria Math"/>
              </w:rPr>
              <m:t>1</m:t>
            </m:r>
          </m:sup>
        </m:sSubSup>
      </m:oMath>
      <w:r w:rsidRPr="00287AF0">
        <w:t>, </w:t>
      </w:r>
      <m:oMath>
        <m:sSubSup>
          <m:sSubSupPr>
            <m:ctrlPr>
              <w:rPr>
                <w:rFonts w:ascii="Cambria Math" w:hAnsi="Cambria Math"/>
              </w:rPr>
            </m:ctrlPr>
          </m:sSubSupPr>
          <m:e>
            <m:r>
              <m:rPr>
                <m:sty m:val="p"/>
              </m:rPr>
              <w:rPr>
                <w:rFonts w:ascii="Cambria Math" w:hAnsi="Cambria Math"/>
              </w:rPr>
              <m:t>Γ</m:t>
            </m:r>
          </m:e>
          <m:sub>
            <m:r>
              <w:rPr>
                <w:rFonts w:ascii="Cambria Math" w:hAnsi="Cambria Math"/>
              </w:rPr>
              <m:t>i</m:t>
            </m:r>
          </m:sub>
          <m:sup>
            <m:r>
              <m:rPr>
                <m:sty m:val="p"/>
              </m:rPr>
              <w:rPr>
                <w:rFonts w:ascii="Cambria Math" w:hAnsi="Cambria Math"/>
              </w:rPr>
              <m:t>ch</m:t>
            </m:r>
            <m:r>
              <w:rPr>
                <w:rFonts w:ascii="Cambria Math" w:hAnsi="Cambria Math"/>
              </w:rPr>
              <m:t>2</m:t>
            </m:r>
          </m:sup>
        </m:sSubSup>
      </m:oMath>
      <w:r w:rsidRPr="00287AF0">
        <w:t>, </w:t>
      </w:r>
      <m:oMath>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sym</m:t>
            </m:r>
          </m:sup>
        </m:sSubSup>
      </m:oMath>
      <w:r w:rsidRPr="00287AF0">
        <w:t> and </w:t>
      </w:r>
      <m:oMath>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asym</m:t>
            </m:r>
          </m:sup>
        </m:sSubSup>
      </m:oMath>
      <w:r w:rsidRPr="00287AF0">
        <w:t> (for each resona</w:t>
      </w:r>
      <w:proofErr w:type="spellStart"/>
      <w:r w:rsidRPr="00287AF0">
        <w:t>nce</w:t>
      </w:r>
      <w:proofErr w:type="spellEnd"/>
      <w:r w:rsidRPr="00287AF0">
        <w:t xml:space="preserve">). In addition, we will obtain, </w:t>
      </w:r>
      <w:proofErr w:type="gramStart"/>
      <w:r w:rsidRPr="00287AF0">
        <w:t>analyze</w:t>
      </w:r>
      <w:proofErr w:type="gramEnd"/>
      <w:r w:rsidRPr="00287AF0">
        <w:t xml:space="preserve"> and employ the expressions for recombination rate coefficients </w:t>
      </w:r>
      <m:oMath>
        <m:sSub>
          <m:sSubPr>
            <m:ctrlPr>
              <w:rPr>
                <w:rFonts w:ascii="Cambria Math" w:hAnsi="Cambria Math"/>
                <w:iCs/>
              </w:rPr>
            </m:ctrlPr>
          </m:sSubPr>
          <m:e>
            <m:r>
              <w:rPr>
                <w:rFonts w:ascii="Cambria Math" w:hAnsi="Cambria Math"/>
              </w:rPr>
              <m:t>κ</m:t>
            </m:r>
          </m:e>
          <m:sub>
            <m:r>
              <m:rPr>
                <m:sty m:val="p"/>
              </m:rPr>
              <w:rPr>
                <w:rFonts w:ascii="Cambria Math" w:hAnsi="Cambria Math"/>
              </w:rPr>
              <m:t>sym</m:t>
            </m:r>
          </m:sub>
        </m:sSub>
      </m:oMath>
      <w:r w:rsidRPr="00287AF0">
        <w:t> and </w:t>
      </w:r>
      <m:oMath>
        <m:sSub>
          <m:sSubPr>
            <m:ctrlPr>
              <w:rPr>
                <w:rFonts w:ascii="Cambria Math" w:hAnsi="Cambria Math"/>
                <w:iCs/>
              </w:rPr>
            </m:ctrlPr>
          </m:sSubPr>
          <m:e>
            <m:r>
              <w:rPr>
                <w:rFonts w:ascii="Cambria Math" w:hAnsi="Cambria Math"/>
              </w:rPr>
              <m:t>κ</m:t>
            </m:r>
          </m:e>
          <m:sub>
            <m:r>
              <m:rPr>
                <m:sty m:val="p"/>
              </m:rPr>
              <w:rPr>
                <w:rFonts w:ascii="Cambria Math" w:hAnsi="Cambria Math"/>
              </w:rPr>
              <m:t>asym</m:t>
            </m:r>
          </m:sub>
        </m:sSub>
      </m:oMath>
      <w:r w:rsidRPr="00287AF0">
        <w:t> for production of symmetric and asymmetric ozone molecules.</w:t>
      </w:r>
    </w:p>
    <w:p w14:paraId="7A74CBB0" w14:textId="77777777" w:rsidR="00287AF0" w:rsidRPr="00287AF0" w:rsidRDefault="00287AF0" w:rsidP="004A53E7">
      <w:pPr>
        <w:pStyle w:val="Heading1"/>
      </w:pPr>
      <w:r w:rsidRPr="00287AF0">
        <w:t>2. Theory</w:t>
      </w:r>
    </w:p>
    <w:p w14:paraId="6DB70A02" w14:textId="77777777" w:rsidR="00287AF0" w:rsidRPr="00287AF0" w:rsidRDefault="00287AF0" w:rsidP="004A53E7">
      <w:pPr>
        <w:pStyle w:val="Heading2"/>
      </w:pPr>
      <w:r w:rsidRPr="00287AF0">
        <w:t>2.1. The Four Pathways of the Recombination Reaction</w:t>
      </w:r>
    </w:p>
    <w:p w14:paraId="2207DE4C" w14:textId="0E6F28F9" w:rsidR="00287AF0" w:rsidRPr="00287AF0" w:rsidRDefault="00287AF0" w:rsidP="00287AF0">
      <w:r w:rsidRPr="00287AF0">
        <w:t>According to the Lindemann mechanism [</w:t>
      </w:r>
      <w:r w:rsidRPr="00AD482D">
        <w:rPr>
          <w:b/>
          <w:bCs/>
        </w:rPr>
        <w:t>33</w:t>
      </w:r>
      <w:r w:rsidRPr="00287AF0">
        <w:t>], the rate </w:t>
      </w:r>
      <w:r w:rsidRPr="00287AF0">
        <w:rPr>
          <w:i/>
          <w:iCs/>
        </w:rPr>
        <w:t>R</w:t>
      </w:r>
      <w:r w:rsidRPr="00287AF0">
        <w:t> of a recombination process is a product of the concentration of metastable species </w:t>
      </w:r>
      <m:oMath>
        <m:d>
          <m:dPr>
            <m:begChr m:val="["/>
            <m:endChr m:val="]"/>
            <m:ctrlPr>
              <w:rPr>
                <w:rFonts w:ascii="Cambria Math" w:hAnsi="Cambria Math"/>
                <w:i/>
              </w:rPr>
            </m:ctrlPr>
          </m:dPr>
          <m:e>
            <m:sSubSup>
              <m:sSubSupPr>
                <m:ctrlPr>
                  <w:rPr>
                    <w:rFonts w:ascii="Cambria Math" w:hAnsi="Cambria Math"/>
                  </w:rPr>
                </m:ctrlPr>
              </m:sSubSupPr>
              <m:e>
                <m:r>
                  <m:rPr>
                    <m:sty m:val="p"/>
                  </m:rPr>
                  <w:rPr>
                    <w:rFonts w:ascii="Cambria Math" w:hAnsi="Cambria Math"/>
                  </w:rPr>
                  <m:t>O</m:t>
                </m:r>
              </m:e>
              <m:sub>
                <m:r>
                  <w:rPr>
                    <w:rFonts w:ascii="Cambria Math" w:hAnsi="Cambria Math"/>
                  </w:rPr>
                  <m:t>3</m:t>
                </m:r>
              </m:sub>
              <m:sup>
                <m:r>
                  <w:rPr>
                    <w:rFonts w:ascii="Cambria Math" w:hAnsi="Cambria Math"/>
                  </w:rPr>
                  <m:t>*</m:t>
                </m:r>
              </m:sup>
            </m:sSubSup>
          </m:e>
        </m:d>
      </m:oMath>
      <w:r w:rsidRPr="00287AF0">
        <w:t> represented here by scattering resonances, the concentration of bath gas particles [M], and the stabilization rate coefficient </w:t>
      </w:r>
      <w:proofErr w:type="spellStart"/>
      <w:r w:rsidRPr="00287AF0">
        <w:rPr>
          <w:i/>
          <w:iCs/>
        </w:rPr>
        <w:t>k</w:t>
      </w:r>
      <w:r w:rsidRPr="00287AF0">
        <w:rPr>
          <w:vertAlign w:val="superscript"/>
        </w:rPr>
        <w:t>stab</w:t>
      </w:r>
      <w:proofErr w:type="spellEnd"/>
      <w:r w:rsidRPr="00287AF0">
        <w:t>, see Equation (19). If we assume that different resonances are populated and stabilized independently, the total rate is given by the sum over scattering resonances (labelled by index </w:t>
      </w:r>
      <w:proofErr w:type="spellStart"/>
      <w:r w:rsidRPr="00287AF0">
        <w:rPr>
          <w:i/>
          <w:iCs/>
        </w:rPr>
        <w:t>i</w:t>
      </w:r>
      <w:proofErr w:type="spellEnd"/>
      <w:r w:rsidRPr="00287AF0">
        <w:t>):</w:t>
      </w:r>
    </w:p>
    <w:p w14:paraId="4B568C48" w14:textId="5C1F36AD" w:rsidR="00420101" w:rsidRPr="00287AF0" w:rsidRDefault="00803DC6" w:rsidP="00287AF0">
      <m:oMathPara>
        <m:oMath>
          <m:r>
            <w:rPr>
              <w:rFonts w:ascii="Cambria Math" w:hAnsi="Cambria Math"/>
            </w:rPr>
            <m:t>R=</m:t>
          </m:r>
          <m:nary>
            <m:naryPr>
              <m:chr m:val="∑"/>
              <m:limLoc m:val="undOvr"/>
              <m:grow m:val="1"/>
              <m:supHide m:val="1"/>
              <m:ctrlPr>
                <w:rPr>
                  <w:rFonts w:ascii="Cambria Math" w:hAnsi="Cambria Math"/>
                </w:rPr>
              </m:ctrlPr>
            </m:naryPr>
            <m:sub>
              <m:r>
                <w:rPr>
                  <w:rFonts w:ascii="Cambria Math" w:hAnsi="Cambria Math"/>
                </w:rPr>
                <m:t>i</m:t>
              </m:r>
            </m:sub>
            <m:sup/>
            <m:e>
              <m:sSubSup>
                <m:sSubSupPr>
                  <m:ctrlPr>
                    <w:rPr>
                      <w:rFonts w:ascii="Cambria Math" w:hAnsi="Cambria Math"/>
                    </w:rPr>
                  </m:ctrlPr>
                </m:sSubSupPr>
                <m:e>
                  <m:r>
                    <w:rPr>
                      <w:rFonts w:ascii="Cambria Math" w:hAnsi="Cambria Math"/>
                    </w:rPr>
                    <m:t>k</m:t>
                  </m:r>
                </m:e>
                <m:sub>
                  <m:r>
                    <w:rPr>
                      <w:rFonts w:ascii="Cambria Math" w:hAnsi="Cambria Math"/>
                    </w:rPr>
                    <m:t>i</m:t>
                  </m:r>
                </m:sub>
                <m:sup>
                  <m:r>
                    <m:rPr>
                      <m:sty m:val="p"/>
                    </m:rPr>
                    <w:rPr>
                      <w:rFonts w:ascii="Cambria Math" w:hAnsi="Cambria Math"/>
                    </w:rPr>
                    <m:t>stab</m:t>
                  </m:r>
                </m:sup>
              </m:sSubSup>
              <m:d>
                <m:dPr>
                  <m:begChr m:val="["/>
                  <m:endChr m:val="]"/>
                  <m:ctrlPr>
                    <w:rPr>
                      <w:rFonts w:ascii="Cambria Math" w:hAnsi="Cambria Math"/>
                      <w:i/>
                    </w:rPr>
                  </m:ctrlPr>
                </m:dPr>
                <m:e>
                  <m:r>
                    <m:rPr>
                      <m:sty m:val="p"/>
                    </m:rPr>
                    <w:rPr>
                      <w:rFonts w:ascii="Cambria Math" w:hAnsi="Cambria Math"/>
                    </w:rPr>
                    <m:t>M</m:t>
                  </m:r>
                </m:e>
              </m:d>
              <m:sSub>
                <m:sSubPr>
                  <m:ctrlPr>
                    <w:rPr>
                      <w:rFonts w:ascii="Cambria Math" w:hAnsi="Cambria Math"/>
                    </w:rPr>
                  </m:ctrlPr>
                </m:sSubPr>
                <m:e>
                  <m:d>
                    <m:dPr>
                      <m:begChr m:val="["/>
                      <m:endChr m:val="]"/>
                      <m:ctrlPr>
                        <w:rPr>
                          <w:rFonts w:ascii="Cambria Math" w:hAnsi="Cambria Math"/>
                          <w:i/>
                        </w:rPr>
                      </m:ctrlPr>
                    </m:dPr>
                    <m:e>
                      <m:sSubSup>
                        <m:sSubSupPr>
                          <m:ctrlPr>
                            <w:rPr>
                              <w:rFonts w:ascii="Cambria Math" w:hAnsi="Cambria Math"/>
                            </w:rPr>
                          </m:ctrlPr>
                        </m:sSubSupPr>
                        <m:e>
                          <m:r>
                            <m:rPr>
                              <m:sty m:val="p"/>
                            </m:rPr>
                            <w:rPr>
                              <w:rFonts w:ascii="Cambria Math" w:hAnsi="Cambria Math"/>
                            </w:rPr>
                            <m:t>O</m:t>
                          </m:r>
                        </m:e>
                        <m:sub>
                          <m:r>
                            <w:rPr>
                              <w:rFonts w:ascii="Cambria Math" w:hAnsi="Cambria Math"/>
                            </w:rPr>
                            <m:t>3</m:t>
                          </m:r>
                        </m:sub>
                        <m:sup>
                          <m:r>
                            <w:rPr>
                              <w:rFonts w:ascii="Cambria Math" w:hAnsi="Cambria Math"/>
                            </w:rPr>
                            <m:t>*</m:t>
                          </m:r>
                        </m:sup>
                      </m:sSubSup>
                    </m:e>
                  </m:d>
                </m:e>
                <m:sub>
                  <m:r>
                    <w:rPr>
                      <w:rFonts w:ascii="Cambria Math" w:hAnsi="Cambria Math"/>
                    </w:rPr>
                    <m:t>i</m:t>
                  </m:r>
                </m:sub>
              </m:sSub>
            </m:e>
          </m:nary>
        </m:oMath>
      </m:oMathPara>
    </w:p>
    <w:p w14:paraId="31F9E7E3" w14:textId="77777777" w:rsidR="00287AF0" w:rsidRPr="00287AF0" w:rsidRDefault="00287AF0" w:rsidP="00287AF0">
      <w:r w:rsidRPr="00287AF0">
        <w:t>(19)</w:t>
      </w:r>
    </w:p>
    <w:p w14:paraId="5B41B320" w14:textId="77777777" w:rsidR="00287AF0" w:rsidRPr="00287AF0" w:rsidRDefault="00287AF0" w:rsidP="00287AF0">
      <w:r w:rsidRPr="00287AF0">
        <w:t>Using Equation (16) this formula splits onto two contributions that correspond to the rates of production of symmetric and asymmetric ozone molecules, as follows:</w:t>
      </w:r>
    </w:p>
    <w:p w14:paraId="5FA0FCCC" w14:textId="039228C0" w:rsidR="00AC1F8B" w:rsidRPr="00287AF0" w:rsidRDefault="007B0518" w:rsidP="00287AF0">
      <m:oMathPara>
        <m:oMath>
          <m:r>
            <w:rPr>
              <w:rFonts w:ascii="Cambria Math" w:hAnsi="Cambria Math"/>
            </w:rPr>
            <m:t>R=</m:t>
          </m:r>
          <m:nary>
            <m:naryPr>
              <m:chr m:val="∑"/>
              <m:limLoc m:val="undOvr"/>
              <m:grow m:val="1"/>
              <m:supHide m:val="1"/>
              <m:ctrlPr>
                <w:rPr>
                  <w:rFonts w:ascii="Cambria Math" w:hAnsi="Cambria Math"/>
                </w:rPr>
              </m:ctrlPr>
            </m:naryPr>
            <m:sub>
              <m:r>
                <w:rPr>
                  <w:rFonts w:ascii="Cambria Math" w:hAnsi="Cambria Math"/>
                </w:rPr>
                <m:t>i</m:t>
              </m:r>
            </m:sub>
            <m:sup/>
            <m:e>
              <m:sSup>
                <m:sSupPr>
                  <m:ctrlPr>
                    <w:rPr>
                      <w:rFonts w:ascii="Cambria Math" w:hAnsi="Cambria Math"/>
                    </w:rPr>
                  </m:ctrlPr>
                </m:sSupPr>
                <m:e>
                  <m:r>
                    <w:rPr>
                      <w:rFonts w:ascii="Cambria Math" w:hAnsi="Cambria Math"/>
                    </w:rPr>
                    <m:t>k</m:t>
                  </m:r>
                </m:e>
                <m:sup>
                  <m:r>
                    <m:rPr>
                      <m:sty m:val="p"/>
                    </m:rPr>
                    <w:rPr>
                      <w:rFonts w:ascii="Cambria Math" w:hAnsi="Cambria Math"/>
                    </w:rPr>
                    <m:t>stab</m:t>
                  </m:r>
                </m:sup>
              </m:sSup>
              <m:d>
                <m:dPr>
                  <m:ctrlPr>
                    <w:rPr>
                      <w:rFonts w:ascii="Cambria Math" w:hAnsi="Cambria Math"/>
                      <w:i/>
                    </w:rPr>
                  </m:ctrlPr>
                </m:dPr>
                <m:e>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sym</m:t>
                      </m:r>
                    </m:sup>
                  </m:sSubSup>
                  <m:r>
                    <w:rPr>
                      <w:rFonts w:ascii="Cambria Math" w:hAnsi="Cambria Math"/>
                    </w:rPr>
                    <m:t>+</m:t>
                  </m:r>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asym</m:t>
                      </m:r>
                    </m:sup>
                  </m:sSubSup>
                </m:e>
              </m:d>
              <m:d>
                <m:dPr>
                  <m:begChr m:val="["/>
                  <m:endChr m:val="]"/>
                  <m:ctrlPr>
                    <w:rPr>
                      <w:rFonts w:ascii="Cambria Math" w:hAnsi="Cambria Math"/>
                      <w:i/>
                    </w:rPr>
                  </m:ctrlPr>
                </m:dPr>
                <m:e>
                  <m:r>
                    <m:rPr>
                      <m:sty m:val="p"/>
                    </m:rPr>
                    <w:rPr>
                      <w:rFonts w:ascii="Cambria Math" w:hAnsi="Cambria Math"/>
                    </w:rPr>
                    <m:t>M</m:t>
                  </m:r>
                </m:e>
              </m:d>
              <m:sSub>
                <m:sSubPr>
                  <m:ctrlPr>
                    <w:rPr>
                      <w:rFonts w:ascii="Cambria Math" w:hAnsi="Cambria Math"/>
                    </w:rPr>
                  </m:ctrlPr>
                </m:sSubPr>
                <m:e>
                  <m:d>
                    <m:dPr>
                      <m:begChr m:val="["/>
                      <m:endChr m:val="]"/>
                      <m:ctrlPr>
                        <w:rPr>
                          <w:rFonts w:ascii="Cambria Math" w:hAnsi="Cambria Math"/>
                          <w:i/>
                        </w:rPr>
                      </m:ctrlPr>
                    </m:dPr>
                    <m:e>
                      <m:sSubSup>
                        <m:sSubSupPr>
                          <m:ctrlPr>
                            <w:rPr>
                              <w:rFonts w:ascii="Cambria Math" w:hAnsi="Cambria Math"/>
                            </w:rPr>
                          </m:ctrlPr>
                        </m:sSubSupPr>
                        <m:e>
                          <m:r>
                            <m:rPr>
                              <m:sty m:val="p"/>
                            </m:rPr>
                            <w:rPr>
                              <w:rFonts w:ascii="Cambria Math" w:hAnsi="Cambria Math"/>
                            </w:rPr>
                            <m:t>O</m:t>
                          </m:r>
                        </m:e>
                        <m:sub>
                          <m:r>
                            <w:rPr>
                              <w:rFonts w:ascii="Cambria Math" w:hAnsi="Cambria Math"/>
                            </w:rPr>
                            <m:t>3</m:t>
                          </m:r>
                        </m:sub>
                        <m:sup>
                          <m:r>
                            <w:rPr>
                              <w:rFonts w:ascii="Cambria Math" w:hAnsi="Cambria Math"/>
                            </w:rPr>
                            <m:t>*</m:t>
                          </m:r>
                        </m:sup>
                      </m:sSubSup>
                    </m:e>
                  </m:d>
                </m:e>
                <m:sub>
                  <m:r>
                    <w:rPr>
                      <w:rFonts w:ascii="Cambria Math" w:hAnsi="Cambria Math"/>
                    </w:rPr>
                    <m:t>i</m:t>
                  </m:r>
                </m:sub>
              </m:sSub>
              <m:r>
                <w:rPr>
                  <w:rFonts w:ascii="Cambria Math" w:hAnsi="Cambria Math"/>
                </w:rPr>
                <m:t>=</m:t>
              </m:r>
              <m:sSup>
                <m:sSupPr>
                  <m:ctrlPr>
                    <w:rPr>
                      <w:rFonts w:ascii="Cambria Math" w:hAnsi="Cambria Math"/>
                    </w:rPr>
                  </m:ctrlPr>
                </m:sSupPr>
                <m:e>
                  <m:r>
                    <w:rPr>
                      <w:rFonts w:ascii="Cambria Math" w:hAnsi="Cambria Math"/>
                    </w:rPr>
                    <m:t>k</m:t>
                  </m:r>
                </m:e>
                <m:sup>
                  <m:r>
                    <m:rPr>
                      <m:sty m:val="p"/>
                    </m:rPr>
                    <w:rPr>
                      <w:rFonts w:ascii="Cambria Math" w:hAnsi="Cambria Math"/>
                    </w:rPr>
                    <m:t>stab</m:t>
                  </m:r>
                </m:sup>
              </m:sSup>
            </m:e>
          </m:nary>
          <m:d>
            <m:dPr>
              <m:begChr m:val="["/>
              <m:endChr m:val="]"/>
              <m:ctrlPr>
                <w:rPr>
                  <w:rFonts w:ascii="Cambria Math" w:hAnsi="Cambria Math"/>
                  <w:i/>
                </w:rPr>
              </m:ctrlPr>
            </m:dPr>
            <m:e>
              <m:r>
                <m:rPr>
                  <m:sty m:val="p"/>
                </m:rPr>
                <w:rPr>
                  <w:rFonts w:ascii="Cambria Math" w:hAnsi="Cambria Math"/>
                </w:rPr>
                <m:t>M</m:t>
              </m:r>
            </m:e>
          </m:d>
          <m:nary>
            <m:naryPr>
              <m:chr m:val="∑"/>
              <m:limLoc m:val="undOvr"/>
              <m:grow m:val="1"/>
              <m:supHide m:val="1"/>
              <m:ctrlPr>
                <w:rPr>
                  <w:rFonts w:ascii="Cambria Math" w:hAnsi="Cambria Math"/>
                </w:rPr>
              </m:ctrlPr>
            </m:naryPr>
            <m:sub>
              <m:r>
                <w:rPr>
                  <w:rFonts w:ascii="Cambria Math" w:hAnsi="Cambria Math"/>
                </w:rPr>
                <m:t>i</m:t>
              </m:r>
            </m:sub>
            <m:sup/>
            <m:e>
              <m:sSub>
                <m:sSubPr>
                  <m:ctrlPr>
                    <w:rPr>
                      <w:rFonts w:ascii="Cambria Math" w:hAnsi="Cambria Math"/>
                    </w:rPr>
                  </m:ctrlPr>
                </m:sSubPr>
                <m:e>
                  <m:d>
                    <m:dPr>
                      <m:begChr m:val="["/>
                      <m:endChr m:val="]"/>
                      <m:ctrlPr>
                        <w:rPr>
                          <w:rFonts w:ascii="Cambria Math" w:hAnsi="Cambria Math"/>
                          <w:i/>
                        </w:rPr>
                      </m:ctrlPr>
                    </m:dPr>
                    <m:e>
                      <m:sSubSup>
                        <m:sSubSupPr>
                          <m:ctrlPr>
                            <w:rPr>
                              <w:rFonts w:ascii="Cambria Math" w:hAnsi="Cambria Math"/>
                            </w:rPr>
                          </m:ctrlPr>
                        </m:sSubSupPr>
                        <m:e>
                          <m:r>
                            <m:rPr>
                              <m:sty m:val="p"/>
                            </m:rPr>
                            <w:rPr>
                              <w:rFonts w:ascii="Cambria Math" w:hAnsi="Cambria Math"/>
                            </w:rPr>
                            <m:t>O</m:t>
                          </m:r>
                        </m:e>
                        <m:sub>
                          <m:r>
                            <w:rPr>
                              <w:rFonts w:ascii="Cambria Math" w:hAnsi="Cambria Math"/>
                            </w:rPr>
                            <m:t>3</m:t>
                          </m:r>
                        </m:sub>
                        <m:sup>
                          <m:r>
                            <w:rPr>
                              <w:rFonts w:ascii="Cambria Math" w:hAnsi="Cambria Math"/>
                            </w:rPr>
                            <m:t>*</m:t>
                          </m:r>
                        </m:sup>
                      </m:sSubSup>
                    </m:e>
                  </m:d>
                </m:e>
                <m:sub>
                  <m:r>
                    <w:rPr>
                      <w:rFonts w:ascii="Cambria Math" w:hAnsi="Cambria Math"/>
                    </w:rPr>
                    <m:t>i</m:t>
                  </m:r>
                </m:sub>
              </m:sSub>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sym</m:t>
                  </m:r>
                </m:sup>
              </m:sSubSup>
              <m:r>
                <w:rPr>
                  <w:rFonts w:ascii="Cambria Math" w:hAnsi="Cambria Math"/>
                </w:rPr>
                <m:t>+</m:t>
              </m:r>
              <m:sSup>
                <m:sSupPr>
                  <m:ctrlPr>
                    <w:rPr>
                      <w:rFonts w:ascii="Cambria Math" w:hAnsi="Cambria Math"/>
                    </w:rPr>
                  </m:ctrlPr>
                </m:sSupPr>
                <m:e>
                  <m:r>
                    <w:rPr>
                      <w:rFonts w:ascii="Cambria Math" w:hAnsi="Cambria Math"/>
                    </w:rPr>
                    <m:t>k</m:t>
                  </m:r>
                </m:e>
                <m:sup>
                  <m:r>
                    <m:rPr>
                      <m:sty m:val="p"/>
                    </m:rPr>
                    <w:rPr>
                      <w:rFonts w:ascii="Cambria Math" w:hAnsi="Cambria Math"/>
                    </w:rPr>
                    <m:t>stab</m:t>
                  </m:r>
                </m:sup>
              </m:sSup>
            </m:e>
          </m:nary>
          <m:d>
            <m:dPr>
              <m:begChr m:val="["/>
              <m:endChr m:val="]"/>
              <m:ctrlPr>
                <w:rPr>
                  <w:rFonts w:ascii="Cambria Math" w:hAnsi="Cambria Math"/>
                  <w:i/>
                </w:rPr>
              </m:ctrlPr>
            </m:dPr>
            <m:e>
              <m:r>
                <m:rPr>
                  <m:sty m:val="p"/>
                </m:rPr>
                <w:rPr>
                  <w:rFonts w:ascii="Cambria Math" w:hAnsi="Cambria Math"/>
                </w:rPr>
                <m:t>M</m:t>
              </m:r>
            </m:e>
          </m:d>
          <m:nary>
            <m:naryPr>
              <m:chr m:val="∑"/>
              <m:limLoc m:val="undOvr"/>
              <m:grow m:val="1"/>
              <m:supHide m:val="1"/>
              <m:ctrlPr>
                <w:rPr>
                  <w:rFonts w:ascii="Cambria Math" w:hAnsi="Cambria Math"/>
                </w:rPr>
              </m:ctrlPr>
            </m:naryPr>
            <m:sub>
              <m:r>
                <w:rPr>
                  <w:rFonts w:ascii="Cambria Math" w:hAnsi="Cambria Math"/>
                </w:rPr>
                <m:t>i</m:t>
              </m:r>
            </m:sub>
            <m:sup/>
            <m:e>
              <m:sSub>
                <m:sSubPr>
                  <m:ctrlPr>
                    <w:rPr>
                      <w:rFonts w:ascii="Cambria Math" w:hAnsi="Cambria Math"/>
                    </w:rPr>
                  </m:ctrlPr>
                </m:sSubPr>
                <m:e>
                  <m:d>
                    <m:dPr>
                      <m:begChr m:val="["/>
                      <m:endChr m:val="]"/>
                      <m:ctrlPr>
                        <w:rPr>
                          <w:rFonts w:ascii="Cambria Math" w:hAnsi="Cambria Math"/>
                          <w:i/>
                        </w:rPr>
                      </m:ctrlPr>
                    </m:dPr>
                    <m:e>
                      <m:sSubSup>
                        <m:sSubSupPr>
                          <m:ctrlPr>
                            <w:rPr>
                              <w:rFonts w:ascii="Cambria Math" w:hAnsi="Cambria Math"/>
                            </w:rPr>
                          </m:ctrlPr>
                        </m:sSubSupPr>
                        <m:e>
                          <m:r>
                            <m:rPr>
                              <m:sty m:val="p"/>
                            </m:rPr>
                            <w:rPr>
                              <w:rFonts w:ascii="Cambria Math" w:hAnsi="Cambria Math"/>
                            </w:rPr>
                            <m:t>O</m:t>
                          </m:r>
                        </m:e>
                        <m:sub>
                          <m:r>
                            <w:rPr>
                              <w:rFonts w:ascii="Cambria Math" w:hAnsi="Cambria Math"/>
                            </w:rPr>
                            <m:t>3</m:t>
                          </m:r>
                        </m:sub>
                        <m:sup>
                          <m:r>
                            <w:rPr>
                              <w:rFonts w:ascii="Cambria Math" w:hAnsi="Cambria Math"/>
                            </w:rPr>
                            <m:t>*</m:t>
                          </m:r>
                        </m:sup>
                      </m:sSubSup>
                    </m:e>
                  </m:d>
                </m:e>
                <m:sub>
                  <m:r>
                    <w:rPr>
                      <w:rFonts w:ascii="Cambria Math" w:hAnsi="Cambria Math"/>
                    </w:rPr>
                    <m:t>i</m:t>
                  </m:r>
                </m:sub>
              </m:sSub>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asym</m:t>
                  </m:r>
                </m:sup>
              </m:sSubSup>
            </m:e>
          </m:nary>
        </m:oMath>
      </m:oMathPara>
    </w:p>
    <w:p w14:paraId="43E1C17B" w14:textId="77777777" w:rsidR="00287AF0" w:rsidRPr="00287AF0" w:rsidRDefault="00287AF0" w:rsidP="00287AF0">
      <w:r w:rsidRPr="00287AF0">
        <w:t>(20)</w:t>
      </w:r>
    </w:p>
    <w:p w14:paraId="46C85E1B" w14:textId="77777777" w:rsidR="00287AF0" w:rsidRPr="00287AF0" w:rsidRDefault="00287AF0" w:rsidP="00287AF0">
      <w:r w:rsidRPr="00287AF0">
        <w:t>If we define the corresponding rates as:</w:t>
      </w:r>
    </w:p>
    <w:p w14:paraId="7160E36E" w14:textId="60AB10FF" w:rsidR="00512151" w:rsidRPr="00287AF0" w:rsidRDefault="003C2CB3" w:rsidP="00287AF0">
      <m:oMathPara>
        <m:oMath>
          <m:sSub>
            <m:sSubPr>
              <m:ctrlPr>
                <w:rPr>
                  <w:rFonts w:ascii="Cambria Math" w:hAnsi="Cambria Math"/>
                </w:rPr>
              </m:ctrlPr>
            </m:sSubPr>
            <m:e>
              <m:r>
                <w:rPr>
                  <w:rFonts w:ascii="Cambria Math" w:hAnsi="Cambria Math"/>
                </w:rPr>
                <m:t>R</m:t>
              </m:r>
            </m:e>
            <m:sub>
              <m:r>
                <m:rPr>
                  <m:sty m:val="p"/>
                </m:rPr>
                <w:rPr>
                  <w:rFonts w:ascii="Cambria Math" w:hAnsi="Cambria Math"/>
                </w:rPr>
                <m:t>sym</m:t>
              </m:r>
            </m:sub>
          </m:sSub>
          <m:r>
            <w:rPr>
              <w:rFonts w:ascii="Cambria Math" w:hAnsi="Cambria Math"/>
            </w:rPr>
            <m:t>=</m:t>
          </m:r>
          <m:sSup>
            <m:sSupPr>
              <m:ctrlPr>
                <w:rPr>
                  <w:rFonts w:ascii="Cambria Math" w:hAnsi="Cambria Math"/>
                </w:rPr>
              </m:ctrlPr>
            </m:sSupPr>
            <m:e>
              <m:r>
                <w:rPr>
                  <w:rFonts w:ascii="Cambria Math" w:hAnsi="Cambria Math"/>
                </w:rPr>
                <m:t>k</m:t>
              </m:r>
            </m:e>
            <m:sup>
              <m:r>
                <m:rPr>
                  <m:sty m:val="p"/>
                </m:rPr>
                <w:rPr>
                  <w:rFonts w:ascii="Cambria Math" w:hAnsi="Cambria Math"/>
                </w:rPr>
                <m:t>stab</m:t>
              </m:r>
            </m:sup>
          </m:sSup>
          <m:d>
            <m:dPr>
              <m:begChr m:val="["/>
              <m:endChr m:val="]"/>
              <m:ctrlPr>
                <w:rPr>
                  <w:rFonts w:ascii="Cambria Math" w:hAnsi="Cambria Math"/>
                  <w:i/>
                </w:rPr>
              </m:ctrlPr>
            </m:dPr>
            <m:e>
              <m:r>
                <m:rPr>
                  <m:sty m:val="p"/>
                </m:rPr>
                <w:rPr>
                  <w:rFonts w:ascii="Cambria Math" w:hAnsi="Cambria Math"/>
                </w:rPr>
                <m:t>M</m:t>
              </m:r>
            </m:e>
          </m:d>
          <m:nary>
            <m:naryPr>
              <m:chr m:val="∑"/>
              <m:limLoc m:val="undOvr"/>
              <m:grow m:val="1"/>
              <m:supHide m:val="1"/>
              <m:ctrlPr>
                <w:rPr>
                  <w:rFonts w:ascii="Cambria Math" w:hAnsi="Cambria Math"/>
                </w:rPr>
              </m:ctrlPr>
            </m:naryPr>
            <m:sub>
              <m:r>
                <w:rPr>
                  <w:rFonts w:ascii="Cambria Math" w:hAnsi="Cambria Math"/>
                </w:rPr>
                <m:t>i</m:t>
              </m:r>
            </m:sub>
            <m:sup/>
            <m:e>
              <m:sSub>
                <m:sSubPr>
                  <m:ctrlPr>
                    <w:rPr>
                      <w:rFonts w:ascii="Cambria Math" w:hAnsi="Cambria Math"/>
                    </w:rPr>
                  </m:ctrlPr>
                </m:sSubPr>
                <m:e>
                  <m:d>
                    <m:dPr>
                      <m:begChr m:val="["/>
                      <m:endChr m:val="]"/>
                      <m:ctrlPr>
                        <w:rPr>
                          <w:rFonts w:ascii="Cambria Math" w:hAnsi="Cambria Math"/>
                          <w:i/>
                        </w:rPr>
                      </m:ctrlPr>
                    </m:dPr>
                    <m:e>
                      <m:sSubSup>
                        <m:sSubSupPr>
                          <m:ctrlPr>
                            <w:rPr>
                              <w:rFonts w:ascii="Cambria Math" w:hAnsi="Cambria Math"/>
                            </w:rPr>
                          </m:ctrlPr>
                        </m:sSubSupPr>
                        <m:e>
                          <m:r>
                            <m:rPr>
                              <m:sty m:val="p"/>
                            </m:rPr>
                            <w:rPr>
                              <w:rFonts w:ascii="Cambria Math" w:hAnsi="Cambria Math"/>
                            </w:rPr>
                            <m:t>O</m:t>
                          </m:r>
                        </m:e>
                        <m:sub>
                          <m:r>
                            <w:rPr>
                              <w:rFonts w:ascii="Cambria Math" w:hAnsi="Cambria Math"/>
                            </w:rPr>
                            <m:t>3</m:t>
                          </m:r>
                        </m:sub>
                        <m:sup>
                          <m:r>
                            <w:rPr>
                              <w:rFonts w:ascii="Cambria Math" w:hAnsi="Cambria Math"/>
                            </w:rPr>
                            <m:t>*</m:t>
                          </m:r>
                        </m:sup>
                      </m:sSubSup>
                    </m:e>
                  </m:d>
                </m:e>
                <m:sub>
                  <m:r>
                    <w:rPr>
                      <w:rFonts w:ascii="Cambria Math" w:hAnsi="Cambria Math"/>
                    </w:rPr>
                    <m:t>i</m:t>
                  </m:r>
                </m:sub>
              </m:sSub>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sym</m:t>
                  </m:r>
                </m:sup>
              </m:sSubSup>
            </m:e>
          </m:nary>
        </m:oMath>
      </m:oMathPara>
    </w:p>
    <w:p w14:paraId="1751B635" w14:textId="77777777" w:rsidR="00287AF0" w:rsidRPr="00287AF0" w:rsidRDefault="00287AF0" w:rsidP="00287AF0">
      <w:r w:rsidRPr="00287AF0">
        <w:t>(21)</w:t>
      </w:r>
    </w:p>
    <w:p w14:paraId="36B59E00" w14:textId="08A3C3F1" w:rsidR="00C97803" w:rsidRPr="00287AF0" w:rsidRDefault="003C2CB3" w:rsidP="00287AF0">
      <m:oMathPara>
        <m:oMath>
          <m:sSub>
            <m:sSubPr>
              <m:ctrlPr>
                <w:rPr>
                  <w:rFonts w:ascii="Cambria Math" w:hAnsi="Cambria Math"/>
                </w:rPr>
              </m:ctrlPr>
            </m:sSubPr>
            <m:e>
              <m:r>
                <w:rPr>
                  <w:rFonts w:ascii="Cambria Math" w:hAnsi="Cambria Math"/>
                </w:rPr>
                <m:t>R</m:t>
              </m:r>
            </m:e>
            <m:sub>
              <m:r>
                <m:rPr>
                  <m:sty m:val="p"/>
                </m:rPr>
                <w:rPr>
                  <w:rFonts w:ascii="Cambria Math" w:hAnsi="Cambria Math"/>
                </w:rPr>
                <m:t>asym</m:t>
              </m:r>
            </m:sub>
          </m:sSub>
          <m:r>
            <w:rPr>
              <w:rFonts w:ascii="Cambria Math" w:hAnsi="Cambria Math"/>
            </w:rPr>
            <m:t>=</m:t>
          </m:r>
          <m:sSup>
            <m:sSupPr>
              <m:ctrlPr>
                <w:rPr>
                  <w:rFonts w:ascii="Cambria Math" w:hAnsi="Cambria Math"/>
                </w:rPr>
              </m:ctrlPr>
            </m:sSupPr>
            <m:e>
              <m:r>
                <w:rPr>
                  <w:rFonts w:ascii="Cambria Math" w:hAnsi="Cambria Math"/>
                </w:rPr>
                <m:t>k</m:t>
              </m:r>
            </m:e>
            <m:sup>
              <m:r>
                <m:rPr>
                  <m:sty m:val="p"/>
                </m:rPr>
                <w:rPr>
                  <w:rFonts w:ascii="Cambria Math" w:hAnsi="Cambria Math"/>
                </w:rPr>
                <m:t>stab</m:t>
              </m:r>
            </m:sup>
          </m:sSup>
          <m:d>
            <m:dPr>
              <m:begChr m:val="["/>
              <m:endChr m:val="]"/>
              <m:ctrlPr>
                <w:rPr>
                  <w:rFonts w:ascii="Cambria Math" w:hAnsi="Cambria Math"/>
                  <w:i/>
                </w:rPr>
              </m:ctrlPr>
            </m:dPr>
            <m:e>
              <m:r>
                <m:rPr>
                  <m:sty m:val="p"/>
                </m:rPr>
                <w:rPr>
                  <w:rFonts w:ascii="Cambria Math" w:hAnsi="Cambria Math"/>
                </w:rPr>
                <m:t>M</m:t>
              </m:r>
            </m:e>
          </m:d>
          <m:nary>
            <m:naryPr>
              <m:chr m:val="∑"/>
              <m:limLoc m:val="undOvr"/>
              <m:grow m:val="1"/>
              <m:supHide m:val="1"/>
              <m:ctrlPr>
                <w:rPr>
                  <w:rFonts w:ascii="Cambria Math" w:hAnsi="Cambria Math"/>
                </w:rPr>
              </m:ctrlPr>
            </m:naryPr>
            <m:sub>
              <m:r>
                <w:rPr>
                  <w:rFonts w:ascii="Cambria Math" w:hAnsi="Cambria Math"/>
                </w:rPr>
                <m:t>i</m:t>
              </m:r>
            </m:sub>
            <m:sup/>
            <m:e>
              <m:sSub>
                <m:sSubPr>
                  <m:ctrlPr>
                    <w:rPr>
                      <w:rFonts w:ascii="Cambria Math" w:hAnsi="Cambria Math"/>
                    </w:rPr>
                  </m:ctrlPr>
                </m:sSubPr>
                <m:e>
                  <m:d>
                    <m:dPr>
                      <m:begChr m:val="["/>
                      <m:endChr m:val="]"/>
                      <m:ctrlPr>
                        <w:rPr>
                          <w:rFonts w:ascii="Cambria Math" w:hAnsi="Cambria Math"/>
                          <w:i/>
                        </w:rPr>
                      </m:ctrlPr>
                    </m:dPr>
                    <m:e>
                      <m:sSubSup>
                        <m:sSubSupPr>
                          <m:ctrlPr>
                            <w:rPr>
                              <w:rFonts w:ascii="Cambria Math" w:hAnsi="Cambria Math"/>
                            </w:rPr>
                          </m:ctrlPr>
                        </m:sSubSupPr>
                        <m:e>
                          <m:r>
                            <m:rPr>
                              <m:sty m:val="p"/>
                            </m:rPr>
                            <w:rPr>
                              <w:rFonts w:ascii="Cambria Math" w:hAnsi="Cambria Math"/>
                            </w:rPr>
                            <m:t>O</m:t>
                          </m:r>
                        </m:e>
                        <m:sub>
                          <m:r>
                            <w:rPr>
                              <w:rFonts w:ascii="Cambria Math" w:hAnsi="Cambria Math"/>
                            </w:rPr>
                            <m:t>3</m:t>
                          </m:r>
                        </m:sub>
                        <m:sup>
                          <m:r>
                            <w:rPr>
                              <w:rFonts w:ascii="Cambria Math" w:hAnsi="Cambria Math"/>
                            </w:rPr>
                            <m:t>*</m:t>
                          </m:r>
                        </m:sup>
                      </m:sSubSup>
                    </m:e>
                  </m:d>
                </m:e>
                <m:sub>
                  <m:r>
                    <w:rPr>
                      <w:rFonts w:ascii="Cambria Math" w:hAnsi="Cambria Math"/>
                    </w:rPr>
                    <m:t>i</m:t>
                  </m:r>
                </m:sub>
              </m:sSub>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asym</m:t>
                  </m:r>
                </m:sup>
              </m:sSubSup>
            </m:e>
          </m:nary>
        </m:oMath>
      </m:oMathPara>
    </w:p>
    <w:p w14:paraId="72D8FFD0" w14:textId="77777777" w:rsidR="00287AF0" w:rsidRPr="00287AF0" w:rsidRDefault="00287AF0" w:rsidP="00287AF0">
      <w:r w:rsidRPr="00287AF0">
        <w:t>(22)</w:t>
      </w:r>
    </w:p>
    <w:p w14:paraId="09DAC09B" w14:textId="77777777" w:rsidR="00287AF0" w:rsidRPr="00287AF0" w:rsidRDefault="00287AF0" w:rsidP="00287AF0">
      <w:r w:rsidRPr="00287AF0">
        <w:t>then the total rate is simply the sum of two:</w:t>
      </w:r>
    </w:p>
    <w:p w14:paraId="4E62CA19" w14:textId="4799CD66" w:rsidR="00D12B2D" w:rsidRPr="00287AF0" w:rsidRDefault="00D12B2D" w:rsidP="00287AF0">
      <m:oMathPara>
        <m:oMath>
          <m:sSub>
            <m:sSubPr>
              <m:ctrlPr>
                <w:rPr>
                  <w:rFonts w:ascii="Cambria Math" w:hAnsi="Cambria Math"/>
                </w:rPr>
              </m:ctrlPr>
            </m:sSubPr>
            <m:e>
              <m:r>
                <w:rPr>
                  <w:rFonts w:ascii="Cambria Math" w:hAnsi="Cambria Math"/>
                </w:rPr>
                <m:t>R</m:t>
              </m:r>
            </m:e>
            <m:sub>
              <m:r>
                <m:rPr>
                  <m:sty m:val="p"/>
                </m:rPr>
                <w:rPr>
                  <w:rFonts w:ascii="Cambria Math" w:hAnsi="Cambria Math"/>
                </w:rPr>
                <m:t>tot</m:t>
              </m:r>
            </m:sub>
          </m:sSub>
          <m:r>
            <w:rPr>
              <w:rFonts w:ascii="Cambria Math" w:hAnsi="Cambria Math"/>
            </w:rPr>
            <m:t>=</m:t>
          </m:r>
          <m:sSub>
            <m:sSubPr>
              <m:ctrlPr>
                <w:rPr>
                  <w:rFonts w:ascii="Cambria Math" w:hAnsi="Cambria Math"/>
                </w:rPr>
              </m:ctrlPr>
            </m:sSubPr>
            <m:e>
              <m:r>
                <w:rPr>
                  <w:rFonts w:ascii="Cambria Math" w:hAnsi="Cambria Math"/>
                </w:rPr>
                <m:t>R</m:t>
              </m:r>
            </m:e>
            <m:sub>
              <m:r>
                <m:rPr>
                  <m:sty m:val="p"/>
                </m:rPr>
                <w:rPr>
                  <w:rFonts w:ascii="Cambria Math" w:hAnsi="Cambria Math"/>
                </w:rPr>
                <m:t>sym</m:t>
              </m:r>
            </m:sub>
          </m:sSub>
          <m:r>
            <w:rPr>
              <w:rFonts w:ascii="Cambria Math" w:hAnsi="Cambria Math"/>
            </w:rPr>
            <m:t>+</m:t>
          </m:r>
          <m:sSub>
            <m:sSubPr>
              <m:ctrlPr>
                <w:rPr>
                  <w:rFonts w:ascii="Cambria Math" w:hAnsi="Cambria Math"/>
                </w:rPr>
              </m:ctrlPr>
            </m:sSubPr>
            <m:e>
              <m:r>
                <w:rPr>
                  <w:rFonts w:ascii="Cambria Math" w:hAnsi="Cambria Math"/>
                </w:rPr>
                <m:t>R</m:t>
              </m:r>
            </m:e>
            <m:sub>
              <m:r>
                <m:rPr>
                  <m:sty m:val="p"/>
                </m:rPr>
                <w:rPr>
                  <w:rFonts w:ascii="Cambria Math" w:hAnsi="Cambria Math"/>
                </w:rPr>
                <m:t>asym</m:t>
              </m:r>
            </m:sub>
          </m:sSub>
        </m:oMath>
      </m:oMathPara>
    </w:p>
    <w:p w14:paraId="4B8D2B2C" w14:textId="77777777" w:rsidR="00287AF0" w:rsidRPr="00287AF0" w:rsidRDefault="00287AF0" w:rsidP="00287AF0">
      <w:r w:rsidRPr="00287AF0">
        <w:t>(23)</w:t>
      </w:r>
    </w:p>
    <w:p w14:paraId="01BE02E4" w14:textId="6DF55000" w:rsidR="00287AF0" w:rsidRPr="00287AF0" w:rsidRDefault="00287AF0" w:rsidP="00287AF0">
      <w:r w:rsidRPr="00287AF0">
        <w:t xml:space="preserve">Note that summation in Equations (21) and (22) goes through all resonances, through </w:t>
      </w:r>
      <w:proofErr w:type="gramStart"/>
      <w:r w:rsidRPr="00287AF0">
        <w:t>exactly the same</w:t>
      </w:r>
      <w:proofErr w:type="gramEnd"/>
      <w:r w:rsidRPr="00287AF0">
        <w:t xml:space="preserve"> set of states in both Equations (21) and (22). What differentiates </w:t>
      </w:r>
      <m:oMath>
        <m:sSub>
          <m:sSubPr>
            <m:ctrlPr>
              <w:rPr>
                <w:rFonts w:ascii="Cambria Math" w:hAnsi="Cambria Math"/>
              </w:rPr>
            </m:ctrlPr>
          </m:sSubPr>
          <m:e>
            <m:r>
              <w:rPr>
                <w:rFonts w:ascii="Cambria Math" w:hAnsi="Cambria Math"/>
              </w:rPr>
              <m:t>R</m:t>
            </m:r>
          </m:e>
          <m:sub>
            <m:r>
              <m:rPr>
                <m:sty m:val="p"/>
              </m:rPr>
              <w:rPr>
                <w:rFonts w:ascii="Cambria Math" w:hAnsi="Cambria Math"/>
              </w:rPr>
              <m:t>sym</m:t>
            </m:r>
          </m:sub>
        </m:sSub>
      </m:oMath>
      <w:r w:rsidRPr="00287AF0">
        <w:t> from </w:t>
      </w:r>
      <m:oMath>
        <m:sSub>
          <m:sSubPr>
            <m:ctrlPr>
              <w:rPr>
                <w:rFonts w:ascii="Cambria Math" w:hAnsi="Cambria Math"/>
              </w:rPr>
            </m:ctrlPr>
          </m:sSubPr>
          <m:e>
            <m:r>
              <w:rPr>
                <w:rFonts w:ascii="Cambria Math" w:hAnsi="Cambria Math"/>
              </w:rPr>
              <m:t>R</m:t>
            </m:r>
          </m:e>
          <m:sub>
            <m:r>
              <m:rPr>
                <m:sty m:val="p"/>
              </m:rPr>
              <w:rPr>
                <w:rFonts w:ascii="Cambria Math" w:hAnsi="Cambria Math"/>
              </w:rPr>
              <m:t>asym</m:t>
            </m:r>
          </m:sub>
        </m:sSub>
      </m:oMath>
      <w:r w:rsidRPr="00287AF0">
        <w:t> are the values of stabilization probabilities defined for each state </w:t>
      </w:r>
      <w:r w:rsidRPr="00287AF0">
        <w:rPr>
          <w:i/>
          <w:iCs/>
        </w:rPr>
        <w:t>i</w:t>
      </w:r>
      <w:r w:rsidRPr="00287AF0">
        <w:t>: </w:t>
      </w:r>
      <m:oMath>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sym</m:t>
            </m:r>
          </m:sup>
        </m:sSubSup>
      </m:oMath>
      <w:r w:rsidRPr="00287AF0">
        <w:t> in E</w:t>
      </w:r>
      <w:proofErr w:type="spellStart"/>
      <w:r w:rsidRPr="00287AF0">
        <w:t>quation</w:t>
      </w:r>
      <w:proofErr w:type="spellEnd"/>
      <w:r w:rsidRPr="00287AF0">
        <w:t xml:space="preserve"> (21) versus </w:t>
      </w:r>
      <m:oMath>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asym</m:t>
            </m:r>
          </m:sup>
        </m:sSubSup>
      </m:oMath>
      <w:r w:rsidRPr="00287AF0">
        <w:t> in Equation (22). Some states may contribute exclusively to </w:t>
      </w:r>
      <m:oMath>
        <m:sSub>
          <m:sSubPr>
            <m:ctrlPr>
              <w:rPr>
                <w:rFonts w:ascii="Cambria Math" w:hAnsi="Cambria Math"/>
              </w:rPr>
            </m:ctrlPr>
          </m:sSubPr>
          <m:e>
            <m:r>
              <w:rPr>
                <w:rFonts w:ascii="Cambria Math" w:hAnsi="Cambria Math"/>
              </w:rPr>
              <m:t>R</m:t>
            </m:r>
          </m:e>
          <m:sub>
            <m:r>
              <m:rPr>
                <m:sty m:val="p"/>
              </m:rPr>
              <w:rPr>
                <w:rFonts w:ascii="Cambria Math" w:hAnsi="Cambria Math"/>
              </w:rPr>
              <m:t>sym</m:t>
            </m:r>
          </m:sub>
        </m:sSub>
      </m:oMath>
      <w:r w:rsidRPr="00287AF0">
        <w:t>, others exclusively to </w:t>
      </w:r>
      <m:oMath>
        <m:sSub>
          <m:sSubPr>
            <m:ctrlPr>
              <w:rPr>
                <w:rFonts w:ascii="Cambria Math" w:hAnsi="Cambria Math"/>
              </w:rPr>
            </m:ctrlPr>
          </m:sSubPr>
          <m:e>
            <m:r>
              <w:rPr>
                <w:rFonts w:ascii="Cambria Math" w:hAnsi="Cambria Math"/>
              </w:rPr>
              <m:t>R</m:t>
            </m:r>
          </m:e>
          <m:sub>
            <m:r>
              <m:rPr>
                <m:sty m:val="p"/>
              </m:rPr>
              <w:rPr>
                <w:rFonts w:ascii="Cambria Math" w:hAnsi="Cambria Math"/>
              </w:rPr>
              <m:t>asym</m:t>
            </m:r>
          </m:sub>
        </m:sSub>
      </m:oMath>
      <w:r w:rsidRPr="00287AF0">
        <w:t>, while some resonances with delocalized wavefunctions may contribute to both </w:t>
      </w:r>
      <m:oMath>
        <m:sSub>
          <m:sSubPr>
            <m:ctrlPr>
              <w:rPr>
                <w:rFonts w:ascii="Cambria Math" w:hAnsi="Cambria Math"/>
              </w:rPr>
            </m:ctrlPr>
          </m:sSubPr>
          <m:e>
            <m:r>
              <w:rPr>
                <w:rFonts w:ascii="Cambria Math" w:hAnsi="Cambria Math"/>
              </w:rPr>
              <m:t>R</m:t>
            </m:r>
          </m:e>
          <m:sub>
            <m:r>
              <m:rPr>
                <m:sty m:val="p"/>
              </m:rPr>
              <w:rPr>
                <w:rFonts w:ascii="Cambria Math" w:hAnsi="Cambria Math"/>
              </w:rPr>
              <m:t>sym</m:t>
            </m:r>
          </m:sub>
        </m:sSub>
      </m:oMath>
      <w:r w:rsidRPr="00287AF0">
        <w:t> and </w:t>
      </w:r>
      <m:oMath>
        <m:sSub>
          <m:sSubPr>
            <m:ctrlPr>
              <w:rPr>
                <w:rFonts w:ascii="Cambria Math" w:hAnsi="Cambria Math"/>
              </w:rPr>
            </m:ctrlPr>
          </m:sSubPr>
          <m:e>
            <m:r>
              <w:rPr>
                <w:rFonts w:ascii="Cambria Math" w:hAnsi="Cambria Math"/>
              </w:rPr>
              <m:t>R</m:t>
            </m:r>
          </m:e>
          <m:sub>
            <m:r>
              <m:rPr>
                <m:sty m:val="p"/>
              </m:rPr>
              <w:rPr>
                <w:rFonts w:ascii="Cambria Math" w:hAnsi="Cambria Math"/>
              </w:rPr>
              <m:t>asym</m:t>
            </m:r>
          </m:sub>
        </m:sSub>
      </m:oMath>
      <w:r w:rsidRPr="00287AF0">
        <w:t> with certain probabilities. Our description is general enough to incorporate all these cases.</w:t>
      </w:r>
    </w:p>
    <w:p w14:paraId="71819860" w14:textId="78234647" w:rsidR="00287AF0" w:rsidRPr="00287AF0" w:rsidRDefault="00287AF0" w:rsidP="00287AF0">
      <w:r w:rsidRPr="00287AF0">
        <w:t>Here we will consider the case of single isotopic substitution (the case of double substitution is similar and is presented in the </w:t>
      </w:r>
      <w:r w:rsidRPr="00AD482D">
        <w:rPr>
          <w:b/>
          <w:bCs/>
        </w:rPr>
        <w:t>Supplementary Materials</w:t>
      </w:r>
      <w:r w:rsidRPr="00287AF0">
        <w:t xml:space="preserve">). Since two physically distinct reaction channels are present for each </w:t>
      </w:r>
      <w:proofErr w:type="spellStart"/>
      <w:r w:rsidRPr="00287AF0">
        <w:t>isotopologue</w:t>
      </w:r>
      <w:proofErr w:type="spellEnd"/>
      <w:r w:rsidRPr="00287AF0">
        <w:t>, the concentration of metastable ozone species </w:t>
      </w:r>
      <m:oMath>
        <m:d>
          <m:dPr>
            <m:begChr m:val="["/>
            <m:endChr m:val="]"/>
            <m:ctrlPr>
              <w:rPr>
                <w:rFonts w:ascii="Cambria Math" w:hAnsi="Cambria Math"/>
                <w:i/>
              </w:rPr>
            </m:ctrlPr>
          </m:dPr>
          <m:e>
            <m:sSubSup>
              <m:sSubSupPr>
                <m:ctrlPr>
                  <w:rPr>
                    <w:rFonts w:ascii="Cambria Math" w:hAnsi="Cambria Math"/>
                  </w:rPr>
                </m:ctrlPr>
              </m:sSubSupPr>
              <m:e>
                <m:r>
                  <m:rPr>
                    <m:sty m:val="p"/>
                  </m:rPr>
                  <w:rPr>
                    <w:rFonts w:ascii="Cambria Math" w:hAnsi="Cambria Math"/>
                  </w:rPr>
                  <m:t>O</m:t>
                </m:r>
              </m:e>
              <m:sub>
                <m:r>
                  <w:rPr>
                    <w:rFonts w:ascii="Cambria Math" w:hAnsi="Cambria Math"/>
                  </w:rPr>
                  <m:t>3</m:t>
                </m:r>
              </m:sub>
              <m:sup>
                <m:r>
                  <w:rPr>
                    <w:rFonts w:ascii="Cambria Math" w:hAnsi="Cambria Math"/>
                  </w:rPr>
                  <m:t>*</m:t>
                </m:r>
              </m:sup>
            </m:sSubSup>
          </m:e>
        </m:d>
      </m:oMath>
      <w:r w:rsidRPr="00287AF0">
        <w:t> is influenced by six processes indicated in the following diagram (for the sing</w:t>
      </w:r>
      <w:proofErr w:type="spellStart"/>
      <w:r w:rsidRPr="00287AF0">
        <w:t>ly</w:t>
      </w:r>
      <w:proofErr w:type="spellEnd"/>
      <w:r w:rsidRPr="00287AF0">
        <w:t xml:space="preserve"> substituted case):</w:t>
      </w:r>
    </w:p>
    <w:p w14:paraId="13BF99E2" w14:textId="5161F1EC" w:rsidR="00287AF0" w:rsidRPr="00287AF0" w:rsidRDefault="00287AF0" w:rsidP="00287AF0">
      <w:r w:rsidRPr="00287AF0">
        <w:rPr>
          <w:noProof/>
        </w:rPr>
        <w:drawing>
          <wp:inline distT="0" distB="0" distL="0" distR="0" wp14:anchorId="145B1F42" wp14:editId="45362ACC">
            <wp:extent cx="2743200" cy="1517904"/>
            <wp:effectExtent l="0" t="0" r="0" b="6350"/>
            <wp:docPr id="8" name="Picture 8" descr="Molecules 26 01289 i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olecules 26 01289 i00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1517904"/>
                    </a:xfrm>
                    <a:prstGeom prst="rect">
                      <a:avLst/>
                    </a:prstGeom>
                    <a:noFill/>
                    <a:ln>
                      <a:noFill/>
                    </a:ln>
                  </pic:spPr>
                </pic:pic>
              </a:graphicData>
            </a:graphic>
          </wp:inline>
        </w:drawing>
      </w:r>
    </w:p>
    <w:p w14:paraId="387F3903" w14:textId="77777777" w:rsidR="00287AF0" w:rsidRPr="00287AF0" w:rsidRDefault="00287AF0" w:rsidP="00287AF0">
      <w:r w:rsidRPr="00287AF0">
        <w:t>(24)</w:t>
      </w:r>
    </w:p>
    <w:p w14:paraId="03BAEDA1" w14:textId="77777777" w:rsidR="00287AF0" w:rsidRPr="00287AF0" w:rsidRDefault="00287AF0" w:rsidP="00287AF0">
      <w:r w:rsidRPr="00287AF0">
        <w:t>This includes the processes of formation and decay through each channel, and the processes of stabilization by bath gas collisions into the stable ozone molecules. These processes can be accounted for as follows:</w:t>
      </w:r>
    </w:p>
    <w:p w14:paraId="406EFEB6" w14:textId="772BE330" w:rsidR="00C92FD6" w:rsidRPr="00287AF0" w:rsidRDefault="00C92FD6" w:rsidP="00287AF0">
      <m:oMathPara>
        <m:oMath>
          <m:f>
            <m:fPr>
              <m:ctrlPr>
                <w:rPr>
                  <w:rFonts w:ascii="Cambria Math" w:hAnsi="Cambria Math"/>
                </w:rPr>
              </m:ctrlPr>
            </m:fPr>
            <m:num>
              <m:r>
                <w:rPr>
                  <w:rFonts w:ascii="Cambria Math" w:hAnsi="Cambria Math"/>
                </w:rPr>
                <m:t>d</m:t>
              </m:r>
              <m:sSub>
                <m:sSubPr>
                  <m:ctrlPr>
                    <w:rPr>
                      <w:rFonts w:ascii="Cambria Math" w:hAnsi="Cambria Math"/>
                    </w:rPr>
                  </m:ctrlPr>
                </m:sSubPr>
                <m:e>
                  <m:d>
                    <m:dPr>
                      <m:begChr m:val="["/>
                      <m:endChr m:val="]"/>
                      <m:ctrlPr>
                        <w:rPr>
                          <w:rFonts w:ascii="Cambria Math" w:hAnsi="Cambria Math"/>
                          <w:i/>
                        </w:rPr>
                      </m:ctrlPr>
                    </m:dPr>
                    <m:e>
                      <m:sSubSup>
                        <m:sSubSupPr>
                          <m:ctrlPr>
                            <w:rPr>
                              <w:rFonts w:ascii="Cambria Math" w:hAnsi="Cambria Math"/>
                            </w:rPr>
                          </m:ctrlPr>
                        </m:sSubSupPr>
                        <m:e>
                          <m:r>
                            <m:rPr>
                              <m:sty m:val="p"/>
                            </m:rPr>
                            <w:rPr>
                              <w:rFonts w:ascii="Cambria Math" w:hAnsi="Cambria Math"/>
                            </w:rPr>
                            <m:t>O</m:t>
                          </m:r>
                        </m:e>
                        <m:sub>
                          <m:r>
                            <w:rPr>
                              <w:rFonts w:ascii="Cambria Math" w:hAnsi="Cambria Math"/>
                            </w:rPr>
                            <m:t>3</m:t>
                          </m:r>
                        </m:sub>
                        <m:sup>
                          <m:r>
                            <w:rPr>
                              <w:rFonts w:ascii="Cambria Math" w:hAnsi="Cambria Math"/>
                            </w:rPr>
                            <m:t>*</m:t>
                          </m:r>
                        </m:sup>
                      </m:sSubSup>
                    </m:e>
                  </m:d>
                </m:e>
                <m:sub>
                  <m:r>
                    <w:rPr>
                      <w:rFonts w:ascii="Cambria Math" w:hAnsi="Cambria Math"/>
                    </w:rPr>
                    <m:t>i</m:t>
                  </m:r>
                </m:sub>
              </m:sSub>
            </m:num>
            <m:den>
              <m:r>
                <w:rPr>
                  <w:rFonts w:ascii="Cambria Math" w:hAnsi="Cambria Math"/>
                </w:rPr>
                <m:t>dt</m:t>
              </m:r>
            </m:den>
          </m:f>
          <m:r>
            <w:rPr>
              <w:rFonts w:ascii="Cambria Math" w:hAnsi="Cambria Math"/>
            </w:rPr>
            <m:t>=</m:t>
          </m:r>
          <m:sSubSup>
            <m:sSubSupPr>
              <m:ctrlPr>
                <w:rPr>
                  <w:rFonts w:ascii="Cambria Math" w:hAnsi="Cambria Math"/>
                </w:rPr>
              </m:ctrlPr>
            </m:sSubSupPr>
            <m:e>
              <m:r>
                <w:rPr>
                  <w:rFonts w:ascii="Cambria Math" w:hAnsi="Cambria Math"/>
                </w:rPr>
                <m:t>k</m:t>
              </m:r>
            </m:e>
            <m:sub>
              <m:r>
                <w:rPr>
                  <w:rFonts w:ascii="Cambria Math" w:hAnsi="Cambria Math"/>
                </w:rPr>
                <m:t>i</m:t>
              </m:r>
            </m:sub>
            <m:sup>
              <m:r>
                <m:rPr>
                  <m:sty m:val="p"/>
                </m:rPr>
                <w:rPr>
                  <w:rFonts w:ascii="Cambria Math" w:hAnsi="Cambria Math"/>
                </w:rPr>
                <m:t>form</m:t>
              </m:r>
              <m:r>
                <w:rPr>
                  <w:rFonts w:ascii="Cambria Math" w:hAnsi="Cambria Math"/>
                </w:rPr>
                <m:t>,</m:t>
              </m:r>
              <m:r>
                <m:rPr>
                  <m:sty m:val="p"/>
                </m:rPr>
                <w:rPr>
                  <w:rFonts w:ascii="Cambria Math" w:hAnsi="Cambria Math"/>
                </w:rPr>
                <m:t>ch</m:t>
              </m:r>
              <m:r>
                <w:rPr>
                  <w:rFonts w:ascii="Cambria Math" w:hAnsi="Cambria Math"/>
                </w:rPr>
                <m:t>1</m:t>
              </m:r>
            </m:sup>
          </m:sSubSup>
          <m:r>
            <w:rPr>
              <w:rFonts w:ascii="Cambria Math" w:hAnsi="Cambria Math"/>
            </w:rPr>
            <m:t>[66][8]+</m:t>
          </m:r>
          <m:sSubSup>
            <m:sSubSupPr>
              <m:ctrlPr>
                <w:rPr>
                  <w:rFonts w:ascii="Cambria Math" w:hAnsi="Cambria Math"/>
                </w:rPr>
              </m:ctrlPr>
            </m:sSubSupPr>
            <m:e>
              <m:r>
                <w:rPr>
                  <w:rFonts w:ascii="Cambria Math" w:hAnsi="Cambria Math"/>
                </w:rPr>
                <m:t>k</m:t>
              </m:r>
            </m:e>
            <m:sub>
              <m:r>
                <w:rPr>
                  <w:rFonts w:ascii="Cambria Math" w:hAnsi="Cambria Math"/>
                </w:rPr>
                <m:t>i</m:t>
              </m:r>
            </m:sub>
            <m:sup>
              <m:r>
                <m:rPr>
                  <m:sty m:val="p"/>
                </m:rPr>
                <w:rPr>
                  <w:rFonts w:ascii="Cambria Math" w:hAnsi="Cambria Math"/>
                </w:rPr>
                <m:t>form</m:t>
              </m:r>
              <m:r>
                <w:rPr>
                  <w:rFonts w:ascii="Cambria Math" w:hAnsi="Cambria Math"/>
                </w:rPr>
                <m:t>,</m:t>
              </m:r>
              <m:r>
                <m:rPr>
                  <m:sty m:val="p"/>
                </m:rPr>
                <w:rPr>
                  <w:rFonts w:ascii="Cambria Math" w:hAnsi="Cambria Math"/>
                </w:rPr>
                <m:t>ch</m:t>
              </m:r>
              <m:r>
                <w:rPr>
                  <w:rFonts w:ascii="Cambria Math" w:hAnsi="Cambria Math"/>
                </w:rPr>
                <m:t>2</m:t>
              </m:r>
            </m:sup>
          </m:sSubSup>
          <m:r>
            <w:rPr>
              <w:rFonts w:ascii="Cambria Math" w:hAnsi="Cambria Math"/>
            </w:rPr>
            <m:t>[68][6]-</m:t>
          </m:r>
          <m:sSubSup>
            <m:sSubSupPr>
              <m:ctrlPr>
                <w:rPr>
                  <w:rFonts w:ascii="Cambria Math" w:hAnsi="Cambria Math"/>
                </w:rPr>
              </m:ctrlPr>
            </m:sSubSupPr>
            <m:e>
              <m:r>
                <w:rPr>
                  <w:rFonts w:ascii="Cambria Math" w:hAnsi="Cambria Math"/>
                </w:rPr>
                <m:t>k</m:t>
              </m:r>
            </m:e>
            <m:sub>
              <m:r>
                <w:rPr>
                  <w:rFonts w:ascii="Cambria Math" w:hAnsi="Cambria Math"/>
                </w:rPr>
                <m:t>i</m:t>
              </m:r>
            </m:sub>
            <m:sup>
              <m:r>
                <m:rPr>
                  <m:sty m:val="p"/>
                </m:rPr>
                <w:rPr>
                  <w:rFonts w:ascii="Cambria Math" w:hAnsi="Cambria Math"/>
                </w:rPr>
                <m:t>dec</m:t>
              </m:r>
              <m:r>
                <w:rPr>
                  <w:rFonts w:ascii="Cambria Math" w:hAnsi="Cambria Math"/>
                </w:rPr>
                <m:t>,</m:t>
              </m:r>
              <m:r>
                <m:rPr>
                  <m:sty m:val="p"/>
                </m:rPr>
                <w:rPr>
                  <w:rFonts w:ascii="Cambria Math" w:hAnsi="Cambria Math"/>
                </w:rPr>
                <m:t>ch</m:t>
              </m:r>
              <m:r>
                <w:rPr>
                  <w:rFonts w:ascii="Cambria Math" w:hAnsi="Cambria Math"/>
                </w:rPr>
                <m:t>1</m:t>
              </m:r>
            </m:sup>
          </m:sSubSup>
          <m:sSub>
            <m:sSubPr>
              <m:ctrlPr>
                <w:rPr>
                  <w:rFonts w:ascii="Cambria Math" w:hAnsi="Cambria Math"/>
                </w:rPr>
              </m:ctrlPr>
            </m:sSubPr>
            <m:e>
              <m:d>
                <m:dPr>
                  <m:begChr m:val="["/>
                  <m:endChr m:val="]"/>
                  <m:ctrlPr>
                    <w:rPr>
                      <w:rFonts w:ascii="Cambria Math" w:hAnsi="Cambria Math"/>
                      <w:i/>
                    </w:rPr>
                  </m:ctrlPr>
                </m:dPr>
                <m:e>
                  <m:sSubSup>
                    <m:sSubSupPr>
                      <m:ctrlPr>
                        <w:rPr>
                          <w:rFonts w:ascii="Cambria Math" w:hAnsi="Cambria Math"/>
                        </w:rPr>
                      </m:ctrlPr>
                    </m:sSubSupPr>
                    <m:e>
                      <m:r>
                        <m:rPr>
                          <m:sty m:val="p"/>
                        </m:rPr>
                        <w:rPr>
                          <w:rFonts w:ascii="Cambria Math" w:hAnsi="Cambria Math"/>
                        </w:rPr>
                        <m:t>O</m:t>
                      </m:r>
                    </m:e>
                    <m:sub>
                      <m:r>
                        <w:rPr>
                          <w:rFonts w:ascii="Cambria Math" w:hAnsi="Cambria Math"/>
                        </w:rPr>
                        <m:t>3</m:t>
                      </m:r>
                    </m:sub>
                    <m:sup>
                      <m:r>
                        <w:rPr>
                          <w:rFonts w:ascii="Cambria Math" w:hAnsi="Cambria Math"/>
                        </w:rPr>
                        <m:t>*</m:t>
                      </m:r>
                    </m:sup>
                  </m:sSubSup>
                </m:e>
              </m:d>
            </m:e>
            <m:sub>
              <m:r>
                <w:rPr>
                  <w:rFonts w:ascii="Cambria Math" w:hAnsi="Cambria Math"/>
                </w:rPr>
                <m:t>i</m:t>
              </m:r>
            </m:sub>
          </m:sSub>
          <m:r>
            <w:rPr>
              <w:rFonts w:ascii="Cambria Math" w:hAnsi="Cambria Math"/>
            </w:rPr>
            <m:t>-</m:t>
          </m:r>
          <m:sSubSup>
            <m:sSubSupPr>
              <m:ctrlPr>
                <w:rPr>
                  <w:rFonts w:ascii="Cambria Math" w:hAnsi="Cambria Math"/>
                </w:rPr>
              </m:ctrlPr>
            </m:sSubSupPr>
            <m:e>
              <m:r>
                <w:rPr>
                  <w:rFonts w:ascii="Cambria Math" w:hAnsi="Cambria Math"/>
                </w:rPr>
                <m:t>k</m:t>
              </m:r>
            </m:e>
            <m:sub>
              <m:r>
                <w:rPr>
                  <w:rFonts w:ascii="Cambria Math" w:hAnsi="Cambria Math"/>
                </w:rPr>
                <m:t>i</m:t>
              </m:r>
            </m:sub>
            <m:sup>
              <m:r>
                <m:rPr>
                  <m:sty m:val="p"/>
                </m:rPr>
                <w:rPr>
                  <w:rFonts w:ascii="Cambria Math" w:hAnsi="Cambria Math"/>
                </w:rPr>
                <m:t>dec</m:t>
              </m:r>
              <m:r>
                <w:rPr>
                  <w:rFonts w:ascii="Cambria Math" w:hAnsi="Cambria Math"/>
                </w:rPr>
                <m:t>,</m:t>
              </m:r>
              <m:r>
                <m:rPr>
                  <m:sty m:val="p"/>
                </m:rPr>
                <w:rPr>
                  <w:rFonts w:ascii="Cambria Math" w:hAnsi="Cambria Math"/>
                </w:rPr>
                <m:t>ch</m:t>
              </m:r>
              <m:r>
                <w:rPr>
                  <w:rFonts w:ascii="Cambria Math" w:hAnsi="Cambria Math"/>
                </w:rPr>
                <m:t>2</m:t>
              </m:r>
            </m:sup>
          </m:sSubSup>
          <m:r>
            <w:rPr>
              <w:rFonts w:ascii="Cambria Math" w:hAnsi="Cambria Math"/>
            </w:rPr>
            <m:t>[</m:t>
          </m:r>
          <m:sSubSup>
            <m:sSubSupPr>
              <m:ctrlPr>
                <w:rPr>
                  <w:rFonts w:ascii="Cambria Math" w:hAnsi="Cambria Math"/>
                </w:rPr>
              </m:ctrlPr>
            </m:sSubSupPr>
            <m:e>
              <m:r>
                <m:rPr>
                  <m:sty m:val="p"/>
                </m:rPr>
                <w:rPr>
                  <w:rFonts w:ascii="Cambria Math" w:hAnsi="Cambria Math"/>
                </w:rPr>
                <m:t>O</m:t>
              </m:r>
            </m:e>
            <m:sub>
              <m:r>
                <w:rPr>
                  <w:rFonts w:ascii="Cambria Math" w:hAnsi="Cambria Math"/>
                </w:rPr>
                <m:t>3</m:t>
              </m:r>
            </m:sub>
            <m:sup>
              <m:r>
                <w:rPr>
                  <w:rFonts w:ascii="Cambria Math" w:hAnsi="Cambria Math"/>
                </w:rPr>
                <m:t>*</m:t>
              </m:r>
            </m:sup>
          </m:sSubSup>
          <m:sSub>
            <m:sSubPr>
              <m:ctrlPr>
                <w:rPr>
                  <w:rFonts w:ascii="Cambria Math" w:hAnsi="Cambria Math"/>
                </w:rPr>
              </m:ctrlPr>
            </m:sSubPr>
            <m:e>
              <m:r>
                <w:rPr>
                  <w:rFonts w:ascii="Cambria Math" w:hAnsi="Cambria Math"/>
                </w:rPr>
                <m:t>]</m:t>
              </m:r>
            </m:e>
            <m:sub>
              <m:r>
                <w:rPr>
                  <w:rFonts w:ascii="Cambria Math" w:hAnsi="Cambria Math"/>
                </w:rPr>
                <m:t>i</m:t>
              </m:r>
            </m:sub>
          </m:sSub>
          <m:r>
            <w:rPr>
              <w:rFonts w:ascii="Cambria Math" w:hAnsi="Cambria Math"/>
            </w:rPr>
            <m:t>-</m:t>
          </m:r>
          <m:sSubSup>
            <m:sSubSupPr>
              <m:ctrlPr>
                <w:rPr>
                  <w:rFonts w:ascii="Cambria Math" w:hAnsi="Cambria Math"/>
                </w:rPr>
              </m:ctrlPr>
            </m:sSubSupPr>
            <m:e>
              <m:r>
                <w:rPr>
                  <w:rFonts w:ascii="Cambria Math" w:hAnsi="Cambria Math"/>
                </w:rPr>
                <m:t>k</m:t>
              </m:r>
            </m:e>
            <m:sub>
              <m:r>
                <w:rPr>
                  <w:rFonts w:ascii="Cambria Math" w:hAnsi="Cambria Math"/>
                </w:rPr>
                <m:t>i</m:t>
              </m:r>
            </m:sub>
            <m:sup>
              <m:r>
                <m:rPr>
                  <m:sty m:val="p"/>
                </m:rPr>
                <w:rPr>
                  <w:rFonts w:ascii="Cambria Math" w:hAnsi="Cambria Math"/>
                </w:rPr>
                <m:t>stab</m:t>
              </m:r>
              <m:r>
                <w:rPr>
                  <w:rFonts w:ascii="Cambria Math" w:hAnsi="Cambria Math"/>
                </w:rPr>
                <m:t>,</m:t>
              </m:r>
              <m:r>
                <m:rPr>
                  <m:sty m:val="p"/>
                </m:rPr>
                <w:rPr>
                  <w:rFonts w:ascii="Cambria Math" w:hAnsi="Cambria Math"/>
                </w:rPr>
                <m:t>sym</m:t>
              </m:r>
            </m:sup>
          </m:sSubSup>
          <m:r>
            <w:rPr>
              <w:rFonts w:ascii="Cambria Math" w:hAnsi="Cambria Math"/>
            </w:rPr>
            <m:t>[</m:t>
          </m:r>
          <m:r>
            <m:rPr>
              <m:sty m:val="p"/>
            </m:rPr>
            <w:rPr>
              <w:rFonts w:ascii="Cambria Math" w:hAnsi="Cambria Math"/>
            </w:rPr>
            <m:t>M</m:t>
          </m:r>
          <m:r>
            <w:rPr>
              <w:rFonts w:ascii="Cambria Math" w:hAnsi="Cambria Math"/>
            </w:rPr>
            <m:t>][</m:t>
          </m:r>
          <m:sSubSup>
            <m:sSubSupPr>
              <m:ctrlPr>
                <w:rPr>
                  <w:rFonts w:ascii="Cambria Math" w:hAnsi="Cambria Math"/>
                </w:rPr>
              </m:ctrlPr>
            </m:sSubSupPr>
            <m:e>
              <m:r>
                <m:rPr>
                  <m:sty m:val="p"/>
                </m:rPr>
                <w:rPr>
                  <w:rFonts w:ascii="Cambria Math" w:hAnsi="Cambria Math"/>
                </w:rPr>
                <m:t>O</m:t>
              </m:r>
            </m:e>
            <m:sub>
              <m:r>
                <w:rPr>
                  <w:rFonts w:ascii="Cambria Math" w:hAnsi="Cambria Math"/>
                </w:rPr>
                <m:t>3</m:t>
              </m:r>
            </m:sub>
            <m:sup>
              <m:r>
                <w:rPr>
                  <w:rFonts w:ascii="Cambria Math" w:hAnsi="Cambria Math"/>
                </w:rPr>
                <m:t>*</m:t>
              </m:r>
            </m:sup>
          </m:sSubSup>
          <m:sSub>
            <m:sSubPr>
              <m:ctrlPr>
                <w:rPr>
                  <w:rFonts w:ascii="Cambria Math" w:hAnsi="Cambria Math"/>
                </w:rPr>
              </m:ctrlPr>
            </m:sSubPr>
            <m:e>
              <m:r>
                <w:rPr>
                  <w:rFonts w:ascii="Cambria Math" w:hAnsi="Cambria Math"/>
                </w:rPr>
                <m:t>]</m:t>
              </m:r>
            </m:e>
            <m:sub>
              <m:r>
                <w:rPr>
                  <w:rFonts w:ascii="Cambria Math" w:hAnsi="Cambria Math"/>
                </w:rPr>
                <m:t>i</m:t>
              </m:r>
            </m:sub>
          </m:sSub>
          <m:r>
            <w:rPr>
              <w:rFonts w:ascii="Cambria Math" w:hAnsi="Cambria Math"/>
            </w:rPr>
            <m:t>-</m:t>
          </m:r>
          <m:sSubSup>
            <m:sSubSupPr>
              <m:ctrlPr>
                <w:rPr>
                  <w:rFonts w:ascii="Cambria Math" w:hAnsi="Cambria Math"/>
                </w:rPr>
              </m:ctrlPr>
            </m:sSubSupPr>
            <m:e>
              <m:r>
                <w:rPr>
                  <w:rFonts w:ascii="Cambria Math" w:hAnsi="Cambria Math"/>
                </w:rPr>
                <m:t>k</m:t>
              </m:r>
            </m:e>
            <m:sub>
              <m:r>
                <w:rPr>
                  <w:rFonts w:ascii="Cambria Math" w:hAnsi="Cambria Math"/>
                </w:rPr>
                <m:t>i</m:t>
              </m:r>
            </m:sub>
            <m:sup>
              <m:r>
                <m:rPr>
                  <m:sty m:val="p"/>
                </m:rPr>
                <w:rPr>
                  <w:rFonts w:ascii="Cambria Math" w:hAnsi="Cambria Math"/>
                </w:rPr>
                <m:t>stab</m:t>
              </m:r>
              <m:r>
                <w:rPr>
                  <w:rFonts w:ascii="Cambria Math" w:hAnsi="Cambria Math"/>
                </w:rPr>
                <m:t>,</m:t>
              </m:r>
              <m:r>
                <m:rPr>
                  <m:sty m:val="p"/>
                </m:rPr>
                <w:rPr>
                  <w:rFonts w:ascii="Cambria Math" w:hAnsi="Cambria Math"/>
                </w:rPr>
                <m:t>asym</m:t>
              </m:r>
            </m:sup>
          </m:sSubSup>
          <m:r>
            <w:rPr>
              <w:rFonts w:ascii="Cambria Math" w:hAnsi="Cambria Math"/>
            </w:rPr>
            <m:t>[</m:t>
          </m:r>
          <m:r>
            <m:rPr>
              <m:sty m:val="p"/>
            </m:rPr>
            <w:rPr>
              <w:rFonts w:ascii="Cambria Math" w:hAnsi="Cambria Math"/>
            </w:rPr>
            <m:t>M</m:t>
          </m:r>
          <m:r>
            <w:rPr>
              <w:rFonts w:ascii="Cambria Math" w:hAnsi="Cambria Math"/>
            </w:rPr>
            <m:t>]</m:t>
          </m:r>
          <m:sSub>
            <m:sSubPr>
              <m:ctrlPr>
                <w:rPr>
                  <w:rFonts w:ascii="Cambria Math" w:hAnsi="Cambria Math"/>
                </w:rPr>
              </m:ctrlPr>
            </m:sSubPr>
            <m:e>
              <m:d>
                <m:dPr>
                  <m:begChr m:val="["/>
                  <m:endChr m:val="]"/>
                  <m:ctrlPr>
                    <w:rPr>
                      <w:rFonts w:ascii="Cambria Math" w:hAnsi="Cambria Math"/>
                      <w:i/>
                    </w:rPr>
                  </m:ctrlPr>
                </m:dPr>
                <m:e>
                  <m:sSubSup>
                    <m:sSubSupPr>
                      <m:ctrlPr>
                        <w:rPr>
                          <w:rFonts w:ascii="Cambria Math" w:hAnsi="Cambria Math"/>
                        </w:rPr>
                      </m:ctrlPr>
                    </m:sSubSupPr>
                    <m:e>
                      <m:r>
                        <m:rPr>
                          <m:sty m:val="p"/>
                        </m:rPr>
                        <w:rPr>
                          <w:rFonts w:ascii="Cambria Math" w:hAnsi="Cambria Math"/>
                        </w:rPr>
                        <m:t>O</m:t>
                      </m:r>
                    </m:e>
                    <m:sub>
                      <m:r>
                        <w:rPr>
                          <w:rFonts w:ascii="Cambria Math" w:hAnsi="Cambria Math"/>
                        </w:rPr>
                        <m:t>3</m:t>
                      </m:r>
                    </m:sub>
                    <m:sup>
                      <m:r>
                        <w:rPr>
                          <w:rFonts w:ascii="Cambria Math" w:hAnsi="Cambria Math"/>
                        </w:rPr>
                        <m:t>*</m:t>
                      </m:r>
                    </m:sup>
                  </m:sSubSup>
                </m:e>
              </m:d>
            </m:e>
            <m:sub>
              <m:r>
                <w:rPr>
                  <w:rFonts w:ascii="Cambria Math" w:hAnsi="Cambria Math"/>
                </w:rPr>
                <m:t>i</m:t>
              </m:r>
            </m:sub>
          </m:sSub>
        </m:oMath>
      </m:oMathPara>
    </w:p>
    <w:p w14:paraId="2E1DAE5F" w14:textId="77777777" w:rsidR="00287AF0" w:rsidRPr="00287AF0" w:rsidRDefault="00287AF0" w:rsidP="00287AF0">
      <w:r w:rsidRPr="00287AF0">
        <w:t>(25)</w:t>
      </w:r>
    </w:p>
    <w:p w14:paraId="43B74E4D" w14:textId="77777777" w:rsidR="00287AF0" w:rsidRPr="00287AF0" w:rsidRDefault="00287AF0" w:rsidP="00287AF0">
      <w:r w:rsidRPr="00287AF0">
        <w:t>Employing the steady state approximation, and, using Equations (15), (17) and (18) for the total rates of decay and stabilization, we obtain:</w:t>
      </w:r>
    </w:p>
    <w:p w14:paraId="74C4EA14" w14:textId="12BC9D63" w:rsidR="003C2CB3" w:rsidRPr="00287AF0" w:rsidRDefault="00713FCB" w:rsidP="00287AF0">
      <m:oMathPara>
        <m:oMath>
          <m:sSub>
            <m:sSubPr>
              <m:ctrlPr>
                <w:rPr>
                  <w:rFonts w:ascii="Cambria Math" w:hAnsi="Cambria Math"/>
                </w:rPr>
              </m:ctrlPr>
            </m:sSubPr>
            <m:e>
              <m:d>
                <m:dPr>
                  <m:begChr m:val="["/>
                  <m:endChr m:val="]"/>
                  <m:ctrlPr>
                    <w:rPr>
                      <w:rFonts w:ascii="Cambria Math" w:hAnsi="Cambria Math"/>
                      <w:i/>
                    </w:rPr>
                  </m:ctrlPr>
                </m:dPr>
                <m:e>
                  <m:sSubSup>
                    <m:sSubSupPr>
                      <m:ctrlPr>
                        <w:rPr>
                          <w:rFonts w:ascii="Cambria Math" w:hAnsi="Cambria Math"/>
                        </w:rPr>
                      </m:ctrlPr>
                    </m:sSubSupPr>
                    <m:e>
                      <m:r>
                        <m:rPr>
                          <m:sty m:val="p"/>
                        </m:rPr>
                        <w:rPr>
                          <w:rFonts w:ascii="Cambria Math" w:hAnsi="Cambria Math"/>
                        </w:rPr>
                        <m:t>O</m:t>
                      </m:r>
                    </m:e>
                    <m:sub>
                      <m:r>
                        <w:rPr>
                          <w:rFonts w:ascii="Cambria Math" w:hAnsi="Cambria Math"/>
                        </w:rPr>
                        <m:t>3</m:t>
                      </m:r>
                    </m:sub>
                    <m:sup>
                      <m:r>
                        <w:rPr>
                          <w:rFonts w:ascii="Cambria Math" w:hAnsi="Cambria Math"/>
                        </w:rPr>
                        <m:t>*</m:t>
                      </m:r>
                    </m:sup>
                  </m:sSubSup>
                </m:e>
              </m:d>
            </m:e>
            <m:sub>
              <m:r>
                <w:rPr>
                  <w:rFonts w:ascii="Cambria Math" w:hAnsi="Cambria Math"/>
                </w:rPr>
                <m:t>i</m:t>
              </m:r>
            </m:sub>
          </m:sSub>
          <m:r>
            <w:rPr>
              <w:rFonts w:ascii="Cambria Math" w:hAnsi="Cambria Math"/>
            </w:rPr>
            <m:t>=</m:t>
          </m:r>
          <m:f>
            <m:fPr>
              <m:ctrlPr>
                <w:rPr>
                  <w:rFonts w:ascii="Cambria Math" w:hAnsi="Cambria Math"/>
                </w:rPr>
              </m:ctrlPr>
            </m:fPr>
            <m:num>
              <m:sSubSup>
                <m:sSubSupPr>
                  <m:ctrlPr>
                    <w:rPr>
                      <w:rFonts w:ascii="Cambria Math" w:hAnsi="Cambria Math"/>
                    </w:rPr>
                  </m:ctrlPr>
                </m:sSubSupPr>
                <m:e>
                  <m:r>
                    <w:rPr>
                      <w:rFonts w:ascii="Cambria Math" w:hAnsi="Cambria Math"/>
                    </w:rPr>
                    <m:t>k</m:t>
                  </m:r>
                </m:e>
                <m:sub>
                  <m:r>
                    <w:rPr>
                      <w:rFonts w:ascii="Cambria Math" w:hAnsi="Cambria Math"/>
                    </w:rPr>
                    <m:t>i</m:t>
                  </m:r>
                </m:sub>
                <m:sup>
                  <m:r>
                    <m:rPr>
                      <m:sty m:val="p"/>
                    </m:rPr>
                    <w:rPr>
                      <w:rFonts w:ascii="Cambria Math" w:hAnsi="Cambria Math"/>
                    </w:rPr>
                    <m:t>form</m:t>
                  </m:r>
                  <m:r>
                    <w:rPr>
                      <w:rFonts w:ascii="Cambria Math" w:hAnsi="Cambria Math"/>
                    </w:rPr>
                    <m:t>,</m:t>
                  </m:r>
                  <m:r>
                    <m:rPr>
                      <m:sty m:val="p"/>
                    </m:rPr>
                    <w:rPr>
                      <w:rFonts w:ascii="Cambria Math" w:hAnsi="Cambria Math"/>
                    </w:rPr>
                    <m:t>ch</m:t>
                  </m:r>
                  <m:r>
                    <w:rPr>
                      <w:rFonts w:ascii="Cambria Math" w:hAnsi="Cambria Math"/>
                    </w:rPr>
                    <m:t>1</m:t>
                  </m:r>
                </m:sup>
              </m:sSubSup>
              <m:d>
                <m:dPr>
                  <m:begChr m:val="["/>
                  <m:endChr m:val="]"/>
                  <m:ctrlPr>
                    <w:rPr>
                      <w:rFonts w:ascii="Cambria Math" w:hAnsi="Cambria Math"/>
                      <w:i/>
                    </w:rPr>
                  </m:ctrlPr>
                </m:dPr>
                <m:e>
                  <m:r>
                    <w:rPr>
                      <w:rFonts w:ascii="Cambria Math" w:hAnsi="Cambria Math"/>
                    </w:rPr>
                    <m:t>66</m:t>
                  </m:r>
                </m:e>
              </m:d>
              <m:d>
                <m:dPr>
                  <m:begChr m:val="["/>
                  <m:endChr m:val="]"/>
                  <m:ctrlPr>
                    <w:rPr>
                      <w:rFonts w:ascii="Cambria Math" w:hAnsi="Cambria Math"/>
                      <w:i/>
                    </w:rPr>
                  </m:ctrlPr>
                </m:dPr>
                <m:e>
                  <m:r>
                    <w:rPr>
                      <w:rFonts w:ascii="Cambria Math" w:hAnsi="Cambria Math"/>
                    </w:rPr>
                    <m:t>8</m:t>
                  </m:r>
                </m:e>
              </m:d>
              <m:r>
                <w:rPr>
                  <w:rFonts w:ascii="Cambria Math" w:hAnsi="Cambria Math"/>
                </w:rPr>
                <m:t>+</m:t>
              </m:r>
              <m:sSubSup>
                <m:sSubSupPr>
                  <m:ctrlPr>
                    <w:rPr>
                      <w:rFonts w:ascii="Cambria Math" w:hAnsi="Cambria Math"/>
                    </w:rPr>
                  </m:ctrlPr>
                </m:sSubSupPr>
                <m:e>
                  <m:r>
                    <w:rPr>
                      <w:rFonts w:ascii="Cambria Math" w:hAnsi="Cambria Math"/>
                    </w:rPr>
                    <m:t>k</m:t>
                  </m:r>
                </m:e>
                <m:sub>
                  <m:r>
                    <w:rPr>
                      <w:rFonts w:ascii="Cambria Math" w:hAnsi="Cambria Math"/>
                    </w:rPr>
                    <m:t>i</m:t>
                  </m:r>
                </m:sub>
                <m:sup>
                  <m:r>
                    <m:rPr>
                      <m:sty m:val="p"/>
                    </m:rPr>
                    <w:rPr>
                      <w:rFonts w:ascii="Cambria Math" w:hAnsi="Cambria Math"/>
                    </w:rPr>
                    <m:t>form</m:t>
                  </m:r>
                  <m:r>
                    <w:rPr>
                      <w:rFonts w:ascii="Cambria Math" w:hAnsi="Cambria Math"/>
                    </w:rPr>
                    <m:t>,</m:t>
                  </m:r>
                  <m:r>
                    <m:rPr>
                      <m:sty m:val="p"/>
                    </m:rPr>
                    <w:rPr>
                      <w:rFonts w:ascii="Cambria Math" w:hAnsi="Cambria Math"/>
                    </w:rPr>
                    <m:t>ch</m:t>
                  </m:r>
                  <m:r>
                    <w:rPr>
                      <w:rFonts w:ascii="Cambria Math" w:hAnsi="Cambria Math"/>
                    </w:rPr>
                    <m:t>2</m:t>
                  </m:r>
                </m:sup>
              </m:sSubSup>
              <m:d>
                <m:dPr>
                  <m:begChr m:val="["/>
                  <m:endChr m:val="]"/>
                  <m:ctrlPr>
                    <w:rPr>
                      <w:rFonts w:ascii="Cambria Math" w:hAnsi="Cambria Math"/>
                      <w:i/>
                    </w:rPr>
                  </m:ctrlPr>
                </m:dPr>
                <m:e>
                  <m:r>
                    <w:rPr>
                      <w:rFonts w:ascii="Cambria Math" w:hAnsi="Cambria Math"/>
                    </w:rPr>
                    <m:t>68</m:t>
                  </m:r>
                </m:e>
              </m:d>
              <m:d>
                <m:dPr>
                  <m:begChr m:val="["/>
                  <m:endChr m:val="]"/>
                  <m:ctrlPr>
                    <w:rPr>
                      <w:rFonts w:ascii="Cambria Math" w:hAnsi="Cambria Math"/>
                      <w:i/>
                    </w:rPr>
                  </m:ctrlPr>
                </m:dPr>
                <m:e>
                  <m:r>
                    <w:rPr>
                      <w:rFonts w:ascii="Cambria Math" w:hAnsi="Cambria Math"/>
                    </w:rPr>
                    <m:t>6</m:t>
                  </m:r>
                </m:e>
              </m:d>
            </m:num>
            <m:den>
              <m:sSubSup>
                <m:sSubSupPr>
                  <m:ctrlPr>
                    <w:rPr>
                      <w:rFonts w:ascii="Cambria Math" w:hAnsi="Cambria Math"/>
                    </w:rPr>
                  </m:ctrlPr>
                </m:sSubSupPr>
                <m:e>
                  <m:r>
                    <w:rPr>
                      <w:rFonts w:ascii="Cambria Math" w:hAnsi="Cambria Math"/>
                    </w:rPr>
                    <m:t>k</m:t>
                  </m:r>
                </m:e>
                <m:sub>
                  <m:r>
                    <w:rPr>
                      <w:rFonts w:ascii="Cambria Math" w:hAnsi="Cambria Math"/>
                    </w:rPr>
                    <m:t>i</m:t>
                  </m:r>
                </m:sub>
                <m:sup>
                  <m:r>
                    <m:rPr>
                      <m:sty m:val="p"/>
                    </m:rPr>
                    <w:rPr>
                      <w:rFonts w:ascii="Cambria Math" w:hAnsi="Cambria Math"/>
                    </w:rPr>
                    <m:t>dec</m:t>
                  </m:r>
                </m:sup>
              </m:sSubSup>
              <m:r>
                <w:rPr>
                  <w:rFonts w:ascii="Cambria Math" w:hAnsi="Cambria Math"/>
                </w:rPr>
                <m:t>+</m:t>
              </m:r>
              <m:sSubSup>
                <m:sSubSupPr>
                  <m:ctrlPr>
                    <w:rPr>
                      <w:rFonts w:ascii="Cambria Math" w:hAnsi="Cambria Math"/>
                    </w:rPr>
                  </m:ctrlPr>
                </m:sSubSupPr>
                <m:e>
                  <m:r>
                    <w:rPr>
                      <w:rFonts w:ascii="Cambria Math" w:hAnsi="Cambria Math"/>
                    </w:rPr>
                    <m:t>k</m:t>
                  </m:r>
                </m:e>
                <m:sub>
                  <m:r>
                    <w:rPr>
                      <w:rFonts w:ascii="Cambria Math" w:hAnsi="Cambria Math"/>
                    </w:rPr>
                    <m:t>i</m:t>
                  </m:r>
                </m:sub>
                <m:sup>
                  <m:r>
                    <m:rPr>
                      <m:sty m:val="p"/>
                    </m:rPr>
                    <w:rPr>
                      <w:rFonts w:ascii="Cambria Math" w:hAnsi="Cambria Math"/>
                    </w:rPr>
                    <m:t>stab</m:t>
                  </m:r>
                </m:sup>
              </m:sSubSup>
              <m:d>
                <m:dPr>
                  <m:begChr m:val="["/>
                  <m:endChr m:val="]"/>
                  <m:ctrlPr>
                    <w:rPr>
                      <w:rFonts w:ascii="Cambria Math" w:hAnsi="Cambria Math"/>
                      <w:i/>
                    </w:rPr>
                  </m:ctrlPr>
                </m:dPr>
                <m:e>
                  <m:r>
                    <m:rPr>
                      <m:sty m:val="p"/>
                    </m:rPr>
                    <w:rPr>
                      <w:rFonts w:ascii="Cambria Math" w:hAnsi="Cambria Math"/>
                    </w:rPr>
                    <m:t>M</m:t>
                  </m:r>
                </m:e>
              </m:d>
            </m:den>
          </m:f>
        </m:oMath>
      </m:oMathPara>
    </w:p>
    <w:p w14:paraId="406AB2B2" w14:textId="77777777" w:rsidR="00287AF0" w:rsidRPr="00287AF0" w:rsidRDefault="00287AF0" w:rsidP="00287AF0">
      <w:r w:rsidRPr="00287AF0">
        <w:t>(26)</w:t>
      </w:r>
    </w:p>
    <w:p w14:paraId="58562EA1" w14:textId="77777777" w:rsidR="00287AF0" w:rsidRPr="00287AF0" w:rsidRDefault="00287AF0" w:rsidP="00287AF0">
      <w:r w:rsidRPr="00287AF0">
        <w:t>It is convenient to introduce, for each scattering resonance, the equilibrium constants for two entrance channels, as follows:</w:t>
      </w:r>
    </w:p>
    <w:p w14:paraId="18EBE23F" w14:textId="0CF2993F" w:rsidR="00713FCB" w:rsidRPr="00287AF0" w:rsidRDefault="00FD6044" w:rsidP="00287AF0">
      <m:oMathPara>
        <m:oMath>
          <m:sSubSup>
            <m:sSubSupPr>
              <m:ctrlPr>
                <w:rPr>
                  <w:rFonts w:ascii="Cambria Math" w:hAnsi="Cambria Math"/>
                </w:rPr>
              </m:ctrlPr>
            </m:sSubSupPr>
            <m:e>
              <m:r>
                <w:rPr>
                  <w:rFonts w:ascii="Cambria Math" w:hAnsi="Cambria Math"/>
                </w:rPr>
                <m:t>K</m:t>
              </m:r>
            </m:e>
            <m:sub>
              <m:r>
                <w:rPr>
                  <w:rFonts w:ascii="Cambria Math" w:hAnsi="Cambria Math"/>
                </w:rPr>
                <m:t>i</m:t>
              </m:r>
            </m:sub>
            <m:sup>
              <m:r>
                <m:rPr>
                  <m:sty m:val="p"/>
                </m:rPr>
                <w:rPr>
                  <w:rFonts w:ascii="Cambria Math" w:hAnsi="Cambria Math"/>
                </w:rPr>
                <m:t>eq</m:t>
              </m:r>
              <m:r>
                <w:rPr>
                  <w:rFonts w:ascii="Cambria Math" w:hAnsi="Cambria Math"/>
                </w:rPr>
                <m:t>,</m:t>
              </m:r>
              <m:r>
                <m:rPr>
                  <m:sty m:val="p"/>
                </m:rPr>
                <w:rPr>
                  <w:rFonts w:ascii="Cambria Math" w:hAnsi="Cambria Math"/>
                </w:rPr>
                <m:t>ch</m:t>
              </m:r>
              <m:r>
                <w:rPr>
                  <w:rFonts w:ascii="Cambria Math" w:hAnsi="Cambria Math"/>
                </w:rPr>
                <m:t>1</m:t>
              </m:r>
            </m:sup>
          </m:sSubSup>
          <m:r>
            <w:rPr>
              <w:rFonts w:ascii="Cambria Math" w:hAnsi="Cambria Math"/>
            </w:rPr>
            <m:t>=</m:t>
          </m:r>
          <m:f>
            <m:fPr>
              <m:ctrlPr>
                <w:rPr>
                  <w:rFonts w:ascii="Cambria Math" w:hAnsi="Cambria Math"/>
                </w:rPr>
              </m:ctrlPr>
            </m:fPr>
            <m:num>
              <m:sSubSup>
                <m:sSubSupPr>
                  <m:ctrlPr>
                    <w:rPr>
                      <w:rFonts w:ascii="Cambria Math" w:hAnsi="Cambria Math"/>
                    </w:rPr>
                  </m:ctrlPr>
                </m:sSubSupPr>
                <m:e>
                  <m:r>
                    <w:rPr>
                      <w:rFonts w:ascii="Cambria Math" w:hAnsi="Cambria Math"/>
                    </w:rPr>
                    <m:t>k</m:t>
                  </m:r>
                </m:e>
                <m:sub>
                  <m:r>
                    <w:rPr>
                      <w:rFonts w:ascii="Cambria Math" w:hAnsi="Cambria Math"/>
                    </w:rPr>
                    <m:t>i</m:t>
                  </m:r>
                </m:sub>
                <m:sup>
                  <m:r>
                    <m:rPr>
                      <m:sty m:val="p"/>
                    </m:rPr>
                    <w:rPr>
                      <w:rFonts w:ascii="Cambria Math" w:hAnsi="Cambria Math"/>
                    </w:rPr>
                    <m:t>form</m:t>
                  </m:r>
                  <m:r>
                    <w:rPr>
                      <w:rFonts w:ascii="Cambria Math" w:hAnsi="Cambria Math"/>
                    </w:rPr>
                    <m:t>,</m:t>
                  </m:r>
                  <m:r>
                    <m:rPr>
                      <m:sty m:val="p"/>
                    </m:rPr>
                    <w:rPr>
                      <w:rFonts w:ascii="Cambria Math" w:hAnsi="Cambria Math"/>
                    </w:rPr>
                    <m:t>ch</m:t>
                  </m:r>
                  <m:r>
                    <w:rPr>
                      <w:rFonts w:ascii="Cambria Math" w:hAnsi="Cambria Math"/>
                    </w:rPr>
                    <m:t>1</m:t>
                  </m:r>
                </m:sup>
              </m:sSubSup>
            </m:num>
            <m:den>
              <m:sSubSup>
                <m:sSubSupPr>
                  <m:ctrlPr>
                    <w:rPr>
                      <w:rFonts w:ascii="Cambria Math" w:hAnsi="Cambria Math"/>
                    </w:rPr>
                  </m:ctrlPr>
                </m:sSubSupPr>
                <m:e>
                  <m:r>
                    <w:rPr>
                      <w:rFonts w:ascii="Cambria Math" w:hAnsi="Cambria Math"/>
                    </w:rPr>
                    <m:t>k</m:t>
                  </m:r>
                </m:e>
                <m:sub>
                  <m:r>
                    <w:rPr>
                      <w:rFonts w:ascii="Cambria Math" w:hAnsi="Cambria Math"/>
                    </w:rPr>
                    <m:t>i</m:t>
                  </m:r>
                </m:sub>
                <m:sup>
                  <m:r>
                    <m:rPr>
                      <m:sty m:val="p"/>
                    </m:rPr>
                    <w:rPr>
                      <w:rFonts w:ascii="Cambria Math" w:hAnsi="Cambria Math"/>
                    </w:rPr>
                    <m:t>dec</m:t>
                  </m:r>
                  <m:r>
                    <w:rPr>
                      <w:rFonts w:ascii="Cambria Math" w:hAnsi="Cambria Math"/>
                    </w:rPr>
                    <m:t>,</m:t>
                  </m:r>
                  <m:r>
                    <m:rPr>
                      <m:sty m:val="p"/>
                    </m:rPr>
                    <w:rPr>
                      <w:rFonts w:ascii="Cambria Math" w:hAnsi="Cambria Math"/>
                    </w:rPr>
                    <m:t>ch</m:t>
                  </m:r>
                  <m:r>
                    <w:rPr>
                      <w:rFonts w:ascii="Cambria Math" w:hAnsi="Cambria Math"/>
                    </w:rPr>
                    <m:t>1</m:t>
                  </m:r>
                </m:sup>
              </m:sSubSup>
            </m:den>
          </m:f>
        </m:oMath>
      </m:oMathPara>
    </w:p>
    <w:p w14:paraId="43AE87E4" w14:textId="77777777" w:rsidR="00287AF0" w:rsidRPr="00287AF0" w:rsidRDefault="00287AF0" w:rsidP="00287AF0">
      <w:r w:rsidRPr="00287AF0">
        <w:t>(27)</w:t>
      </w:r>
    </w:p>
    <w:p w14:paraId="13EAA0AA" w14:textId="4F200D04" w:rsidR="00713FCB" w:rsidRPr="00287AF0" w:rsidRDefault="00702A89" w:rsidP="00287AF0">
      <m:oMathPara>
        <m:oMath>
          <m:sSubSup>
            <m:sSubSupPr>
              <m:ctrlPr>
                <w:rPr>
                  <w:rFonts w:ascii="Cambria Math" w:hAnsi="Cambria Math"/>
                </w:rPr>
              </m:ctrlPr>
            </m:sSubSupPr>
            <m:e>
              <m:r>
                <w:rPr>
                  <w:rFonts w:ascii="Cambria Math" w:hAnsi="Cambria Math"/>
                </w:rPr>
                <m:t>K</m:t>
              </m:r>
            </m:e>
            <m:sub>
              <m:r>
                <w:rPr>
                  <w:rFonts w:ascii="Cambria Math" w:hAnsi="Cambria Math"/>
                </w:rPr>
                <m:t>i</m:t>
              </m:r>
            </m:sub>
            <m:sup>
              <m:r>
                <m:rPr>
                  <m:sty m:val="p"/>
                </m:rPr>
                <w:rPr>
                  <w:rFonts w:ascii="Cambria Math" w:hAnsi="Cambria Math"/>
                </w:rPr>
                <m:t>eq</m:t>
              </m:r>
              <m:r>
                <w:rPr>
                  <w:rFonts w:ascii="Cambria Math" w:hAnsi="Cambria Math"/>
                </w:rPr>
                <m:t>,</m:t>
              </m:r>
              <m:r>
                <m:rPr>
                  <m:sty m:val="p"/>
                </m:rPr>
                <w:rPr>
                  <w:rFonts w:ascii="Cambria Math" w:hAnsi="Cambria Math"/>
                </w:rPr>
                <m:t>ch</m:t>
              </m:r>
              <m:r>
                <w:rPr>
                  <w:rFonts w:ascii="Cambria Math" w:hAnsi="Cambria Math"/>
                </w:rPr>
                <m:t>2</m:t>
              </m:r>
            </m:sup>
          </m:sSubSup>
          <m:r>
            <w:rPr>
              <w:rFonts w:ascii="Cambria Math" w:hAnsi="Cambria Math"/>
            </w:rPr>
            <m:t>=</m:t>
          </m:r>
          <m:f>
            <m:fPr>
              <m:ctrlPr>
                <w:rPr>
                  <w:rFonts w:ascii="Cambria Math" w:hAnsi="Cambria Math"/>
                </w:rPr>
              </m:ctrlPr>
            </m:fPr>
            <m:num>
              <m:sSubSup>
                <m:sSubSupPr>
                  <m:ctrlPr>
                    <w:rPr>
                      <w:rFonts w:ascii="Cambria Math" w:hAnsi="Cambria Math"/>
                    </w:rPr>
                  </m:ctrlPr>
                </m:sSubSupPr>
                <m:e>
                  <m:r>
                    <w:rPr>
                      <w:rFonts w:ascii="Cambria Math" w:hAnsi="Cambria Math"/>
                    </w:rPr>
                    <m:t>k</m:t>
                  </m:r>
                </m:e>
                <m:sub>
                  <m:r>
                    <w:rPr>
                      <w:rFonts w:ascii="Cambria Math" w:hAnsi="Cambria Math"/>
                    </w:rPr>
                    <m:t>i</m:t>
                  </m:r>
                </m:sub>
                <m:sup>
                  <m:r>
                    <m:rPr>
                      <m:sty m:val="p"/>
                    </m:rPr>
                    <w:rPr>
                      <w:rFonts w:ascii="Cambria Math" w:hAnsi="Cambria Math"/>
                    </w:rPr>
                    <m:t>form</m:t>
                  </m:r>
                  <m:r>
                    <w:rPr>
                      <w:rFonts w:ascii="Cambria Math" w:hAnsi="Cambria Math"/>
                    </w:rPr>
                    <m:t>,</m:t>
                  </m:r>
                  <m:r>
                    <m:rPr>
                      <m:sty m:val="p"/>
                    </m:rPr>
                    <w:rPr>
                      <w:rFonts w:ascii="Cambria Math" w:hAnsi="Cambria Math"/>
                    </w:rPr>
                    <m:t>ch</m:t>
                  </m:r>
                  <m:r>
                    <w:rPr>
                      <w:rFonts w:ascii="Cambria Math" w:hAnsi="Cambria Math"/>
                    </w:rPr>
                    <m:t>2</m:t>
                  </m:r>
                </m:sup>
              </m:sSubSup>
            </m:num>
            <m:den>
              <m:sSubSup>
                <m:sSubSupPr>
                  <m:ctrlPr>
                    <w:rPr>
                      <w:rFonts w:ascii="Cambria Math" w:hAnsi="Cambria Math"/>
                    </w:rPr>
                  </m:ctrlPr>
                </m:sSubSupPr>
                <m:e>
                  <m:r>
                    <w:rPr>
                      <w:rFonts w:ascii="Cambria Math" w:hAnsi="Cambria Math"/>
                    </w:rPr>
                    <m:t>k</m:t>
                  </m:r>
                </m:e>
                <m:sub>
                  <m:r>
                    <w:rPr>
                      <w:rFonts w:ascii="Cambria Math" w:hAnsi="Cambria Math"/>
                    </w:rPr>
                    <m:t>i</m:t>
                  </m:r>
                </m:sub>
                <m:sup>
                  <m:r>
                    <m:rPr>
                      <m:sty m:val="p"/>
                    </m:rPr>
                    <w:rPr>
                      <w:rFonts w:ascii="Cambria Math" w:hAnsi="Cambria Math"/>
                    </w:rPr>
                    <m:t>dec</m:t>
                  </m:r>
                  <m:r>
                    <w:rPr>
                      <w:rFonts w:ascii="Cambria Math" w:hAnsi="Cambria Math"/>
                    </w:rPr>
                    <m:t>,</m:t>
                  </m:r>
                  <m:r>
                    <m:rPr>
                      <m:sty m:val="p"/>
                    </m:rPr>
                    <w:rPr>
                      <w:rFonts w:ascii="Cambria Math" w:hAnsi="Cambria Math"/>
                    </w:rPr>
                    <m:t>ch</m:t>
                  </m:r>
                  <m:r>
                    <w:rPr>
                      <w:rFonts w:ascii="Cambria Math" w:hAnsi="Cambria Math"/>
                    </w:rPr>
                    <m:t>2</m:t>
                  </m:r>
                </m:sup>
              </m:sSubSup>
            </m:den>
          </m:f>
        </m:oMath>
      </m:oMathPara>
    </w:p>
    <w:p w14:paraId="2F20C6CA" w14:textId="77777777" w:rsidR="00287AF0" w:rsidRPr="00287AF0" w:rsidRDefault="00287AF0" w:rsidP="00287AF0">
      <w:r w:rsidRPr="00287AF0">
        <w:t>(28)</w:t>
      </w:r>
    </w:p>
    <w:p w14:paraId="17770FC6" w14:textId="77777777" w:rsidR="00287AF0" w:rsidRPr="00287AF0" w:rsidRDefault="00287AF0" w:rsidP="00287AF0">
      <w:r w:rsidRPr="00287AF0">
        <w:t>This permits to express concentration through the rate of decay only (which is a fundamental property of a resonance, related to its width):</w:t>
      </w:r>
    </w:p>
    <w:p w14:paraId="3A237DFA" w14:textId="2F257923" w:rsidR="00702A89" w:rsidRPr="00287AF0" w:rsidRDefault="00744557" w:rsidP="00287AF0">
      <m:oMathPara>
        <m:oMath>
          <m:sSub>
            <m:sSubPr>
              <m:ctrlPr>
                <w:rPr>
                  <w:rFonts w:ascii="Cambria Math" w:hAnsi="Cambria Math"/>
                </w:rPr>
              </m:ctrlPr>
            </m:sSubPr>
            <m:e>
              <m:d>
                <m:dPr>
                  <m:begChr m:val="["/>
                  <m:endChr m:val="]"/>
                  <m:ctrlPr>
                    <w:rPr>
                      <w:rFonts w:ascii="Cambria Math" w:hAnsi="Cambria Math"/>
                      <w:i/>
                    </w:rPr>
                  </m:ctrlPr>
                </m:dPr>
                <m:e>
                  <m:sSubSup>
                    <m:sSubSupPr>
                      <m:ctrlPr>
                        <w:rPr>
                          <w:rFonts w:ascii="Cambria Math" w:hAnsi="Cambria Math"/>
                        </w:rPr>
                      </m:ctrlPr>
                    </m:sSubSupPr>
                    <m:e>
                      <m:r>
                        <m:rPr>
                          <m:sty m:val="p"/>
                        </m:rPr>
                        <w:rPr>
                          <w:rFonts w:ascii="Cambria Math" w:hAnsi="Cambria Math"/>
                        </w:rPr>
                        <m:t>O</m:t>
                      </m:r>
                    </m:e>
                    <m:sub>
                      <m:r>
                        <w:rPr>
                          <w:rFonts w:ascii="Cambria Math" w:hAnsi="Cambria Math"/>
                        </w:rPr>
                        <m:t>3</m:t>
                      </m:r>
                    </m:sub>
                    <m:sup>
                      <m:r>
                        <w:rPr>
                          <w:rFonts w:ascii="Cambria Math" w:hAnsi="Cambria Math"/>
                        </w:rPr>
                        <m:t>*</m:t>
                      </m:r>
                    </m:sup>
                  </m:sSubSup>
                </m:e>
              </m:d>
            </m:e>
            <m:sub>
              <m:r>
                <w:rPr>
                  <w:rFonts w:ascii="Cambria Math" w:hAnsi="Cambria Math"/>
                </w:rPr>
                <m:t>i</m:t>
              </m:r>
            </m:sub>
          </m:sSub>
          <m:r>
            <w:rPr>
              <w:rFonts w:ascii="Cambria Math" w:hAnsi="Cambria Math"/>
            </w:rPr>
            <m:t>=</m:t>
          </m:r>
          <m:f>
            <m:fPr>
              <m:ctrlPr>
                <w:rPr>
                  <w:rFonts w:ascii="Cambria Math" w:hAnsi="Cambria Math"/>
                </w:rPr>
              </m:ctrlPr>
            </m:fPr>
            <m:num>
              <m:sSubSup>
                <m:sSubSupPr>
                  <m:ctrlPr>
                    <w:rPr>
                      <w:rFonts w:ascii="Cambria Math" w:hAnsi="Cambria Math"/>
                    </w:rPr>
                  </m:ctrlPr>
                </m:sSubSupPr>
                <m:e>
                  <m:r>
                    <w:rPr>
                      <w:rFonts w:ascii="Cambria Math" w:hAnsi="Cambria Math"/>
                    </w:rPr>
                    <m:t>k</m:t>
                  </m:r>
                </m:e>
                <m:sub>
                  <m:r>
                    <w:rPr>
                      <w:rFonts w:ascii="Cambria Math" w:hAnsi="Cambria Math"/>
                    </w:rPr>
                    <m:t>i</m:t>
                  </m:r>
                </m:sub>
                <m:sup>
                  <m:r>
                    <m:rPr>
                      <m:sty m:val="p"/>
                    </m:rPr>
                    <w:rPr>
                      <w:rFonts w:ascii="Cambria Math" w:hAnsi="Cambria Math"/>
                    </w:rPr>
                    <m:t>dec</m:t>
                  </m:r>
                  <m:r>
                    <w:rPr>
                      <w:rFonts w:ascii="Cambria Math" w:hAnsi="Cambria Math"/>
                    </w:rPr>
                    <m:t>,</m:t>
                  </m:r>
                  <m:r>
                    <m:rPr>
                      <m:sty m:val="p"/>
                    </m:rPr>
                    <w:rPr>
                      <w:rFonts w:ascii="Cambria Math" w:hAnsi="Cambria Math"/>
                    </w:rPr>
                    <m:t>ch</m:t>
                  </m:r>
                  <m:r>
                    <w:rPr>
                      <w:rFonts w:ascii="Cambria Math" w:hAnsi="Cambria Math"/>
                    </w:rPr>
                    <m:t>1</m:t>
                  </m:r>
                </m:sup>
              </m:sSubSup>
              <m:sSubSup>
                <m:sSubSupPr>
                  <m:ctrlPr>
                    <w:rPr>
                      <w:rFonts w:ascii="Cambria Math" w:hAnsi="Cambria Math"/>
                    </w:rPr>
                  </m:ctrlPr>
                </m:sSubSupPr>
                <m:e>
                  <m:r>
                    <w:rPr>
                      <w:rFonts w:ascii="Cambria Math" w:hAnsi="Cambria Math"/>
                    </w:rPr>
                    <m:t>K</m:t>
                  </m:r>
                </m:e>
                <m:sub>
                  <m:r>
                    <w:rPr>
                      <w:rFonts w:ascii="Cambria Math" w:hAnsi="Cambria Math"/>
                    </w:rPr>
                    <m:t>i</m:t>
                  </m:r>
                </m:sub>
                <m:sup>
                  <m:r>
                    <m:rPr>
                      <m:sty m:val="p"/>
                    </m:rPr>
                    <w:rPr>
                      <w:rFonts w:ascii="Cambria Math" w:hAnsi="Cambria Math"/>
                    </w:rPr>
                    <m:t>eq</m:t>
                  </m:r>
                  <m:r>
                    <w:rPr>
                      <w:rFonts w:ascii="Cambria Math" w:hAnsi="Cambria Math"/>
                    </w:rPr>
                    <m:t>,</m:t>
                  </m:r>
                  <m:r>
                    <m:rPr>
                      <m:sty m:val="p"/>
                    </m:rPr>
                    <w:rPr>
                      <w:rFonts w:ascii="Cambria Math" w:hAnsi="Cambria Math"/>
                    </w:rPr>
                    <m:t>ch</m:t>
                  </m:r>
                  <m:r>
                    <w:rPr>
                      <w:rFonts w:ascii="Cambria Math" w:hAnsi="Cambria Math"/>
                    </w:rPr>
                    <m:t>1</m:t>
                  </m:r>
                </m:sup>
              </m:sSubSup>
            </m:num>
            <m:den>
              <m:sSubSup>
                <m:sSubSupPr>
                  <m:ctrlPr>
                    <w:rPr>
                      <w:rFonts w:ascii="Cambria Math" w:hAnsi="Cambria Math"/>
                    </w:rPr>
                  </m:ctrlPr>
                </m:sSubSupPr>
                <m:e>
                  <m:r>
                    <w:rPr>
                      <w:rFonts w:ascii="Cambria Math" w:hAnsi="Cambria Math"/>
                    </w:rPr>
                    <m:t>k</m:t>
                  </m:r>
                </m:e>
                <m:sub>
                  <m:r>
                    <w:rPr>
                      <w:rFonts w:ascii="Cambria Math" w:hAnsi="Cambria Math"/>
                    </w:rPr>
                    <m:t>i</m:t>
                  </m:r>
                </m:sub>
                <m:sup>
                  <m:r>
                    <m:rPr>
                      <m:sty m:val="p"/>
                    </m:rPr>
                    <w:rPr>
                      <w:rFonts w:ascii="Cambria Math" w:hAnsi="Cambria Math"/>
                    </w:rPr>
                    <m:t>dec</m:t>
                  </m:r>
                </m:sup>
              </m:sSubSup>
              <m:r>
                <w:rPr>
                  <w:rFonts w:ascii="Cambria Math" w:hAnsi="Cambria Math"/>
                </w:rPr>
                <m:t>+</m:t>
              </m:r>
              <m:sSubSup>
                <m:sSubSupPr>
                  <m:ctrlPr>
                    <w:rPr>
                      <w:rFonts w:ascii="Cambria Math" w:hAnsi="Cambria Math"/>
                    </w:rPr>
                  </m:ctrlPr>
                </m:sSubSupPr>
                <m:e>
                  <m:r>
                    <w:rPr>
                      <w:rFonts w:ascii="Cambria Math" w:hAnsi="Cambria Math"/>
                    </w:rPr>
                    <m:t>k</m:t>
                  </m:r>
                </m:e>
                <m:sub>
                  <m:r>
                    <w:rPr>
                      <w:rFonts w:ascii="Cambria Math" w:hAnsi="Cambria Math"/>
                    </w:rPr>
                    <m:t>i</m:t>
                  </m:r>
                </m:sub>
                <m:sup>
                  <m:r>
                    <m:rPr>
                      <m:sty m:val="p"/>
                    </m:rPr>
                    <w:rPr>
                      <w:rFonts w:ascii="Cambria Math" w:hAnsi="Cambria Math"/>
                    </w:rPr>
                    <m:t>stab</m:t>
                  </m:r>
                </m:sup>
              </m:sSubSup>
              <m:d>
                <m:dPr>
                  <m:begChr m:val="["/>
                  <m:endChr m:val="]"/>
                  <m:ctrlPr>
                    <w:rPr>
                      <w:rFonts w:ascii="Cambria Math" w:hAnsi="Cambria Math"/>
                      <w:i/>
                    </w:rPr>
                  </m:ctrlPr>
                </m:dPr>
                <m:e>
                  <m:r>
                    <m:rPr>
                      <m:sty m:val="p"/>
                    </m:rPr>
                    <w:rPr>
                      <w:rFonts w:ascii="Cambria Math" w:hAnsi="Cambria Math"/>
                    </w:rPr>
                    <m:t>M</m:t>
                  </m:r>
                </m:e>
              </m:d>
            </m:den>
          </m:f>
          <m:d>
            <m:dPr>
              <m:begChr m:val="["/>
              <m:endChr m:val="]"/>
              <m:ctrlPr>
                <w:rPr>
                  <w:rFonts w:ascii="Cambria Math" w:hAnsi="Cambria Math"/>
                  <w:i/>
                </w:rPr>
              </m:ctrlPr>
            </m:dPr>
            <m:e>
              <m:r>
                <w:rPr>
                  <w:rFonts w:ascii="Cambria Math" w:hAnsi="Cambria Math"/>
                </w:rPr>
                <m:t>66</m:t>
              </m:r>
            </m:e>
          </m:d>
          <m:d>
            <m:dPr>
              <m:begChr m:val="["/>
              <m:endChr m:val="]"/>
              <m:ctrlPr>
                <w:rPr>
                  <w:rFonts w:ascii="Cambria Math" w:hAnsi="Cambria Math"/>
                  <w:i/>
                </w:rPr>
              </m:ctrlPr>
            </m:dPr>
            <m:e>
              <m:r>
                <w:rPr>
                  <w:rFonts w:ascii="Cambria Math" w:hAnsi="Cambria Math"/>
                </w:rPr>
                <m:t>8</m:t>
              </m:r>
            </m:e>
          </m:d>
          <m:r>
            <w:rPr>
              <w:rFonts w:ascii="Cambria Math" w:hAnsi="Cambria Math"/>
            </w:rPr>
            <m:t>+</m:t>
          </m:r>
          <m:f>
            <m:fPr>
              <m:ctrlPr>
                <w:rPr>
                  <w:rFonts w:ascii="Cambria Math" w:hAnsi="Cambria Math"/>
                </w:rPr>
              </m:ctrlPr>
            </m:fPr>
            <m:num>
              <m:sSubSup>
                <m:sSubSupPr>
                  <m:ctrlPr>
                    <w:rPr>
                      <w:rFonts w:ascii="Cambria Math" w:hAnsi="Cambria Math"/>
                    </w:rPr>
                  </m:ctrlPr>
                </m:sSubSupPr>
                <m:e>
                  <m:r>
                    <w:rPr>
                      <w:rFonts w:ascii="Cambria Math" w:hAnsi="Cambria Math"/>
                    </w:rPr>
                    <m:t>k</m:t>
                  </m:r>
                </m:e>
                <m:sub>
                  <m:r>
                    <w:rPr>
                      <w:rFonts w:ascii="Cambria Math" w:hAnsi="Cambria Math"/>
                    </w:rPr>
                    <m:t>i</m:t>
                  </m:r>
                </m:sub>
                <m:sup>
                  <m:r>
                    <m:rPr>
                      <m:sty m:val="p"/>
                    </m:rPr>
                    <w:rPr>
                      <w:rFonts w:ascii="Cambria Math" w:hAnsi="Cambria Math"/>
                    </w:rPr>
                    <m:t>dec</m:t>
                  </m:r>
                  <m:r>
                    <w:rPr>
                      <w:rFonts w:ascii="Cambria Math" w:hAnsi="Cambria Math"/>
                    </w:rPr>
                    <m:t>,</m:t>
                  </m:r>
                  <m:r>
                    <m:rPr>
                      <m:sty m:val="p"/>
                    </m:rPr>
                    <w:rPr>
                      <w:rFonts w:ascii="Cambria Math" w:hAnsi="Cambria Math"/>
                    </w:rPr>
                    <m:t>ch</m:t>
                  </m:r>
                  <m:r>
                    <w:rPr>
                      <w:rFonts w:ascii="Cambria Math" w:hAnsi="Cambria Math"/>
                    </w:rPr>
                    <m:t>2</m:t>
                  </m:r>
                </m:sup>
              </m:sSubSup>
              <m:sSubSup>
                <m:sSubSupPr>
                  <m:ctrlPr>
                    <w:rPr>
                      <w:rFonts w:ascii="Cambria Math" w:hAnsi="Cambria Math"/>
                    </w:rPr>
                  </m:ctrlPr>
                </m:sSubSupPr>
                <m:e>
                  <m:r>
                    <w:rPr>
                      <w:rFonts w:ascii="Cambria Math" w:hAnsi="Cambria Math"/>
                    </w:rPr>
                    <m:t>K</m:t>
                  </m:r>
                </m:e>
                <m:sub>
                  <m:r>
                    <w:rPr>
                      <w:rFonts w:ascii="Cambria Math" w:hAnsi="Cambria Math"/>
                    </w:rPr>
                    <m:t>i</m:t>
                  </m:r>
                </m:sub>
                <m:sup>
                  <m:r>
                    <m:rPr>
                      <m:sty m:val="p"/>
                    </m:rPr>
                    <w:rPr>
                      <w:rFonts w:ascii="Cambria Math" w:hAnsi="Cambria Math"/>
                    </w:rPr>
                    <m:t>eq</m:t>
                  </m:r>
                  <m:r>
                    <w:rPr>
                      <w:rFonts w:ascii="Cambria Math" w:hAnsi="Cambria Math"/>
                    </w:rPr>
                    <m:t>,</m:t>
                  </m:r>
                  <m:r>
                    <m:rPr>
                      <m:sty m:val="p"/>
                    </m:rPr>
                    <w:rPr>
                      <w:rFonts w:ascii="Cambria Math" w:hAnsi="Cambria Math"/>
                    </w:rPr>
                    <m:t>ch</m:t>
                  </m:r>
                  <m:r>
                    <w:rPr>
                      <w:rFonts w:ascii="Cambria Math" w:hAnsi="Cambria Math"/>
                    </w:rPr>
                    <m:t>2</m:t>
                  </m:r>
                </m:sup>
              </m:sSubSup>
            </m:num>
            <m:den>
              <m:sSubSup>
                <m:sSubSupPr>
                  <m:ctrlPr>
                    <w:rPr>
                      <w:rFonts w:ascii="Cambria Math" w:hAnsi="Cambria Math"/>
                    </w:rPr>
                  </m:ctrlPr>
                </m:sSubSupPr>
                <m:e>
                  <m:r>
                    <w:rPr>
                      <w:rFonts w:ascii="Cambria Math" w:hAnsi="Cambria Math"/>
                    </w:rPr>
                    <m:t>k</m:t>
                  </m:r>
                </m:e>
                <m:sub>
                  <m:r>
                    <w:rPr>
                      <w:rFonts w:ascii="Cambria Math" w:hAnsi="Cambria Math"/>
                    </w:rPr>
                    <m:t>i</m:t>
                  </m:r>
                </m:sub>
                <m:sup>
                  <m:r>
                    <m:rPr>
                      <m:sty m:val="p"/>
                    </m:rPr>
                    <w:rPr>
                      <w:rFonts w:ascii="Cambria Math" w:hAnsi="Cambria Math"/>
                    </w:rPr>
                    <m:t>dec</m:t>
                  </m:r>
                </m:sup>
              </m:sSubSup>
              <m:r>
                <w:rPr>
                  <w:rFonts w:ascii="Cambria Math" w:hAnsi="Cambria Math"/>
                </w:rPr>
                <m:t>+</m:t>
              </m:r>
              <m:sSubSup>
                <m:sSubSupPr>
                  <m:ctrlPr>
                    <w:rPr>
                      <w:rFonts w:ascii="Cambria Math" w:hAnsi="Cambria Math"/>
                    </w:rPr>
                  </m:ctrlPr>
                </m:sSubSupPr>
                <m:e>
                  <m:r>
                    <w:rPr>
                      <w:rFonts w:ascii="Cambria Math" w:hAnsi="Cambria Math"/>
                    </w:rPr>
                    <m:t>k</m:t>
                  </m:r>
                </m:e>
                <m:sub>
                  <m:r>
                    <w:rPr>
                      <w:rFonts w:ascii="Cambria Math" w:hAnsi="Cambria Math"/>
                    </w:rPr>
                    <m:t>i</m:t>
                  </m:r>
                </m:sub>
                <m:sup>
                  <m:r>
                    <m:rPr>
                      <m:sty m:val="p"/>
                    </m:rPr>
                    <w:rPr>
                      <w:rFonts w:ascii="Cambria Math" w:hAnsi="Cambria Math"/>
                    </w:rPr>
                    <m:t>stab</m:t>
                  </m:r>
                </m:sup>
              </m:sSubSup>
              <m:d>
                <m:dPr>
                  <m:begChr m:val="["/>
                  <m:endChr m:val="]"/>
                  <m:ctrlPr>
                    <w:rPr>
                      <w:rFonts w:ascii="Cambria Math" w:hAnsi="Cambria Math"/>
                      <w:i/>
                    </w:rPr>
                  </m:ctrlPr>
                </m:dPr>
                <m:e>
                  <m:r>
                    <m:rPr>
                      <m:sty m:val="p"/>
                    </m:rPr>
                    <w:rPr>
                      <w:rFonts w:ascii="Cambria Math" w:hAnsi="Cambria Math"/>
                    </w:rPr>
                    <m:t>M</m:t>
                  </m:r>
                </m:e>
              </m:d>
            </m:den>
          </m:f>
          <m:d>
            <m:dPr>
              <m:begChr m:val="["/>
              <m:endChr m:val="]"/>
              <m:ctrlPr>
                <w:rPr>
                  <w:rFonts w:ascii="Cambria Math" w:hAnsi="Cambria Math"/>
                  <w:i/>
                </w:rPr>
              </m:ctrlPr>
            </m:dPr>
            <m:e>
              <m:r>
                <w:rPr>
                  <w:rFonts w:ascii="Cambria Math" w:hAnsi="Cambria Math"/>
                </w:rPr>
                <m:t>68</m:t>
              </m:r>
            </m:e>
          </m:d>
          <m:d>
            <m:dPr>
              <m:begChr m:val="["/>
              <m:endChr m:val="]"/>
              <m:ctrlPr>
                <w:rPr>
                  <w:rFonts w:ascii="Cambria Math" w:hAnsi="Cambria Math"/>
                  <w:i/>
                </w:rPr>
              </m:ctrlPr>
            </m:dPr>
            <m:e>
              <m:r>
                <w:rPr>
                  <w:rFonts w:ascii="Cambria Math" w:hAnsi="Cambria Math"/>
                </w:rPr>
                <m:t>6</m:t>
              </m:r>
            </m:e>
          </m:d>
        </m:oMath>
      </m:oMathPara>
    </w:p>
    <w:p w14:paraId="46F213E9" w14:textId="77777777" w:rsidR="00287AF0" w:rsidRPr="00287AF0" w:rsidRDefault="00287AF0" w:rsidP="00287AF0">
      <w:r w:rsidRPr="00287AF0">
        <w:t>(29)</w:t>
      </w:r>
    </w:p>
    <w:p w14:paraId="4FF2AC9B" w14:textId="2EA6C77F" w:rsidR="00287AF0" w:rsidRPr="00287AF0" w:rsidRDefault="00287AF0" w:rsidP="00287AF0">
      <w:r w:rsidRPr="00287AF0">
        <w:t>Note that these are microcanonical equilibrium constants that do not include Boltzmann average over the states of ozone, but instead are introduced for every individual state of a product at given energy </w:t>
      </w:r>
      <m:oMath>
        <m:sSub>
          <m:sSubPr>
            <m:ctrlPr>
              <w:rPr>
                <w:rFonts w:ascii="Cambria Math" w:hAnsi="Cambria Math"/>
              </w:rPr>
            </m:ctrlPr>
          </m:sSubPr>
          <m:e>
            <m:r>
              <w:rPr>
                <w:rFonts w:ascii="Cambria Math" w:hAnsi="Cambria Math"/>
              </w:rPr>
              <m:t>E</m:t>
            </m:r>
          </m:e>
          <m:sub>
            <m:r>
              <w:rPr>
                <w:rFonts w:ascii="Cambria Math" w:hAnsi="Cambria Math"/>
              </w:rPr>
              <m:t>i</m:t>
            </m:r>
          </m:sub>
        </m:sSub>
      </m:oMath>
      <w:r w:rsidRPr="00287AF0">
        <w:t> of a resonance:</w:t>
      </w:r>
    </w:p>
    <w:p w14:paraId="159AB0CF" w14:textId="3D946E05" w:rsidR="009555CC" w:rsidRPr="00287AF0" w:rsidRDefault="00AE5918" w:rsidP="00287AF0">
      <m:oMathPara>
        <m:oMath>
          <m:sSubSup>
            <m:sSubSupPr>
              <m:ctrlPr>
                <w:rPr>
                  <w:rFonts w:ascii="Cambria Math" w:hAnsi="Cambria Math"/>
                </w:rPr>
              </m:ctrlPr>
            </m:sSubSupPr>
            <m:e>
              <m:r>
                <w:rPr>
                  <w:rFonts w:ascii="Cambria Math" w:hAnsi="Cambria Math"/>
                </w:rPr>
                <m:t>K</m:t>
              </m:r>
            </m:e>
            <m:sub>
              <m:r>
                <w:rPr>
                  <w:rFonts w:ascii="Cambria Math" w:hAnsi="Cambria Math"/>
                </w:rPr>
                <m:t>i</m:t>
              </m:r>
            </m:sub>
            <m:sup>
              <m:r>
                <m:rPr>
                  <m:sty m:val="p"/>
                </m:rPr>
                <w:rPr>
                  <w:rFonts w:ascii="Cambria Math" w:hAnsi="Cambria Math"/>
                </w:rPr>
                <m:t>eq</m:t>
              </m:r>
              <m:r>
                <w:rPr>
                  <w:rFonts w:ascii="Cambria Math" w:hAnsi="Cambria Math"/>
                </w:rPr>
                <m:t>,</m:t>
              </m:r>
              <m:r>
                <m:rPr>
                  <m:sty m:val="p"/>
                </m:rPr>
                <w:rPr>
                  <w:rFonts w:ascii="Cambria Math" w:hAnsi="Cambria Math"/>
                </w:rPr>
                <m:t>ch</m:t>
              </m:r>
              <m:r>
                <w:rPr>
                  <w:rFonts w:ascii="Cambria Math" w:hAnsi="Cambria Math"/>
                </w:rPr>
                <m:t>1</m:t>
              </m:r>
            </m:sup>
          </m:sSubSup>
          <m:r>
            <w:rPr>
              <w:rFonts w:ascii="Cambria Math" w:hAnsi="Cambria Math"/>
            </w:rPr>
            <m:t>=</m:t>
          </m:r>
          <m:f>
            <m:fPr>
              <m:ctrlPr>
                <w:rPr>
                  <w:rFonts w:ascii="Cambria Math" w:hAnsi="Cambria Math"/>
                </w:rPr>
              </m:ctrlPr>
            </m:fPr>
            <m:num>
              <m:d>
                <m:dPr>
                  <m:ctrlPr>
                    <w:rPr>
                      <w:rFonts w:ascii="Cambria Math" w:hAnsi="Cambria Math"/>
                      <w:i/>
                    </w:rPr>
                  </m:ctrlPr>
                </m:dPr>
                <m:e>
                  <m:r>
                    <w:rPr>
                      <w:rFonts w:ascii="Cambria Math" w:hAnsi="Cambria Math"/>
                    </w:rPr>
                    <m:t>2J+1</m:t>
                  </m:r>
                </m:e>
              </m:d>
              <m:sSup>
                <m:sSupPr>
                  <m:ctrlPr>
                    <w:rPr>
                      <w:rFonts w:ascii="Cambria Math" w:hAnsi="Cambria Math"/>
                    </w:rPr>
                  </m:ctrlPr>
                </m:sSupPr>
                <m:e>
                  <m:r>
                    <w:rPr>
                      <w:rFonts w:ascii="Cambria Math" w:hAnsi="Cambria Math"/>
                    </w:rPr>
                    <m:t>e</m:t>
                  </m:r>
                </m:e>
                <m:sup>
                  <m:r>
                    <w:rPr>
                      <w:rFonts w:ascii="Cambria Math" w:hAnsi="Cambria Math"/>
                    </w:rPr>
                    <m:t>-</m:t>
                  </m:r>
                  <m:f>
                    <m:fPr>
                      <m:ctrlPr>
                        <w:rPr>
                          <w:rFonts w:ascii="Cambria Math" w:hAnsi="Cambria Math"/>
                          <w:i/>
                        </w:rPr>
                      </m:ctrlPr>
                    </m:fPr>
                    <m:num>
                      <m:sSub>
                        <m:sSubPr>
                          <m:ctrlPr>
                            <w:rPr>
                              <w:rFonts w:ascii="Cambria Math" w:hAnsi="Cambria Math"/>
                            </w:rPr>
                          </m:ctrlPr>
                        </m:sSubPr>
                        <m:e>
                          <m:r>
                            <w:rPr>
                              <w:rFonts w:ascii="Cambria Math" w:hAnsi="Cambria Math"/>
                            </w:rPr>
                            <m:t>E</m:t>
                          </m:r>
                        </m:e>
                        <m:sub>
                          <m:r>
                            <w:rPr>
                              <w:rFonts w:ascii="Cambria Math" w:hAnsi="Cambria Math"/>
                            </w:rPr>
                            <m:t>i</m:t>
                          </m:r>
                        </m:sub>
                      </m:sSub>
                    </m:num>
                    <m:den>
                      <m:r>
                        <w:rPr>
                          <w:rFonts w:ascii="Cambria Math" w:hAnsi="Cambria Math"/>
                        </w:rPr>
                        <m:t>kT</m:t>
                      </m:r>
                    </m:den>
                  </m:f>
                </m:sup>
              </m:sSup>
            </m:num>
            <m:den>
              <m:sSub>
                <m:sSubPr>
                  <m:ctrlPr>
                    <w:rPr>
                      <w:rFonts w:ascii="Cambria Math" w:hAnsi="Cambria Math"/>
                    </w:rPr>
                  </m:ctrlPr>
                </m:sSubPr>
                <m:e>
                  <m:r>
                    <w:rPr>
                      <w:rFonts w:ascii="Cambria Math" w:hAnsi="Cambria Math"/>
                    </w:rPr>
                    <m:t>Q</m:t>
                  </m:r>
                </m:e>
                <m:sub>
                  <m:r>
                    <m:rPr>
                      <m:sty m:val="p"/>
                    </m:rPr>
                    <w:rPr>
                      <w:rFonts w:ascii="Cambria Math" w:hAnsi="Cambria Math"/>
                    </w:rPr>
                    <m:t>ch</m:t>
                  </m:r>
                  <m:r>
                    <w:rPr>
                      <w:rFonts w:ascii="Cambria Math" w:hAnsi="Cambria Math"/>
                    </w:rPr>
                    <m:t>1</m:t>
                  </m:r>
                </m:sub>
              </m:sSub>
              <m:sSup>
                <m:sSupPr>
                  <m:ctrlPr>
                    <w:rPr>
                      <w:rFonts w:ascii="Cambria Math" w:hAnsi="Cambria Math"/>
                    </w:rPr>
                  </m:ctrlPr>
                </m:sSupPr>
                <m:e>
                  <m:r>
                    <w:rPr>
                      <w:rFonts w:ascii="Cambria Math" w:hAnsi="Cambria Math"/>
                    </w:rPr>
                    <m:t>e</m:t>
                  </m:r>
                </m:e>
                <m:sup>
                  <m:r>
                    <w:rPr>
                      <w:rFonts w:ascii="Cambria Math" w:hAnsi="Cambria Math"/>
                    </w:rPr>
                    <m:t>-</m:t>
                  </m:r>
                  <m:f>
                    <m:fPr>
                      <m:ctrlPr>
                        <w:rPr>
                          <w:rFonts w:ascii="Cambria Math" w:hAnsi="Cambria Math"/>
                          <w:i/>
                        </w:rPr>
                      </m:ctrlPr>
                    </m:fPr>
                    <m:num>
                      <m:r>
                        <m:rPr>
                          <m:sty m:val="p"/>
                        </m:rPr>
                        <w:rPr>
                          <w:rFonts w:ascii="Cambria Math" w:hAnsi="Cambria Math"/>
                        </w:rPr>
                        <m:t>ΔZPE</m:t>
                      </m:r>
                    </m:num>
                    <m:den>
                      <m:r>
                        <w:rPr>
                          <w:rFonts w:ascii="Cambria Math" w:hAnsi="Cambria Math"/>
                        </w:rPr>
                        <m:t>kT</m:t>
                      </m:r>
                    </m:den>
                  </m:f>
                </m:sup>
              </m:sSup>
            </m:den>
          </m:f>
        </m:oMath>
      </m:oMathPara>
    </w:p>
    <w:p w14:paraId="179BF199" w14:textId="77777777" w:rsidR="00287AF0" w:rsidRPr="00287AF0" w:rsidRDefault="00287AF0" w:rsidP="00287AF0">
      <w:r w:rsidRPr="00287AF0">
        <w:t>(30)</w:t>
      </w:r>
    </w:p>
    <w:p w14:paraId="7457A883" w14:textId="2C739F29" w:rsidR="009555CC" w:rsidRPr="00287AF0" w:rsidRDefault="005E2396" w:rsidP="00287AF0">
      <m:oMathPara>
        <m:oMath>
          <m:sSubSup>
            <m:sSubSupPr>
              <m:ctrlPr>
                <w:rPr>
                  <w:rFonts w:ascii="Cambria Math" w:hAnsi="Cambria Math"/>
                </w:rPr>
              </m:ctrlPr>
            </m:sSubSupPr>
            <m:e>
              <m:r>
                <w:rPr>
                  <w:rFonts w:ascii="Cambria Math" w:hAnsi="Cambria Math"/>
                </w:rPr>
                <m:t>K</m:t>
              </m:r>
            </m:e>
            <m:sub>
              <m:r>
                <w:rPr>
                  <w:rFonts w:ascii="Cambria Math" w:hAnsi="Cambria Math"/>
                </w:rPr>
                <m:t>i</m:t>
              </m:r>
            </m:sub>
            <m:sup>
              <m:r>
                <m:rPr>
                  <m:sty m:val="p"/>
                </m:rPr>
                <w:rPr>
                  <w:rFonts w:ascii="Cambria Math" w:hAnsi="Cambria Math"/>
                </w:rPr>
                <m:t>eq</m:t>
              </m:r>
              <m:r>
                <w:rPr>
                  <w:rFonts w:ascii="Cambria Math" w:hAnsi="Cambria Math"/>
                </w:rPr>
                <m:t>,</m:t>
              </m:r>
              <m:r>
                <m:rPr>
                  <m:sty m:val="p"/>
                </m:rPr>
                <w:rPr>
                  <w:rFonts w:ascii="Cambria Math" w:hAnsi="Cambria Math"/>
                </w:rPr>
                <m:t>ch</m:t>
              </m:r>
              <m:r>
                <w:rPr>
                  <w:rFonts w:ascii="Cambria Math" w:hAnsi="Cambria Math"/>
                </w:rPr>
                <m:t>2</m:t>
              </m:r>
            </m:sup>
          </m:sSubSup>
          <m:r>
            <w:rPr>
              <w:rFonts w:ascii="Cambria Math" w:hAnsi="Cambria Math"/>
            </w:rPr>
            <m:t>=</m:t>
          </m:r>
          <m:f>
            <m:fPr>
              <m:ctrlPr>
                <w:rPr>
                  <w:rFonts w:ascii="Cambria Math" w:hAnsi="Cambria Math"/>
                </w:rPr>
              </m:ctrlPr>
            </m:fPr>
            <m:num>
              <m:d>
                <m:dPr>
                  <m:ctrlPr>
                    <w:rPr>
                      <w:rFonts w:ascii="Cambria Math" w:hAnsi="Cambria Math"/>
                      <w:i/>
                    </w:rPr>
                  </m:ctrlPr>
                </m:dPr>
                <m:e>
                  <m:r>
                    <w:rPr>
                      <w:rFonts w:ascii="Cambria Math" w:hAnsi="Cambria Math"/>
                    </w:rPr>
                    <m:t>2J+1</m:t>
                  </m:r>
                </m:e>
              </m:d>
              <m:sSup>
                <m:sSupPr>
                  <m:ctrlPr>
                    <w:rPr>
                      <w:rFonts w:ascii="Cambria Math" w:hAnsi="Cambria Math"/>
                    </w:rPr>
                  </m:ctrlPr>
                </m:sSupPr>
                <m:e>
                  <m:r>
                    <w:rPr>
                      <w:rFonts w:ascii="Cambria Math" w:hAnsi="Cambria Math"/>
                    </w:rPr>
                    <m:t>e</m:t>
                  </m:r>
                </m:e>
                <m:sup>
                  <m:r>
                    <w:rPr>
                      <w:rFonts w:ascii="Cambria Math" w:hAnsi="Cambria Math"/>
                    </w:rPr>
                    <m:t>-</m:t>
                  </m:r>
                  <m:f>
                    <m:fPr>
                      <m:ctrlPr>
                        <w:rPr>
                          <w:rFonts w:ascii="Cambria Math" w:hAnsi="Cambria Math"/>
                          <w:i/>
                        </w:rPr>
                      </m:ctrlPr>
                    </m:fPr>
                    <m:num>
                      <m:sSub>
                        <m:sSubPr>
                          <m:ctrlPr>
                            <w:rPr>
                              <w:rFonts w:ascii="Cambria Math" w:hAnsi="Cambria Math"/>
                            </w:rPr>
                          </m:ctrlPr>
                        </m:sSubPr>
                        <m:e>
                          <m:r>
                            <w:rPr>
                              <w:rFonts w:ascii="Cambria Math" w:hAnsi="Cambria Math"/>
                            </w:rPr>
                            <m:t>E</m:t>
                          </m:r>
                        </m:e>
                        <m:sub>
                          <m:r>
                            <w:rPr>
                              <w:rFonts w:ascii="Cambria Math" w:hAnsi="Cambria Math"/>
                            </w:rPr>
                            <m:t>i</m:t>
                          </m:r>
                        </m:sub>
                      </m:sSub>
                    </m:num>
                    <m:den>
                      <m:r>
                        <w:rPr>
                          <w:rFonts w:ascii="Cambria Math" w:hAnsi="Cambria Math"/>
                        </w:rPr>
                        <m:t>kT</m:t>
                      </m:r>
                    </m:den>
                  </m:f>
                </m:sup>
              </m:sSup>
            </m:num>
            <m:den>
              <m:sSub>
                <m:sSubPr>
                  <m:ctrlPr>
                    <w:rPr>
                      <w:rFonts w:ascii="Cambria Math" w:hAnsi="Cambria Math"/>
                    </w:rPr>
                  </m:ctrlPr>
                </m:sSubPr>
                <m:e>
                  <m:r>
                    <w:rPr>
                      <w:rFonts w:ascii="Cambria Math" w:hAnsi="Cambria Math"/>
                    </w:rPr>
                    <m:t>Q</m:t>
                  </m:r>
                </m:e>
                <m:sub>
                  <m:r>
                    <m:rPr>
                      <m:sty m:val="p"/>
                    </m:rPr>
                    <w:rPr>
                      <w:rFonts w:ascii="Cambria Math" w:hAnsi="Cambria Math"/>
                    </w:rPr>
                    <m:t>ch</m:t>
                  </m:r>
                  <m:r>
                    <w:rPr>
                      <w:rFonts w:ascii="Cambria Math" w:hAnsi="Cambria Math"/>
                    </w:rPr>
                    <m:t>2</m:t>
                  </m:r>
                </m:sub>
              </m:sSub>
            </m:den>
          </m:f>
        </m:oMath>
      </m:oMathPara>
    </w:p>
    <w:p w14:paraId="395DD178" w14:textId="77777777" w:rsidR="00287AF0" w:rsidRPr="00287AF0" w:rsidRDefault="00287AF0" w:rsidP="00287AF0">
      <w:r w:rsidRPr="00287AF0">
        <w:t>(31)</w:t>
      </w:r>
    </w:p>
    <w:p w14:paraId="5F39B266" w14:textId="4EB83C9D" w:rsidR="00287AF0" w:rsidRPr="00287AF0" w:rsidRDefault="00287AF0" w:rsidP="00287AF0">
      <w:r w:rsidRPr="00287AF0">
        <w:t>Calculations of the reagent partition functions for two channels, </w:t>
      </w:r>
      <m:oMath>
        <m:sSub>
          <m:sSubPr>
            <m:ctrlPr>
              <w:rPr>
                <w:rFonts w:ascii="Cambria Math" w:hAnsi="Cambria Math"/>
              </w:rPr>
            </m:ctrlPr>
          </m:sSubPr>
          <m:e>
            <m:r>
              <w:rPr>
                <w:rFonts w:ascii="Cambria Math" w:hAnsi="Cambria Math"/>
              </w:rPr>
              <m:t>Q</m:t>
            </m:r>
          </m:e>
          <m:sub>
            <m:r>
              <m:rPr>
                <m:sty m:val="p"/>
              </m:rPr>
              <w:rPr>
                <w:rFonts w:ascii="Cambria Math" w:hAnsi="Cambria Math"/>
              </w:rPr>
              <m:t>ch</m:t>
            </m:r>
            <m:r>
              <w:rPr>
                <w:rFonts w:ascii="Cambria Math" w:hAnsi="Cambria Math"/>
              </w:rPr>
              <m:t>1</m:t>
            </m:r>
          </m:sub>
        </m:sSub>
      </m:oMath>
      <w:r w:rsidRPr="00287AF0">
        <w:t> and </w:t>
      </w:r>
      <m:oMath>
        <m:sSub>
          <m:sSubPr>
            <m:ctrlPr>
              <w:rPr>
                <w:rFonts w:ascii="Cambria Math" w:hAnsi="Cambria Math"/>
              </w:rPr>
            </m:ctrlPr>
          </m:sSubPr>
          <m:e>
            <m:r>
              <w:rPr>
                <w:rFonts w:ascii="Cambria Math" w:hAnsi="Cambria Math"/>
              </w:rPr>
              <m:t>Q</m:t>
            </m:r>
          </m:e>
          <m:sub>
            <m:r>
              <m:rPr>
                <m:sty m:val="p"/>
              </m:rPr>
              <w:rPr>
                <w:rFonts w:ascii="Cambria Math" w:hAnsi="Cambria Math"/>
              </w:rPr>
              <m:t>ch</m:t>
            </m:r>
            <m:r>
              <w:rPr>
                <w:rFonts w:ascii="Cambria Math" w:hAnsi="Cambria Math"/>
              </w:rPr>
              <m:t>2</m:t>
            </m:r>
          </m:sub>
        </m:sSub>
      </m:oMath>
      <w:r w:rsidRPr="00287AF0">
        <w:t>, are standard. The factor </w:t>
      </w:r>
      <m:oMath>
        <m:r>
          <w:rPr>
            <w:rFonts w:ascii="Cambria Math" w:hAnsi="Cambria Math"/>
          </w:rPr>
          <m:t>2J+1</m:t>
        </m:r>
      </m:oMath>
      <w:r w:rsidRPr="00287AF0">
        <w:t> accounts for space degeneracy, related to the quantum number </w:t>
      </w:r>
      <m:oMath>
        <m:sSub>
          <m:sSubPr>
            <m:ctrlPr>
              <w:rPr>
                <w:rFonts w:ascii="Cambria Math" w:hAnsi="Cambria Math"/>
              </w:rPr>
            </m:ctrlPr>
          </m:sSubPr>
          <m:e>
            <m:r>
              <w:rPr>
                <w:rFonts w:ascii="Cambria Math" w:hAnsi="Cambria Math"/>
              </w:rPr>
              <m:t>M</m:t>
            </m:r>
          </m:e>
          <m:sub>
            <m:r>
              <w:rPr>
                <w:rFonts w:ascii="Cambria Math" w:hAnsi="Cambria Math"/>
              </w:rPr>
              <m:t>J</m:t>
            </m:r>
          </m:sub>
        </m:sSub>
      </m:oMath>
      <w:r w:rsidRPr="00287AF0">
        <w:t>. One important element to d</w:t>
      </w:r>
      <w:proofErr w:type="spellStart"/>
      <w:r w:rsidRPr="00287AF0">
        <w:t>iscuss</w:t>
      </w:r>
      <w:proofErr w:type="spellEnd"/>
      <w:r w:rsidRPr="00287AF0">
        <w:t xml:space="preserve"> is the factor </w:t>
      </w:r>
      <m:oMath>
        <m:sSup>
          <m:sSupPr>
            <m:ctrlPr>
              <w:rPr>
                <w:rFonts w:ascii="Cambria Math" w:hAnsi="Cambria Math"/>
              </w:rPr>
            </m:ctrlPr>
          </m:sSupPr>
          <m:e>
            <m:r>
              <w:rPr>
                <w:rFonts w:ascii="Cambria Math" w:hAnsi="Cambria Math"/>
              </w:rPr>
              <m:t>e</m:t>
            </m:r>
          </m:e>
          <m:sup>
            <m:r>
              <w:rPr>
                <w:rFonts w:ascii="Cambria Math" w:hAnsi="Cambria Math"/>
              </w:rPr>
              <m:t>-</m:t>
            </m:r>
            <m:f>
              <m:fPr>
                <m:ctrlPr>
                  <w:rPr>
                    <w:rFonts w:ascii="Cambria Math" w:hAnsi="Cambria Math"/>
                    <w:i/>
                  </w:rPr>
                </m:ctrlPr>
              </m:fPr>
              <m:num>
                <m:r>
                  <m:rPr>
                    <m:sty m:val="p"/>
                  </m:rPr>
                  <w:rPr>
                    <w:rFonts w:ascii="Cambria Math" w:hAnsi="Cambria Math"/>
                  </w:rPr>
                  <m:t>ΔZPE</m:t>
                </m:r>
              </m:num>
              <m:den>
                <m:r>
                  <w:rPr>
                    <w:rFonts w:ascii="Cambria Math" w:hAnsi="Cambria Math"/>
                  </w:rPr>
                  <m:t>kT</m:t>
                </m:r>
              </m:den>
            </m:f>
          </m:sup>
        </m:sSup>
      </m:oMath>
      <w:r w:rsidRPr="00287AF0">
        <w:t> in the denominator of the first of these expressions. </w:t>
      </w:r>
      <w:r w:rsidRPr="00AD482D">
        <w:rPr>
          <w:b/>
          <w:bCs/>
        </w:rPr>
        <w:t>Figure 2</w:t>
      </w:r>
      <w:r w:rsidRPr="00287AF0">
        <w:t xml:space="preserve"> is used to emphasize that the two reaction channels are not entirely </w:t>
      </w:r>
      <w:proofErr w:type="spellStart"/>
      <w:r w:rsidRPr="00287AF0">
        <w:t>isoergic</w:t>
      </w:r>
      <w:proofErr w:type="spellEnd"/>
      <w:r w:rsidRPr="00287AF0">
        <w:t>.</w:t>
      </w:r>
    </w:p>
    <w:p w14:paraId="437DC9AC" w14:textId="6B227782" w:rsidR="00287AF0" w:rsidRPr="00287AF0" w:rsidRDefault="00287AF0" w:rsidP="002857A1">
      <w:pPr>
        <w:pStyle w:val="NoSpacing"/>
      </w:pPr>
      <w:r w:rsidRPr="00287AF0">
        <w:rPr>
          <w:noProof/>
        </w:rPr>
        <w:drawing>
          <wp:inline distT="0" distB="0" distL="0" distR="0" wp14:anchorId="06CADEF4" wp14:editId="3FC51658">
            <wp:extent cx="3657600" cy="1517904"/>
            <wp:effectExtent l="0" t="0" r="0" b="6350"/>
            <wp:docPr id="7" name="Picture 7" descr="Molecules 26 01289 g002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olecules 26 01289 g002 55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57600" cy="1517904"/>
                    </a:xfrm>
                    <a:prstGeom prst="rect">
                      <a:avLst/>
                    </a:prstGeom>
                    <a:noFill/>
                    <a:ln>
                      <a:noFill/>
                    </a:ln>
                  </pic:spPr>
                </pic:pic>
              </a:graphicData>
            </a:graphic>
          </wp:inline>
        </w:drawing>
      </w:r>
    </w:p>
    <w:p w14:paraId="4BAEA46D" w14:textId="451844A1" w:rsidR="00287AF0" w:rsidRPr="00287AF0" w:rsidRDefault="00287AF0" w:rsidP="002857A1">
      <w:pPr>
        <w:pStyle w:val="NoSpacing"/>
      </w:pPr>
      <w:r w:rsidRPr="00287AF0">
        <w:rPr>
          <w:b/>
          <w:bCs/>
        </w:rPr>
        <w:t>Figure 2.</w:t>
      </w:r>
      <w:r w:rsidRPr="00287AF0">
        <w:t> Two distinct channels of ozone formation (left and right) and the metastable ozone states (middle) in the case of single isotopic substitution. Here “6” denotes </w:t>
      </w:r>
      <w:r w:rsidRPr="00287AF0">
        <w:rPr>
          <w:vertAlign w:val="superscript"/>
        </w:rPr>
        <w:t>16</w:t>
      </w:r>
      <w:r w:rsidRPr="00287AF0">
        <w:t>O whereas “8” denotes </w:t>
      </w:r>
      <w:r w:rsidRPr="00287AF0">
        <w:rPr>
          <w:vertAlign w:val="superscript"/>
        </w:rPr>
        <w:t>18</w:t>
      </w:r>
      <w:r w:rsidRPr="00287AF0">
        <w:t>O. Lower energy channel corresponds to the heavier diatomic reagent </w:t>
      </w:r>
      <w:r w:rsidRPr="00287AF0">
        <w:rPr>
          <w:vertAlign w:val="superscript"/>
        </w:rPr>
        <w:t>16</w:t>
      </w:r>
      <w:r w:rsidRPr="00287AF0">
        <w:t>O</w:t>
      </w:r>
      <w:r w:rsidRPr="00287AF0">
        <w:rPr>
          <w:vertAlign w:val="superscript"/>
        </w:rPr>
        <w:t>18</w:t>
      </w:r>
      <w:r w:rsidRPr="00287AF0">
        <w:t>O with smaller zero-point energy. Upper channel corresponds to the lighter diatomic reagent </w:t>
      </w:r>
      <w:r w:rsidRPr="00287AF0">
        <w:rPr>
          <w:vertAlign w:val="superscript"/>
        </w:rPr>
        <w:t>16</w:t>
      </w:r>
      <w:r w:rsidRPr="00287AF0">
        <w:t>O</w:t>
      </w:r>
      <w:r w:rsidRPr="00287AF0">
        <w:rPr>
          <w:vertAlign w:val="superscript"/>
        </w:rPr>
        <w:t>16</w:t>
      </w:r>
      <w:r w:rsidRPr="00287AF0">
        <w:t xml:space="preserve">O. Energy difference of the two channels, </w:t>
      </w:r>
      <m:oMath>
        <m:r>
          <m:rPr>
            <m:sty m:val="p"/>
          </m:rPr>
          <w:rPr>
            <w:rFonts w:ascii="Cambria Math" w:hAnsi="Cambria Math"/>
          </w:rPr>
          <m:t>ΔZPE</m:t>
        </m:r>
      </m:oMath>
      <w:r w:rsidRPr="00287AF0">
        <w:t>, is indicated.</w:t>
      </w:r>
    </w:p>
    <w:p w14:paraId="4E7D5BAA" w14:textId="77777777" w:rsidR="002857A1" w:rsidRDefault="002857A1" w:rsidP="00287AF0"/>
    <w:p w14:paraId="05E6B461" w14:textId="06F70B68" w:rsidR="00287AF0" w:rsidRPr="00287AF0" w:rsidRDefault="00287AF0" w:rsidP="00287AF0">
      <w:r w:rsidRPr="00287AF0">
        <w:t xml:space="preserve">Although the electronic energies of the reagents in the two channels are </w:t>
      </w:r>
      <w:proofErr w:type="gramStart"/>
      <w:r w:rsidRPr="00287AF0">
        <w:t>exactly the same</w:t>
      </w:r>
      <w:proofErr w:type="gramEnd"/>
      <w:r w:rsidRPr="00287AF0">
        <w:t>, their vibrational zero-point energies are different. For example, in the singly substituted case, lower energy channel corresponds to the heavier diatomic </w:t>
      </w:r>
      <w:r w:rsidRPr="00287AF0">
        <w:rPr>
          <w:vertAlign w:val="superscript"/>
        </w:rPr>
        <w:t>16</w:t>
      </w:r>
      <w:r w:rsidRPr="00287AF0">
        <w:t>O</w:t>
      </w:r>
      <w:r w:rsidRPr="00287AF0">
        <w:rPr>
          <w:vertAlign w:val="superscript"/>
        </w:rPr>
        <w:t>18</w:t>
      </w:r>
      <w:r w:rsidRPr="00287AF0">
        <w:t>O, which defines threshold of the recombination process. Higher energy channel corresponds to the lighter diatomic </w:t>
      </w:r>
      <w:r w:rsidRPr="00287AF0">
        <w:rPr>
          <w:vertAlign w:val="superscript"/>
        </w:rPr>
        <w:t>16</w:t>
      </w:r>
      <w:r w:rsidRPr="00287AF0">
        <w:t>O</w:t>
      </w:r>
      <w:r w:rsidRPr="00287AF0">
        <w:rPr>
          <w:vertAlign w:val="superscript"/>
        </w:rPr>
        <w:t>16</w:t>
      </w:r>
      <w:r w:rsidRPr="00287AF0">
        <w:t>O. The difference of their vibrational zero-point energies is defined as (for single substitution):</w:t>
      </w:r>
    </w:p>
    <w:p w14:paraId="37BFA080" w14:textId="1D2F6950" w:rsidR="005F42BA" w:rsidRPr="00287AF0" w:rsidRDefault="00744557" w:rsidP="00287AF0">
      <m:oMathPara>
        <m:oMath>
          <m:r>
            <m:rPr>
              <m:sty m:val="p"/>
            </m:rPr>
            <w:rPr>
              <w:rFonts w:ascii="Cambria Math" w:hAnsi="Cambria Math"/>
            </w:rPr>
            <m:t>ΔZPE</m:t>
          </m:r>
          <m:r>
            <w:rPr>
              <w:rFonts w:ascii="Cambria Math" w:hAnsi="Cambria Math"/>
            </w:rPr>
            <m:t>=</m:t>
          </m:r>
          <m:r>
            <m:rPr>
              <m:sty m:val="p"/>
            </m:rPr>
            <w:rPr>
              <w:rFonts w:ascii="Cambria Math" w:hAnsi="Cambria Math"/>
            </w:rPr>
            <m:t>ZPE</m:t>
          </m:r>
          <m:d>
            <m:dPr>
              <m:ctrlPr>
                <w:rPr>
                  <w:rFonts w:ascii="Cambria Math" w:hAnsi="Cambria Math"/>
                  <w:i/>
                </w:rPr>
              </m:ctrlPr>
            </m:dPr>
            <m:e>
              <m:r>
                <w:rPr>
                  <w:rFonts w:ascii="Cambria Math" w:hAnsi="Cambria Math"/>
                </w:rPr>
                <m:t>66</m:t>
              </m:r>
            </m:e>
          </m:d>
          <m:r>
            <w:rPr>
              <w:rFonts w:ascii="Cambria Math" w:hAnsi="Cambria Math"/>
            </w:rPr>
            <m:t>-</m:t>
          </m:r>
          <m:r>
            <m:rPr>
              <m:sty m:val="p"/>
            </m:rPr>
            <w:rPr>
              <w:rFonts w:ascii="Cambria Math" w:hAnsi="Cambria Math"/>
            </w:rPr>
            <m:t>ZPE</m:t>
          </m:r>
          <m:d>
            <m:dPr>
              <m:ctrlPr>
                <w:rPr>
                  <w:rFonts w:ascii="Cambria Math" w:hAnsi="Cambria Math"/>
                  <w:i/>
                </w:rPr>
              </m:ctrlPr>
            </m:dPr>
            <m:e>
              <m:r>
                <w:rPr>
                  <w:rFonts w:ascii="Cambria Math" w:hAnsi="Cambria Math"/>
                </w:rPr>
                <m:t>68</m:t>
              </m:r>
            </m:e>
          </m:d>
          <m:r>
            <w:rPr>
              <w:rFonts w:ascii="Cambria Math" w:hAnsi="Cambria Math"/>
            </w:rPr>
            <m:t xml:space="preserve">=22.27 </m:t>
          </m:r>
          <m:sSup>
            <m:sSupPr>
              <m:ctrlPr>
                <w:rPr>
                  <w:rFonts w:ascii="Cambria Math" w:hAnsi="Cambria Math"/>
                </w:rPr>
              </m:ctrlPr>
            </m:sSupPr>
            <m:e>
              <m:r>
                <m:rPr>
                  <m:sty m:val="p"/>
                </m:rPr>
                <w:rPr>
                  <w:rFonts w:ascii="Cambria Math" w:hAnsi="Cambria Math"/>
                </w:rPr>
                <m:t>cm</m:t>
              </m:r>
            </m:e>
            <m:sup>
              <m:r>
                <w:rPr>
                  <w:rFonts w:ascii="Cambria Math" w:hAnsi="Cambria Math"/>
                </w:rPr>
                <m:t>-1</m:t>
              </m:r>
            </m:sup>
          </m:sSup>
        </m:oMath>
      </m:oMathPara>
    </w:p>
    <w:p w14:paraId="41948BCA" w14:textId="011877BF" w:rsidR="00287AF0" w:rsidRPr="00287AF0" w:rsidRDefault="00287AF0" w:rsidP="00287AF0">
      <w:r w:rsidRPr="00287AF0">
        <w:t>Qualitatively, one may say that in the case of single isotopic substitution the Channel 1 is lifted above threshold, defined by the Channel 2, as shown in </w:t>
      </w:r>
      <w:r w:rsidRPr="00AD482D">
        <w:rPr>
          <w:b/>
          <w:bCs/>
        </w:rPr>
        <w:t>Figure 2</w:t>
      </w:r>
      <w:r w:rsidRPr="00287AF0">
        <w:t xml:space="preserve">. This energy difference, called </w:t>
      </w:r>
      <m:oMath>
        <m:r>
          <m:rPr>
            <m:sty m:val="p"/>
          </m:rPr>
          <w:rPr>
            <w:rFonts w:ascii="Cambria Math" w:hAnsi="Cambria Math"/>
          </w:rPr>
          <m:t>ΔZPE</m:t>
        </m:r>
      </m:oMath>
      <w:r w:rsidRPr="00287AF0">
        <w:t>, e</w:t>
      </w:r>
      <w:proofErr w:type="spellStart"/>
      <w:r w:rsidRPr="00287AF0">
        <w:t>nters</w:t>
      </w:r>
      <w:proofErr w:type="spellEnd"/>
      <w:r w:rsidRPr="00287AF0">
        <w:t xml:space="preserve"> our formalism through the expressions for the equilibrium constant of Channel 1, Equation (30).</w:t>
      </w:r>
    </w:p>
    <w:p w14:paraId="7AC39407" w14:textId="77777777" w:rsidR="00287AF0" w:rsidRPr="00287AF0" w:rsidRDefault="00287AF0" w:rsidP="00287AF0">
      <w:r w:rsidRPr="00287AF0">
        <w:t>Putting together Equations (13), (21), (22), (29) and (31), we obtain:</w:t>
      </w:r>
    </w:p>
    <w:p w14:paraId="72E396CF" w14:textId="6B1F2218" w:rsidR="005F42BA" w:rsidRPr="00287AF0" w:rsidRDefault="00744557" w:rsidP="00287AF0">
      <m:oMathPara>
        <m:oMath>
          <m:sSub>
            <m:sSubPr>
              <m:ctrlPr>
                <w:rPr>
                  <w:rFonts w:ascii="Cambria Math" w:hAnsi="Cambria Math"/>
                </w:rPr>
              </m:ctrlPr>
            </m:sSubPr>
            <m:e>
              <m:r>
                <w:rPr>
                  <w:rFonts w:ascii="Cambria Math" w:hAnsi="Cambria Math"/>
                </w:rPr>
                <m:t>R</m:t>
              </m:r>
            </m:e>
            <m:sub>
              <m:r>
                <m:rPr>
                  <m:sty m:val="p"/>
                </m:rPr>
                <w:rPr>
                  <w:rFonts w:ascii="Cambria Math" w:hAnsi="Cambria Math"/>
                </w:rPr>
                <m:t>sym</m:t>
              </m:r>
            </m:sub>
          </m:sSub>
          <m:r>
            <w:rPr>
              <w:rFonts w:ascii="Cambria Math" w:hAnsi="Cambria Math"/>
            </w:rPr>
            <m:t>=</m:t>
          </m:r>
          <m:d>
            <m:dPr>
              <m:begChr m:val="["/>
              <m:endChr m:val="]"/>
              <m:ctrlPr>
                <w:rPr>
                  <w:rFonts w:ascii="Cambria Math" w:hAnsi="Cambria Math"/>
                  <w:i/>
                </w:rPr>
              </m:ctrlPr>
            </m:dPr>
            <m:e>
              <m:r>
                <m:rPr>
                  <m:sty m:val="p"/>
                </m:rPr>
                <w:rPr>
                  <w:rFonts w:ascii="Cambria Math" w:hAnsi="Cambria Math"/>
                </w:rPr>
                <m:t>M</m:t>
              </m:r>
            </m:e>
          </m:d>
          <m:d>
            <m:dPr>
              <m:begChr m:val="["/>
              <m:endChr m:val="]"/>
              <m:ctrlPr>
                <w:rPr>
                  <w:rFonts w:ascii="Cambria Math" w:hAnsi="Cambria Math"/>
                  <w:i/>
                </w:rPr>
              </m:ctrlPr>
            </m:dPr>
            <m:e>
              <m:r>
                <w:rPr>
                  <w:rFonts w:ascii="Cambria Math" w:hAnsi="Cambria Math"/>
                </w:rPr>
                <m:t>68</m:t>
              </m:r>
            </m:e>
          </m:d>
          <m:d>
            <m:dPr>
              <m:begChr m:val="["/>
              <m:endChr m:val="]"/>
              <m:ctrlPr>
                <w:rPr>
                  <w:rFonts w:ascii="Cambria Math" w:hAnsi="Cambria Math"/>
                  <w:i/>
                </w:rPr>
              </m:ctrlPr>
            </m:dPr>
            <m:e>
              <m:r>
                <w:rPr>
                  <w:rFonts w:ascii="Cambria Math" w:hAnsi="Cambria Math"/>
                </w:rPr>
                <m:t>6</m:t>
              </m:r>
            </m:e>
          </m:d>
          <m:f>
            <m:fPr>
              <m:ctrlPr>
                <w:rPr>
                  <w:rFonts w:ascii="Cambria Math" w:hAnsi="Cambria Math"/>
                </w:rPr>
              </m:ctrlPr>
            </m:fPr>
            <m:num>
              <m:sSup>
                <m:sSupPr>
                  <m:ctrlPr>
                    <w:rPr>
                      <w:rFonts w:ascii="Cambria Math" w:hAnsi="Cambria Math"/>
                    </w:rPr>
                  </m:ctrlPr>
                </m:sSupPr>
                <m:e>
                  <m:r>
                    <w:rPr>
                      <w:rFonts w:ascii="Cambria Math" w:hAnsi="Cambria Math"/>
                    </w:rPr>
                    <m:t>k</m:t>
                  </m:r>
                </m:e>
                <m:sup>
                  <m:r>
                    <m:rPr>
                      <m:sty m:val="p"/>
                    </m:rPr>
                    <w:rPr>
                      <w:rFonts w:ascii="Cambria Math" w:hAnsi="Cambria Math"/>
                    </w:rPr>
                    <m:t>stab</m:t>
                  </m:r>
                </m:sup>
              </m:sSup>
            </m:num>
            <m:den>
              <m:sSub>
                <m:sSubPr>
                  <m:ctrlPr>
                    <w:rPr>
                      <w:rFonts w:ascii="Cambria Math" w:hAnsi="Cambria Math"/>
                    </w:rPr>
                  </m:ctrlPr>
                </m:sSubPr>
                <m:e>
                  <m:r>
                    <w:rPr>
                      <w:rFonts w:ascii="Cambria Math" w:hAnsi="Cambria Math"/>
                    </w:rPr>
                    <m:t>Q</m:t>
                  </m:r>
                </m:e>
                <m:sub>
                  <m:r>
                    <m:rPr>
                      <m:sty m:val="p"/>
                    </m:rPr>
                    <w:rPr>
                      <w:rFonts w:ascii="Cambria Math" w:hAnsi="Cambria Math"/>
                    </w:rPr>
                    <m:t>ch</m:t>
                  </m:r>
                  <m:r>
                    <w:rPr>
                      <w:rFonts w:ascii="Cambria Math" w:hAnsi="Cambria Math"/>
                    </w:rPr>
                    <m:t>2</m:t>
                  </m:r>
                </m:sub>
              </m:sSub>
            </m:den>
          </m:f>
          <m:nary>
            <m:naryPr>
              <m:chr m:val="∑"/>
              <m:limLoc m:val="undOvr"/>
              <m:grow m:val="1"/>
              <m:supHide m:val="1"/>
              <m:ctrlPr>
                <w:rPr>
                  <w:rFonts w:ascii="Cambria Math" w:hAnsi="Cambria Math"/>
                </w:rPr>
              </m:ctrlPr>
            </m:naryPr>
            <m:sub>
              <m:r>
                <w:rPr>
                  <w:rFonts w:ascii="Cambria Math" w:hAnsi="Cambria Math"/>
                </w:rPr>
                <m:t>i</m:t>
              </m:r>
            </m:sub>
            <m:sup/>
            <m:e>
              <m:d>
                <m:dPr>
                  <m:ctrlPr>
                    <w:rPr>
                      <w:rFonts w:ascii="Cambria Math" w:hAnsi="Cambria Math"/>
                      <w:i/>
                    </w:rPr>
                  </m:ctrlPr>
                </m:dPr>
                <m:e>
                  <m:r>
                    <w:rPr>
                      <w:rFonts w:ascii="Cambria Math" w:hAnsi="Cambria Math"/>
                    </w:rPr>
                    <m:t>2J+1</m:t>
                  </m:r>
                </m:e>
              </m:d>
            </m:e>
          </m:nary>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sym</m:t>
              </m:r>
            </m:sup>
          </m:sSubSup>
          <m:f>
            <m:fPr>
              <m:ctrlPr>
                <w:rPr>
                  <w:rFonts w:ascii="Cambria Math" w:hAnsi="Cambria Math"/>
                </w:rPr>
              </m:ctrlPr>
            </m:fPr>
            <m:num>
              <m:f>
                <m:fPr>
                  <m:ctrlPr>
                    <w:rPr>
                      <w:rFonts w:ascii="Cambria Math" w:hAnsi="Cambria Math"/>
                    </w:rPr>
                  </m:ctrlPr>
                </m:fPr>
                <m:num>
                  <m:sSubSup>
                    <m:sSubSupPr>
                      <m:ctrlPr>
                        <w:rPr>
                          <w:rFonts w:ascii="Cambria Math" w:hAnsi="Cambria Math"/>
                        </w:rPr>
                      </m:ctrlPr>
                    </m:sSubSupPr>
                    <m:e>
                      <m:r>
                        <m:rPr>
                          <m:sty m:val="p"/>
                        </m:rPr>
                        <w:rPr>
                          <w:rFonts w:ascii="Cambria Math" w:hAnsi="Cambria Math"/>
                        </w:rPr>
                        <m:t>Γ</m:t>
                      </m:r>
                    </m:e>
                    <m:sub>
                      <m:r>
                        <w:rPr>
                          <w:rFonts w:ascii="Cambria Math" w:hAnsi="Cambria Math"/>
                        </w:rPr>
                        <m:t>i</m:t>
                      </m:r>
                    </m:sub>
                    <m:sup>
                      <m:r>
                        <m:rPr>
                          <m:sty m:val="p"/>
                        </m:rPr>
                        <w:rPr>
                          <w:rFonts w:ascii="Cambria Math" w:hAnsi="Cambria Math"/>
                        </w:rPr>
                        <m:t>ch</m:t>
                      </m:r>
                      <m:r>
                        <w:rPr>
                          <w:rFonts w:ascii="Cambria Math" w:hAnsi="Cambria Math"/>
                        </w:rPr>
                        <m:t>2</m:t>
                      </m:r>
                    </m:sup>
                  </m:sSubSup>
                </m:num>
                <m:den>
                  <m:r>
                    <w:rPr>
                      <w:rFonts w:ascii="Cambria Math" w:hAnsi="Cambria Math"/>
                    </w:rPr>
                    <m:t>ℏ</m:t>
                  </m:r>
                </m:den>
              </m:f>
            </m:num>
            <m:den>
              <m:f>
                <m:fPr>
                  <m:ctrlPr>
                    <w:rPr>
                      <w:rFonts w:ascii="Cambria Math" w:hAnsi="Cambria Math"/>
                    </w:rPr>
                  </m:ctrlPr>
                </m:fPr>
                <m:num>
                  <m:sSubSup>
                    <m:sSubSupPr>
                      <m:ctrlPr>
                        <w:rPr>
                          <w:rFonts w:ascii="Cambria Math" w:hAnsi="Cambria Math"/>
                        </w:rPr>
                      </m:ctrlPr>
                    </m:sSubSupPr>
                    <m:e>
                      <m:r>
                        <m:rPr>
                          <m:sty m:val="p"/>
                        </m:rPr>
                        <w:rPr>
                          <w:rFonts w:ascii="Cambria Math" w:hAnsi="Cambria Math"/>
                        </w:rPr>
                        <m:t>Γ</m:t>
                      </m:r>
                    </m:e>
                    <m:sub>
                      <m:r>
                        <w:rPr>
                          <w:rFonts w:ascii="Cambria Math" w:hAnsi="Cambria Math"/>
                        </w:rPr>
                        <m:t>i</m:t>
                      </m:r>
                    </m:sub>
                    <m:sup>
                      <m:r>
                        <m:rPr>
                          <m:sty m:val="p"/>
                        </m:rPr>
                        <w:rPr>
                          <w:rFonts w:ascii="Cambria Math" w:hAnsi="Cambria Math"/>
                        </w:rPr>
                        <m:t>tot</m:t>
                      </m:r>
                    </m:sup>
                  </m:sSubSup>
                </m:num>
                <m:den>
                  <m:r>
                    <w:rPr>
                      <w:rFonts w:ascii="Cambria Math" w:hAnsi="Cambria Math"/>
                    </w:rPr>
                    <m:t>ℏ</m:t>
                  </m:r>
                </m:den>
              </m:f>
              <m:r>
                <w:rPr>
                  <w:rFonts w:ascii="Cambria Math" w:hAnsi="Cambria Math"/>
                </w:rPr>
                <m:t>+</m:t>
              </m:r>
              <m:sSubSup>
                <m:sSubSupPr>
                  <m:ctrlPr>
                    <w:rPr>
                      <w:rFonts w:ascii="Cambria Math" w:hAnsi="Cambria Math"/>
                    </w:rPr>
                  </m:ctrlPr>
                </m:sSubSupPr>
                <m:e>
                  <m:r>
                    <w:rPr>
                      <w:rFonts w:ascii="Cambria Math" w:hAnsi="Cambria Math"/>
                    </w:rPr>
                    <m:t>k</m:t>
                  </m:r>
                </m:e>
                <m:sub>
                  <m:r>
                    <w:rPr>
                      <w:rFonts w:ascii="Cambria Math" w:hAnsi="Cambria Math"/>
                    </w:rPr>
                    <m:t>i</m:t>
                  </m:r>
                </m:sub>
                <m:sup>
                  <m:r>
                    <m:rPr>
                      <m:sty m:val="p"/>
                    </m:rPr>
                    <w:rPr>
                      <w:rFonts w:ascii="Cambria Math" w:hAnsi="Cambria Math"/>
                    </w:rPr>
                    <m:t>stab</m:t>
                  </m:r>
                </m:sup>
              </m:sSubSup>
              <m:d>
                <m:dPr>
                  <m:begChr m:val="["/>
                  <m:endChr m:val="]"/>
                  <m:ctrlPr>
                    <w:rPr>
                      <w:rFonts w:ascii="Cambria Math" w:hAnsi="Cambria Math"/>
                      <w:i/>
                    </w:rPr>
                  </m:ctrlPr>
                </m:dPr>
                <m:e>
                  <m:r>
                    <m:rPr>
                      <m:sty m:val="p"/>
                    </m:rPr>
                    <w:rPr>
                      <w:rFonts w:ascii="Cambria Math" w:hAnsi="Cambria Math"/>
                    </w:rPr>
                    <m:t>M</m:t>
                  </m:r>
                </m:e>
              </m:d>
            </m:den>
          </m:f>
          <m:sSup>
            <m:sSupPr>
              <m:ctrlPr>
                <w:rPr>
                  <w:rFonts w:ascii="Cambria Math" w:hAnsi="Cambria Math"/>
                </w:rPr>
              </m:ctrlPr>
            </m:sSupPr>
            <m:e>
              <m:r>
                <w:rPr>
                  <w:rFonts w:ascii="Cambria Math" w:hAnsi="Cambria Math"/>
                </w:rPr>
                <m:t>e</m:t>
              </m:r>
            </m:e>
            <m:sup>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E</m:t>
                      </m:r>
                    </m:e>
                    <m:sub>
                      <m:r>
                        <w:rPr>
                          <w:rFonts w:ascii="Cambria Math" w:hAnsi="Cambria Math"/>
                        </w:rPr>
                        <m:t>i</m:t>
                      </m:r>
                    </m:sub>
                  </m:sSub>
                </m:num>
                <m:den>
                  <m:r>
                    <w:rPr>
                      <w:rFonts w:ascii="Cambria Math" w:hAnsi="Cambria Math"/>
                    </w:rPr>
                    <m:t>kT</m:t>
                  </m:r>
                </m:den>
              </m:f>
            </m:sup>
          </m:sSup>
          <m:r>
            <w:rPr>
              <w:rFonts w:ascii="Cambria Math" w:hAnsi="Cambria Math"/>
            </w:rPr>
            <m:t>+</m:t>
          </m:r>
          <m:d>
            <m:dPr>
              <m:begChr m:val="["/>
              <m:endChr m:val="]"/>
              <m:ctrlPr>
                <w:rPr>
                  <w:rFonts w:ascii="Cambria Math" w:hAnsi="Cambria Math"/>
                  <w:i/>
                </w:rPr>
              </m:ctrlPr>
            </m:dPr>
            <m:e>
              <m:r>
                <m:rPr>
                  <m:sty m:val="p"/>
                </m:rPr>
                <w:rPr>
                  <w:rFonts w:ascii="Cambria Math" w:hAnsi="Cambria Math"/>
                </w:rPr>
                <m:t>M</m:t>
              </m:r>
            </m:e>
          </m:d>
          <m:d>
            <m:dPr>
              <m:begChr m:val="["/>
              <m:endChr m:val="]"/>
              <m:ctrlPr>
                <w:rPr>
                  <w:rFonts w:ascii="Cambria Math" w:hAnsi="Cambria Math"/>
                  <w:i/>
                </w:rPr>
              </m:ctrlPr>
            </m:dPr>
            <m:e>
              <m:r>
                <w:rPr>
                  <w:rFonts w:ascii="Cambria Math" w:hAnsi="Cambria Math"/>
                </w:rPr>
                <m:t>66</m:t>
              </m:r>
            </m:e>
          </m:d>
          <m:d>
            <m:dPr>
              <m:begChr m:val="["/>
              <m:endChr m:val="]"/>
              <m:ctrlPr>
                <w:rPr>
                  <w:rFonts w:ascii="Cambria Math" w:hAnsi="Cambria Math"/>
                  <w:i/>
                </w:rPr>
              </m:ctrlPr>
            </m:dPr>
            <m:e>
              <m:r>
                <w:rPr>
                  <w:rFonts w:ascii="Cambria Math" w:hAnsi="Cambria Math"/>
                </w:rPr>
                <m:t>8</m:t>
              </m:r>
            </m:e>
          </m:d>
          <m:f>
            <m:fPr>
              <m:ctrlPr>
                <w:rPr>
                  <w:rFonts w:ascii="Cambria Math" w:hAnsi="Cambria Math"/>
                </w:rPr>
              </m:ctrlPr>
            </m:fPr>
            <m:num>
              <m:sSup>
                <m:sSupPr>
                  <m:ctrlPr>
                    <w:rPr>
                      <w:rFonts w:ascii="Cambria Math" w:hAnsi="Cambria Math"/>
                    </w:rPr>
                  </m:ctrlPr>
                </m:sSupPr>
                <m:e>
                  <m:r>
                    <w:rPr>
                      <w:rFonts w:ascii="Cambria Math" w:hAnsi="Cambria Math"/>
                    </w:rPr>
                    <m:t>k</m:t>
                  </m:r>
                </m:e>
                <m:sup>
                  <m:r>
                    <m:rPr>
                      <m:sty m:val="p"/>
                    </m:rPr>
                    <w:rPr>
                      <w:rFonts w:ascii="Cambria Math" w:hAnsi="Cambria Math"/>
                    </w:rPr>
                    <m:t>stab</m:t>
                  </m:r>
                </m:sup>
              </m:sSup>
            </m:num>
            <m:den>
              <m:sSub>
                <m:sSubPr>
                  <m:ctrlPr>
                    <w:rPr>
                      <w:rFonts w:ascii="Cambria Math" w:hAnsi="Cambria Math"/>
                    </w:rPr>
                  </m:ctrlPr>
                </m:sSubPr>
                <m:e>
                  <m:r>
                    <w:rPr>
                      <w:rFonts w:ascii="Cambria Math" w:hAnsi="Cambria Math"/>
                    </w:rPr>
                    <m:t>Q</m:t>
                  </m:r>
                </m:e>
                <m:sub>
                  <m:r>
                    <m:rPr>
                      <m:sty m:val="p"/>
                    </m:rPr>
                    <w:rPr>
                      <w:rFonts w:ascii="Cambria Math" w:hAnsi="Cambria Math"/>
                    </w:rPr>
                    <m:t>ch</m:t>
                  </m:r>
                  <m:r>
                    <w:rPr>
                      <w:rFonts w:ascii="Cambria Math" w:hAnsi="Cambria Math"/>
                    </w:rPr>
                    <m:t>1</m:t>
                  </m:r>
                </m:sub>
              </m:sSub>
            </m:den>
          </m:f>
          <m:nary>
            <m:naryPr>
              <m:chr m:val="∑"/>
              <m:limLoc m:val="undOvr"/>
              <m:grow m:val="1"/>
              <m:supHide m:val="1"/>
              <m:ctrlPr>
                <w:rPr>
                  <w:rFonts w:ascii="Cambria Math" w:hAnsi="Cambria Math"/>
                </w:rPr>
              </m:ctrlPr>
            </m:naryPr>
            <m:sub>
              <m:r>
                <w:rPr>
                  <w:rFonts w:ascii="Cambria Math" w:hAnsi="Cambria Math"/>
                </w:rPr>
                <m:t>i</m:t>
              </m:r>
            </m:sub>
            <m:sup/>
            <m:e>
              <m:d>
                <m:dPr>
                  <m:ctrlPr>
                    <w:rPr>
                      <w:rFonts w:ascii="Cambria Math" w:hAnsi="Cambria Math"/>
                      <w:i/>
                    </w:rPr>
                  </m:ctrlPr>
                </m:dPr>
                <m:e>
                  <m:r>
                    <w:rPr>
                      <w:rFonts w:ascii="Cambria Math" w:hAnsi="Cambria Math"/>
                    </w:rPr>
                    <m:t>2J+1</m:t>
                  </m:r>
                </m:e>
              </m:d>
            </m:e>
          </m:nary>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sym</m:t>
              </m:r>
            </m:sup>
          </m:sSubSup>
          <m:f>
            <m:fPr>
              <m:ctrlPr>
                <w:rPr>
                  <w:rFonts w:ascii="Cambria Math" w:hAnsi="Cambria Math"/>
                </w:rPr>
              </m:ctrlPr>
            </m:fPr>
            <m:num>
              <m:f>
                <m:fPr>
                  <m:ctrlPr>
                    <w:rPr>
                      <w:rFonts w:ascii="Cambria Math" w:hAnsi="Cambria Math"/>
                    </w:rPr>
                  </m:ctrlPr>
                </m:fPr>
                <m:num>
                  <m:sSubSup>
                    <m:sSubSupPr>
                      <m:ctrlPr>
                        <w:rPr>
                          <w:rFonts w:ascii="Cambria Math" w:hAnsi="Cambria Math"/>
                        </w:rPr>
                      </m:ctrlPr>
                    </m:sSubSupPr>
                    <m:e>
                      <m:r>
                        <m:rPr>
                          <m:sty m:val="p"/>
                        </m:rPr>
                        <w:rPr>
                          <w:rFonts w:ascii="Cambria Math" w:hAnsi="Cambria Math"/>
                        </w:rPr>
                        <m:t>Γ</m:t>
                      </m:r>
                    </m:e>
                    <m:sub>
                      <m:r>
                        <w:rPr>
                          <w:rFonts w:ascii="Cambria Math" w:hAnsi="Cambria Math"/>
                        </w:rPr>
                        <m:t>i</m:t>
                      </m:r>
                    </m:sub>
                    <m:sup>
                      <m:r>
                        <m:rPr>
                          <m:sty m:val="p"/>
                        </m:rPr>
                        <w:rPr>
                          <w:rFonts w:ascii="Cambria Math" w:hAnsi="Cambria Math"/>
                        </w:rPr>
                        <m:t>ch</m:t>
                      </m:r>
                      <m:r>
                        <w:rPr>
                          <w:rFonts w:ascii="Cambria Math" w:hAnsi="Cambria Math"/>
                        </w:rPr>
                        <m:t>1</m:t>
                      </m:r>
                    </m:sup>
                  </m:sSubSup>
                </m:num>
                <m:den>
                  <m:r>
                    <w:rPr>
                      <w:rFonts w:ascii="Cambria Math" w:hAnsi="Cambria Math"/>
                    </w:rPr>
                    <m:t>ℏ</m:t>
                  </m:r>
                </m:den>
              </m:f>
            </m:num>
            <m:den>
              <m:f>
                <m:fPr>
                  <m:ctrlPr>
                    <w:rPr>
                      <w:rFonts w:ascii="Cambria Math" w:hAnsi="Cambria Math"/>
                    </w:rPr>
                  </m:ctrlPr>
                </m:fPr>
                <m:num>
                  <m:sSubSup>
                    <m:sSubSupPr>
                      <m:ctrlPr>
                        <w:rPr>
                          <w:rFonts w:ascii="Cambria Math" w:hAnsi="Cambria Math"/>
                        </w:rPr>
                      </m:ctrlPr>
                    </m:sSubSupPr>
                    <m:e>
                      <m:r>
                        <m:rPr>
                          <m:sty m:val="p"/>
                        </m:rPr>
                        <w:rPr>
                          <w:rFonts w:ascii="Cambria Math" w:hAnsi="Cambria Math"/>
                        </w:rPr>
                        <m:t>Γ</m:t>
                      </m:r>
                    </m:e>
                    <m:sub>
                      <m:r>
                        <w:rPr>
                          <w:rFonts w:ascii="Cambria Math" w:hAnsi="Cambria Math"/>
                        </w:rPr>
                        <m:t>i</m:t>
                      </m:r>
                    </m:sub>
                    <m:sup>
                      <m:r>
                        <m:rPr>
                          <m:sty m:val="p"/>
                        </m:rPr>
                        <w:rPr>
                          <w:rFonts w:ascii="Cambria Math" w:hAnsi="Cambria Math"/>
                        </w:rPr>
                        <m:t>tot</m:t>
                      </m:r>
                    </m:sup>
                  </m:sSubSup>
                </m:num>
                <m:den>
                  <m:r>
                    <w:rPr>
                      <w:rFonts w:ascii="Cambria Math" w:hAnsi="Cambria Math"/>
                    </w:rPr>
                    <m:t>ℏ</m:t>
                  </m:r>
                </m:den>
              </m:f>
              <m:r>
                <w:rPr>
                  <w:rFonts w:ascii="Cambria Math" w:hAnsi="Cambria Math"/>
                </w:rPr>
                <m:t>+</m:t>
              </m:r>
              <m:sSubSup>
                <m:sSubSupPr>
                  <m:ctrlPr>
                    <w:rPr>
                      <w:rFonts w:ascii="Cambria Math" w:hAnsi="Cambria Math"/>
                    </w:rPr>
                  </m:ctrlPr>
                </m:sSubSupPr>
                <m:e>
                  <m:r>
                    <w:rPr>
                      <w:rFonts w:ascii="Cambria Math" w:hAnsi="Cambria Math"/>
                    </w:rPr>
                    <m:t>k</m:t>
                  </m:r>
                </m:e>
                <m:sub>
                  <m:r>
                    <w:rPr>
                      <w:rFonts w:ascii="Cambria Math" w:hAnsi="Cambria Math"/>
                    </w:rPr>
                    <m:t>i</m:t>
                  </m:r>
                </m:sub>
                <m:sup>
                  <m:r>
                    <m:rPr>
                      <m:sty m:val="p"/>
                    </m:rPr>
                    <w:rPr>
                      <w:rFonts w:ascii="Cambria Math" w:hAnsi="Cambria Math"/>
                    </w:rPr>
                    <m:t>stab</m:t>
                  </m:r>
                </m:sup>
              </m:sSubSup>
              <m:d>
                <m:dPr>
                  <m:begChr m:val="["/>
                  <m:endChr m:val="]"/>
                  <m:ctrlPr>
                    <w:rPr>
                      <w:rFonts w:ascii="Cambria Math" w:hAnsi="Cambria Math"/>
                      <w:i/>
                    </w:rPr>
                  </m:ctrlPr>
                </m:dPr>
                <m:e>
                  <m:r>
                    <m:rPr>
                      <m:sty m:val="p"/>
                    </m:rPr>
                    <w:rPr>
                      <w:rFonts w:ascii="Cambria Math" w:hAnsi="Cambria Math"/>
                    </w:rPr>
                    <m:t>M</m:t>
                  </m:r>
                </m:e>
              </m:d>
            </m:den>
          </m:f>
          <m:sSup>
            <m:sSupPr>
              <m:ctrlPr>
                <w:rPr>
                  <w:rFonts w:ascii="Cambria Math" w:hAnsi="Cambria Math"/>
                </w:rPr>
              </m:ctrlPr>
            </m:sSupPr>
            <m:e>
              <m:r>
                <w:rPr>
                  <w:rFonts w:ascii="Cambria Math" w:hAnsi="Cambria Math"/>
                </w:rPr>
                <m:t>e</m:t>
              </m:r>
            </m:e>
            <m:sup>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E</m:t>
                      </m:r>
                    </m:e>
                    <m:sub>
                      <m:r>
                        <w:rPr>
                          <w:rFonts w:ascii="Cambria Math" w:hAnsi="Cambria Math"/>
                        </w:rPr>
                        <m:t>i</m:t>
                      </m:r>
                    </m:sub>
                  </m:sSub>
                  <m:r>
                    <w:rPr>
                      <w:rFonts w:ascii="Cambria Math" w:hAnsi="Cambria Math"/>
                    </w:rPr>
                    <m:t>-</m:t>
                  </m:r>
                  <m:r>
                    <m:rPr>
                      <m:sty m:val="p"/>
                    </m:rPr>
                    <w:rPr>
                      <w:rFonts w:ascii="Cambria Math" w:hAnsi="Cambria Math"/>
                    </w:rPr>
                    <m:t>ΔZPE</m:t>
                  </m:r>
                </m:num>
                <m:den>
                  <m:r>
                    <w:rPr>
                      <w:rFonts w:ascii="Cambria Math" w:hAnsi="Cambria Math"/>
                    </w:rPr>
                    <m:t>kT</m:t>
                  </m:r>
                </m:den>
              </m:f>
            </m:sup>
          </m:sSup>
        </m:oMath>
      </m:oMathPara>
    </w:p>
    <w:p w14:paraId="395A9BA6" w14:textId="77777777" w:rsidR="00287AF0" w:rsidRPr="00287AF0" w:rsidRDefault="00287AF0" w:rsidP="00287AF0">
      <w:r w:rsidRPr="00287AF0">
        <w:t>(32)</w:t>
      </w:r>
    </w:p>
    <w:p w14:paraId="60CBA2ED" w14:textId="24FC9470" w:rsidR="001B14B5" w:rsidRPr="00287AF0" w:rsidRDefault="0069284E" w:rsidP="00287AF0">
      <m:oMathPara>
        <m:oMath>
          <m:sSub>
            <m:sSubPr>
              <m:ctrlPr>
                <w:rPr>
                  <w:rFonts w:ascii="Cambria Math" w:hAnsi="Cambria Math"/>
                </w:rPr>
              </m:ctrlPr>
            </m:sSubPr>
            <m:e>
              <m:r>
                <w:rPr>
                  <w:rFonts w:ascii="Cambria Math" w:hAnsi="Cambria Math"/>
                </w:rPr>
                <m:t>R</m:t>
              </m:r>
            </m:e>
            <m:sub>
              <m:r>
                <m:rPr>
                  <m:sty m:val="p"/>
                </m:rPr>
                <w:rPr>
                  <w:rFonts w:ascii="Cambria Math" w:hAnsi="Cambria Math"/>
                </w:rPr>
                <m:t>asym</m:t>
              </m:r>
            </m:sub>
          </m:sSub>
          <m:r>
            <w:rPr>
              <w:rFonts w:ascii="Cambria Math" w:hAnsi="Cambria Math"/>
            </w:rPr>
            <m:t>=</m:t>
          </m:r>
          <m:d>
            <m:dPr>
              <m:begChr m:val="["/>
              <m:endChr m:val="]"/>
              <m:ctrlPr>
                <w:rPr>
                  <w:rFonts w:ascii="Cambria Math" w:hAnsi="Cambria Math"/>
                  <w:i/>
                </w:rPr>
              </m:ctrlPr>
            </m:dPr>
            <m:e>
              <m:r>
                <m:rPr>
                  <m:sty m:val="p"/>
                </m:rPr>
                <w:rPr>
                  <w:rFonts w:ascii="Cambria Math" w:hAnsi="Cambria Math"/>
                </w:rPr>
                <m:t>M</m:t>
              </m:r>
            </m:e>
          </m:d>
          <m:d>
            <m:dPr>
              <m:begChr m:val="["/>
              <m:endChr m:val="]"/>
              <m:ctrlPr>
                <w:rPr>
                  <w:rFonts w:ascii="Cambria Math" w:hAnsi="Cambria Math"/>
                  <w:i/>
                </w:rPr>
              </m:ctrlPr>
            </m:dPr>
            <m:e>
              <m:r>
                <w:rPr>
                  <w:rFonts w:ascii="Cambria Math" w:hAnsi="Cambria Math"/>
                </w:rPr>
                <m:t>68</m:t>
              </m:r>
            </m:e>
          </m:d>
          <m:d>
            <m:dPr>
              <m:begChr m:val="["/>
              <m:endChr m:val="]"/>
              <m:ctrlPr>
                <w:rPr>
                  <w:rFonts w:ascii="Cambria Math" w:hAnsi="Cambria Math"/>
                  <w:i/>
                </w:rPr>
              </m:ctrlPr>
            </m:dPr>
            <m:e>
              <m:r>
                <w:rPr>
                  <w:rFonts w:ascii="Cambria Math" w:hAnsi="Cambria Math"/>
                </w:rPr>
                <m:t>6</m:t>
              </m:r>
            </m:e>
          </m:d>
          <m:f>
            <m:fPr>
              <m:ctrlPr>
                <w:rPr>
                  <w:rFonts w:ascii="Cambria Math" w:hAnsi="Cambria Math"/>
                </w:rPr>
              </m:ctrlPr>
            </m:fPr>
            <m:num>
              <m:sSup>
                <m:sSupPr>
                  <m:ctrlPr>
                    <w:rPr>
                      <w:rFonts w:ascii="Cambria Math" w:hAnsi="Cambria Math"/>
                    </w:rPr>
                  </m:ctrlPr>
                </m:sSupPr>
                <m:e>
                  <m:r>
                    <w:rPr>
                      <w:rFonts w:ascii="Cambria Math" w:hAnsi="Cambria Math"/>
                    </w:rPr>
                    <m:t>k</m:t>
                  </m:r>
                </m:e>
                <m:sup>
                  <m:r>
                    <m:rPr>
                      <m:sty m:val="p"/>
                    </m:rPr>
                    <w:rPr>
                      <w:rFonts w:ascii="Cambria Math" w:hAnsi="Cambria Math"/>
                    </w:rPr>
                    <m:t>stab</m:t>
                  </m:r>
                </m:sup>
              </m:sSup>
            </m:num>
            <m:den>
              <m:sSub>
                <m:sSubPr>
                  <m:ctrlPr>
                    <w:rPr>
                      <w:rFonts w:ascii="Cambria Math" w:hAnsi="Cambria Math"/>
                    </w:rPr>
                  </m:ctrlPr>
                </m:sSubPr>
                <m:e>
                  <m:r>
                    <w:rPr>
                      <w:rFonts w:ascii="Cambria Math" w:hAnsi="Cambria Math"/>
                    </w:rPr>
                    <m:t>Q</m:t>
                  </m:r>
                </m:e>
                <m:sub>
                  <m:r>
                    <m:rPr>
                      <m:sty m:val="p"/>
                    </m:rPr>
                    <w:rPr>
                      <w:rFonts w:ascii="Cambria Math" w:hAnsi="Cambria Math"/>
                    </w:rPr>
                    <m:t>ch</m:t>
                  </m:r>
                  <m:r>
                    <w:rPr>
                      <w:rFonts w:ascii="Cambria Math" w:hAnsi="Cambria Math"/>
                    </w:rPr>
                    <m:t>2</m:t>
                  </m:r>
                </m:sub>
              </m:sSub>
            </m:den>
          </m:f>
          <m:nary>
            <m:naryPr>
              <m:chr m:val="∑"/>
              <m:limLoc m:val="undOvr"/>
              <m:grow m:val="1"/>
              <m:supHide m:val="1"/>
              <m:ctrlPr>
                <w:rPr>
                  <w:rFonts w:ascii="Cambria Math" w:hAnsi="Cambria Math"/>
                </w:rPr>
              </m:ctrlPr>
            </m:naryPr>
            <m:sub>
              <m:r>
                <w:rPr>
                  <w:rFonts w:ascii="Cambria Math" w:hAnsi="Cambria Math"/>
                </w:rPr>
                <m:t>i</m:t>
              </m:r>
            </m:sub>
            <m:sup/>
            <m:e>
              <m:d>
                <m:dPr>
                  <m:ctrlPr>
                    <w:rPr>
                      <w:rFonts w:ascii="Cambria Math" w:hAnsi="Cambria Math"/>
                      <w:i/>
                    </w:rPr>
                  </m:ctrlPr>
                </m:dPr>
                <m:e>
                  <m:r>
                    <w:rPr>
                      <w:rFonts w:ascii="Cambria Math" w:hAnsi="Cambria Math"/>
                    </w:rPr>
                    <m:t>2J+1</m:t>
                  </m:r>
                </m:e>
              </m:d>
            </m:e>
          </m:nary>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asym</m:t>
              </m:r>
            </m:sup>
          </m:sSubSup>
          <m:f>
            <m:fPr>
              <m:ctrlPr>
                <w:rPr>
                  <w:rFonts w:ascii="Cambria Math" w:hAnsi="Cambria Math"/>
                </w:rPr>
              </m:ctrlPr>
            </m:fPr>
            <m:num>
              <m:f>
                <m:fPr>
                  <m:ctrlPr>
                    <w:rPr>
                      <w:rFonts w:ascii="Cambria Math" w:hAnsi="Cambria Math"/>
                    </w:rPr>
                  </m:ctrlPr>
                </m:fPr>
                <m:num>
                  <m:sSubSup>
                    <m:sSubSupPr>
                      <m:ctrlPr>
                        <w:rPr>
                          <w:rFonts w:ascii="Cambria Math" w:hAnsi="Cambria Math"/>
                        </w:rPr>
                      </m:ctrlPr>
                    </m:sSubSupPr>
                    <m:e>
                      <m:r>
                        <m:rPr>
                          <m:sty m:val="p"/>
                        </m:rPr>
                        <w:rPr>
                          <w:rFonts w:ascii="Cambria Math" w:hAnsi="Cambria Math"/>
                        </w:rPr>
                        <m:t>Γ</m:t>
                      </m:r>
                    </m:e>
                    <m:sub>
                      <m:r>
                        <w:rPr>
                          <w:rFonts w:ascii="Cambria Math" w:hAnsi="Cambria Math"/>
                        </w:rPr>
                        <m:t>i</m:t>
                      </m:r>
                    </m:sub>
                    <m:sup>
                      <m:r>
                        <m:rPr>
                          <m:sty m:val="p"/>
                        </m:rPr>
                        <w:rPr>
                          <w:rFonts w:ascii="Cambria Math" w:hAnsi="Cambria Math"/>
                        </w:rPr>
                        <m:t>ch</m:t>
                      </m:r>
                      <m:r>
                        <w:rPr>
                          <w:rFonts w:ascii="Cambria Math" w:hAnsi="Cambria Math"/>
                        </w:rPr>
                        <m:t>2</m:t>
                      </m:r>
                    </m:sup>
                  </m:sSubSup>
                </m:num>
                <m:den>
                  <m:r>
                    <w:rPr>
                      <w:rFonts w:ascii="Cambria Math" w:hAnsi="Cambria Math"/>
                    </w:rPr>
                    <m:t>ℏ</m:t>
                  </m:r>
                </m:den>
              </m:f>
            </m:num>
            <m:den>
              <m:f>
                <m:fPr>
                  <m:ctrlPr>
                    <w:rPr>
                      <w:rFonts w:ascii="Cambria Math" w:hAnsi="Cambria Math"/>
                    </w:rPr>
                  </m:ctrlPr>
                </m:fPr>
                <m:num>
                  <m:sSubSup>
                    <m:sSubSupPr>
                      <m:ctrlPr>
                        <w:rPr>
                          <w:rFonts w:ascii="Cambria Math" w:hAnsi="Cambria Math"/>
                        </w:rPr>
                      </m:ctrlPr>
                    </m:sSubSupPr>
                    <m:e>
                      <m:r>
                        <m:rPr>
                          <m:sty m:val="p"/>
                        </m:rPr>
                        <w:rPr>
                          <w:rFonts w:ascii="Cambria Math" w:hAnsi="Cambria Math"/>
                        </w:rPr>
                        <m:t>Γ</m:t>
                      </m:r>
                    </m:e>
                    <m:sub>
                      <m:r>
                        <w:rPr>
                          <w:rFonts w:ascii="Cambria Math" w:hAnsi="Cambria Math"/>
                        </w:rPr>
                        <m:t>i</m:t>
                      </m:r>
                    </m:sub>
                    <m:sup>
                      <m:r>
                        <m:rPr>
                          <m:sty m:val="p"/>
                        </m:rPr>
                        <w:rPr>
                          <w:rFonts w:ascii="Cambria Math" w:hAnsi="Cambria Math"/>
                        </w:rPr>
                        <m:t>tot</m:t>
                      </m:r>
                    </m:sup>
                  </m:sSubSup>
                </m:num>
                <m:den>
                  <m:r>
                    <w:rPr>
                      <w:rFonts w:ascii="Cambria Math" w:hAnsi="Cambria Math"/>
                    </w:rPr>
                    <m:t>ℏ</m:t>
                  </m:r>
                </m:den>
              </m:f>
              <m:r>
                <w:rPr>
                  <w:rFonts w:ascii="Cambria Math" w:hAnsi="Cambria Math"/>
                </w:rPr>
                <m:t>+</m:t>
              </m:r>
              <m:sSubSup>
                <m:sSubSupPr>
                  <m:ctrlPr>
                    <w:rPr>
                      <w:rFonts w:ascii="Cambria Math" w:hAnsi="Cambria Math"/>
                    </w:rPr>
                  </m:ctrlPr>
                </m:sSubSupPr>
                <m:e>
                  <m:r>
                    <w:rPr>
                      <w:rFonts w:ascii="Cambria Math" w:hAnsi="Cambria Math"/>
                    </w:rPr>
                    <m:t>k</m:t>
                  </m:r>
                </m:e>
                <m:sub>
                  <m:r>
                    <w:rPr>
                      <w:rFonts w:ascii="Cambria Math" w:hAnsi="Cambria Math"/>
                    </w:rPr>
                    <m:t>i</m:t>
                  </m:r>
                </m:sub>
                <m:sup>
                  <m:r>
                    <m:rPr>
                      <m:sty m:val="p"/>
                    </m:rPr>
                    <w:rPr>
                      <w:rFonts w:ascii="Cambria Math" w:hAnsi="Cambria Math"/>
                    </w:rPr>
                    <m:t>stab</m:t>
                  </m:r>
                </m:sup>
              </m:sSubSup>
              <m:d>
                <m:dPr>
                  <m:begChr m:val="["/>
                  <m:endChr m:val="]"/>
                  <m:ctrlPr>
                    <w:rPr>
                      <w:rFonts w:ascii="Cambria Math" w:hAnsi="Cambria Math"/>
                      <w:i/>
                    </w:rPr>
                  </m:ctrlPr>
                </m:dPr>
                <m:e>
                  <m:r>
                    <m:rPr>
                      <m:sty m:val="p"/>
                    </m:rPr>
                    <w:rPr>
                      <w:rFonts w:ascii="Cambria Math" w:hAnsi="Cambria Math"/>
                    </w:rPr>
                    <m:t>M</m:t>
                  </m:r>
                </m:e>
              </m:d>
            </m:den>
          </m:f>
          <m:sSup>
            <m:sSupPr>
              <m:ctrlPr>
                <w:rPr>
                  <w:rFonts w:ascii="Cambria Math" w:hAnsi="Cambria Math"/>
                </w:rPr>
              </m:ctrlPr>
            </m:sSupPr>
            <m:e>
              <m:r>
                <w:rPr>
                  <w:rFonts w:ascii="Cambria Math" w:hAnsi="Cambria Math"/>
                </w:rPr>
                <m:t>e</m:t>
              </m:r>
            </m:e>
            <m:sup>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E</m:t>
                      </m:r>
                    </m:e>
                    <m:sub>
                      <m:r>
                        <w:rPr>
                          <w:rFonts w:ascii="Cambria Math" w:hAnsi="Cambria Math"/>
                        </w:rPr>
                        <m:t>i</m:t>
                      </m:r>
                    </m:sub>
                  </m:sSub>
                </m:num>
                <m:den>
                  <m:r>
                    <w:rPr>
                      <w:rFonts w:ascii="Cambria Math" w:hAnsi="Cambria Math"/>
                    </w:rPr>
                    <m:t>kT</m:t>
                  </m:r>
                </m:den>
              </m:f>
            </m:sup>
          </m:sSup>
          <m:r>
            <w:rPr>
              <w:rFonts w:ascii="Cambria Math" w:hAnsi="Cambria Math"/>
            </w:rPr>
            <m:t>+</m:t>
          </m:r>
          <m:d>
            <m:dPr>
              <m:begChr m:val="["/>
              <m:endChr m:val="]"/>
              <m:ctrlPr>
                <w:rPr>
                  <w:rFonts w:ascii="Cambria Math" w:hAnsi="Cambria Math"/>
                  <w:i/>
                </w:rPr>
              </m:ctrlPr>
            </m:dPr>
            <m:e>
              <m:r>
                <m:rPr>
                  <m:sty m:val="p"/>
                </m:rPr>
                <w:rPr>
                  <w:rFonts w:ascii="Cambria Math" w:hAnsi="Cambria Math"/>
                </w:rPr>
                <m:t>M</m:t>
              </m:r>
            </m:e>
          </m:d>
          <m:d>
            <m:dPr>
              <m:begChr m:val="["/>
              <m:endChr m:val="]"/>
              <m:ctrlPr>
                <w:rPr>
                  <w:rFonts w:ascii="Cambria Math" w:hAnsi="Cambria Math"/>
                  <w:i/>
                </w:rPr>
              </m:ctrlPr>
            </m:dPr>
            <m:e>
              <m:r>
                <w:rPr>
                  <w:rFonts w:ascii="Cambria Math" w:hAnsi="Cambria Math"/>
                </w:rPr>
                <m:t>66</m:t>
              </m:r>
            </m:e>
          </m:d>
          <m:d>
            <m:dPr>
              <m:begChr m:val="["/>
              <m:endChr m:val="]"/>
              <m:ctrlPr>
                <w:rPr>
                  <w:rFonts w:ascii="Cambria Math" w:hAnsi="Cambria Math"/>
                  <w:i/>
                </w:rPr>
              </m:ctrlPr>
            </m:dPr>
            <m:e>
              <m:r>
                <w:rPr>
                  <w:rFonts w:ascii="Cambria Math" w:hAnsi="Cambria Math"/>
                </w:rPr>
                <m:t>8</m:t>
              </m:r>
            </m:e>
          </m:d>
          <m:f>
            <m:fPr>
              <m:ctrlPr>
                <w:rPr>
                  <w:rFonts w:ascii="Cambria Math" w:hAnsi="Cambria Math"/>
                </w:rPr>
              </m:ctrlPr>
            </m:fPr>
            <m:num>
              <m:sSup>
                <m:sSupPr>
                  <m:ctrlPr>
                    <w:rPr>
                      <w:rFonts w:ascii="Cambria Math" w:hAnsi="Cambria Math"/>
                    </w:rPr>
                  </m:ctrlPr>
                </m:sSupPr>
                <m:e>
                  <m:r>
                    <w:rPr>
                      <w:rFonts w:ascii="Cambria Math" w:hAnsi="Cambria Math"/>
                    </w:rPr>
                    <m:t>k</m:t>
                  </m:r>
                </m:e>
                <m:sup>
                  <m:r>
                    <m:rPr>
                      <m:sty m:val="p"/>
                    </m:rPr>
                    <w:rPr>
                      <w:rFonts w:ascii="Cambria Math" w:hAnsi="Cambria Math"/>
                    </w:rPr>
                    <m:t>stab</m:t>
                  </m:r>
                </m:sup>
              </m:sSup>
            </m:num>
            <m:den>
              <m:sSub>
                <m:sSubPr>
                  <m:ctrlPr>
                    <w:rPr>
                      <w:rFonts w:ascii="Cambria Math" w:hAnsi="Cambria Math"/>
                    </w:rPr>
                  </m:ctrlPr>
                </m:sSubPr>
                <m:e>
                  <m:r>
                    <w:rPr>
                      <w:rFonts w:ascii="Cambria Math" w:hAnsi="Cambria Math"/>
                    </w:rPr>
                    <m:t>Q</m:t>
                  </m:r>
                </m:e>
                <m:sub>
                  <m:r>
                    <m:rPr>
                      <m:sty m:val="p"/>
                    </m:rPr>
                    <w:rPr>
                      <w:rFonts w:ascii="Cambria Math" w:hAnsi="Cambria Math"/>
                    </w:rPr>
                    <m:t>ch</m:t>
                  </m:r>
                  <m:r>
                    <w:rPr>
                      <w:rFonts w:ascii="Cambria Math" w:hAnsi="Cambria Math"/>
                    </w:rPr>
                    <m:t>1</m:t>
                  </m:r>
                </m:sub>
              </m:sSub>
            </m:den>
          </m:f>
          <m:nary>
            <m:naryPr>
              <m:chr m:val="∑"/>
              <m:limLoc m:val="undOvr"/>
              <m:grow m:val="1"/>
              <m:supHide m:val="1"/>
              <m:ctrlPr>
                <w:rPr>
                  <w:rFonts w:ascii="Cambria Math" w:hAnsi="Cambria Math"/>
                </w:rPr>
              </m:ctrlPr>
            </m:naryPr>
            <m:sub>
              <m:r>
                <w:rPr>
                  <w:rFonts w:ascii="Cambria Math" w:hAnsi="Cambria Math"/>
                </w:rPr>
                <m:t>i</m:t>
              </m:r>
            </m:sub>
            <m:sup/>
            <m:e>
              <m:d>
                <m:dPr>
                  <m:ctrlPr>
                    <w:rPr>
                      <w:rFonts w:ascii="Cambria Math" w:hAnsi="Cambria Math"/>
                      <w:i/>
                    </w:rPr>
                  </m:ctrlPr>
                </m:dPr>
                <m:e>
                  <m:r>
                    <w:rPr>
                      <w:rFonts w:ascii="Cambria Math" w:hAnsi="Cambria Math"/>
                    </w:rPr>
                    <m:t>2J+1</m:t>
                  </m:r>
                </m:e>
              </m:d>
            </m:e>
          </m:nary>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asym</m:t>
              </m:r>
            </m:sup>
          </m:sSubSup>
          <m:f>
            <m:fPr>
              <m:ctrlPr>
                <w:rPr>
                  <w:rFonts w:ascii="Cambria Math" w:hAnsi="Cambria Math"/>
                </w:rPr>
              </m:ctrlPr>
            </m:fPr>
            <m:num>
              <m:f>
                <m:fPr>
                  <m:ctrlPr>
                    <w:rPr>
                      <w:rFonts w:ascii="Cambria Math" w:hAnsi="Cambria Math"/>
                    </w:rPr>
                  </m:ctrlPr>
                </m:fPr>
                <m:num>
                  <m:sSubSup>
                    <m:sSubSupPr>
                      <m:ctrlPr>
                        <w:rPr>
                          <w:rFonts w:ascii="Cambria Math" w:hAnsi="Cambria Math"/>
                        </w:rPr>
                      </m:ctrlPr>
                    </m:sSubSupPr>
                    <m:e>
                      <m:r>
                        <m:rPr>
                          <m:sty m:val="p"/>
                        </m:rPr>
                        <w:rPr>
                          <w:rFonts w:ascii="Cambria Math" w:hAnsi="Cambria Math"/>
                        </w:rPr>
                        <m:t>Γ</m:t>
                      </m:r>
                    </m:e>
                    <m:sub>
                      <m:r>
                        <w:rPr>
                          <w:rFonts w:ascii="Cambria Math" w:hAnsi="Cambria Math"/>
                        </w:rPr>
                        <m:t>i</m:t>
                      </m:r>
                    </m:sub>
                    <m:sup>
                      <m:r>
                        <m:rPr>
                          <m:sty m:val="p"/>
                        </m:rPr>
                        <w:rPr>
                          <w:rFonts w:ascii="Cambria Math" w:hAnsi="Cambria Math"/>
                        </w:rPr>
                        <m:t>ch</m:t>
                      </m:r>
                      <m:r>
                        <w:rPr>
                          <w:rFonts w:ascii="Cambria Math" w:hAnsi="Cambria Math"/>
                        </w:rPr>
                        <m:t>1</m:t>
                      </m:r>
                    </m:sup>
                  </m:sSubSup>
                </m:num>
                <m:den>
                  <m:r>
                    <w:rPr>
                      <w:rFonts w:ascii="Cambria Math" w:hAnsi="Cambria Math"/>
                    </w:rPr>
                    <m:t>ℏ</m:t>
                  </m:r>
                </m:den>
              </m:f>
            </m:num>
            <m:den>
              <m:f>
                <m:fPr>
                  <m:ctrlPr>
                    <w:rPr>
                      <w:rFonts w:ascii="Cambria Math" w:hAnsi="Cambria Math"/>
                    </w:rPr>
                  </m:ctrlPr>
                </m:fPr>
                <m:num>
                  <m:sSubSup>
                    <m:sSubSupPr>
                      <m:ctrlPr>
                        <w:rPr>
                          <w:rFonts w:ascii="Cambria Math" w:hAnsi="Cambria Math"/>
                        </w:rPr>
                      </m:ctrlPr>
                    </m:sSubSupPr>
                    <m:e>
                      <m:r>
                        <m:rPr>
                          <m:sty m:val="p"/>
                        </m:rPr>
                        <w:rPr>
                          <w:rFonts w:ascii="Cambria Math" w:hAnsi="Cambria Math"/>
                        </w:rPr>
                        <m:t>Γ</m:t>
                      </m:r>
                    </m:e>
                    <m:sub>
                      <m:r>
                        <w:rPr>
                          <w:rFonts w:ascii="Cambria Math" w:hAnsi="Cambria Math"/>
                        </w:rPr>
                        <m:t>i</m:t>
                      </m:r>
                    </m:sub>
                    <m:sup>
                      <m:r>
                        <m:rPr>
                          <m:sty m:val="p"/>
                        </m:rPr>
                        <w:rPr>
                          <w:rFonts w:ascii="Cambria Math" w:hAnsi="Cambria Math"/>
                        </w:rPr>
                        <m:t>tot</m:t>
                      </m:r>
                    </m:sup>
                  </m:sSubSup>
                </m:num>
                <m:den>
                  <m:r>
                    <w:rPr>
                      <w:rFonts w:ascii="Cambria Math" w:hAnsi="Cambria Math"/>
                    </w:rPr>
                    <m:t>ℏ</m:t>
                  </m:r>
                </m:den>
              </m:f>
              <m:r>
                <w:rPr>
                  <w:rFonts w:ascii="Cambria Math" w:hAnsi="Cambria Math"/>
                </w:rPr>
                <m:t>+</m:t>
              </m:r>
              <m:sSubSup>
                <m:sSubSupPr>
                  <m:ctrlPr>
                    <w:rPr>
                      <w:rFonts w:ascii="Cambria Math" w:hAnsi="Cambria Math"/>
                    </w:rPr>
                  </m:ctrlPr>
                </m:sSubSupPr>
                <m:e>
                  <m:r>
                    <w:rPr>
                      <w:rFonts w:ascii="Cambria Math" w:hAnsi="Cambria Math"/>
                    </w:rPr>
                    <m:t>k</m:t>
                  </m:r>
                </m:e>
                <m:sub>
                  <m:r>
                    <w:rPr>
                      <w:rFonts w:ascii="Cambria Math" w:hAnsi="Cambria Math"/>
                    </w:rPr>
                    <m:t>i</m:t>
                  </m:r>
                </m:sub>
                <m:sup>
                  <m:r>
                    <m:rPr>
                      <m:sty m:val="p"/>
                    </m:rPr>
                    <w:rPr>
                      <w:rFonts w:ascii="Cambria Math" w:hAnsi="Cambria Math"/>
                    </w:rPr>
                    <m:t>stab</m:t>
                  </m:r>
                </m:sup>
              </m:sSubSup>
              <m:d>
                <m:dPr>
                  <m:begChr m:val="["/>
                  <m:endChr m:val="]"/>
                  <m:ctrlPr>
                    <w:rPr>
                      <w:rFonts w:ascii="Cambria Math" w:hAnsi="Cambria Math"/>
                      <w:i/>
                    </w:rPr>
                  </m:ctrlPr>
                </m:dPr>
                <m:e>
                  <m:r>
                    <m:rPr>
                      <m:sty m:val="p"/>
                    </m:rPr>
                    <w:rPr>
                      <w:rFonts w:ascii="Cambria Math" w:hAnsi="Cambria Math"/>
                    </w:rPr>
                    <m:t>M</m:t>
                  </m:r>
                </m:e>
              </m:d>
            </m:den>
          </m:f>
          <m:sSup>
            <m:sSupPr>
              <m:ctrlPr>
                <w:rPr>
                  <w:rFonts w:ascii="Cambria Math" w:hAnsi="Cambria Math"/>
                </w:rPr>
              </m:ctrlPr>
            </m:sSupPr>
            <m:e>
              <m:r>
                <w:rPr>
                  <w:rFonts w:ascii="Cambria Math" w:hAnsi="Cambria Math"/>
                </w:rPr>
                <m:t>e</m:t>
              </m:r>
            </m:e>
            <m:sup>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E</m:t>
                      </m:r>
                    </m:e>
                    <m:sub>
                      <m:r>
                        <w:rPr>
                          <w:rFonts w:ascii="Cambria Math" w:hAnsi="Cambria Math"/>
                        </w:rPr>
                        <m:t>i</m:t>
                      </m:r>
                    </m:sub>
                  </m:sSub>
                  <m:r>
                    <w:rPr>
                      <w:rFonts w:ascii="Cambria Math" w:hAnsi="Cambria Math"/>
                    </w:rPr>
                    <m:t>-</m:t>
                  </m:r>
                  <m:r>
                    <m:rPr>
                      <m:sty m:val="p"/>
                    </m:rPr>
                    <w:rPr>
                      <w:rFonts w:ascii="Cambria Math" w:hAnsi="Cambria Math"/>
                    </w:rPr>
                    <m:t>ΔZPE</m:t>
                  </m:r>
                </m:num>
                <m:den>
                  <m:r>
                    <w:rPr>
                      <w:rFonts w:ascii="Cambria Math" w:hAnsi="Cambria Math"/>
                    </w:rPr>
                    <m:t>kT</m:t>
                  </m:r>
                </m:den>
              </m:f>
            </m:sup>
          </m:sSup>
        </m:oMath>
      </m:oMathPara>
    </w:p>
    <w:p w14:paraId="216BD3D5" w14:textId="77777777" w:rsidR="00287AF0" w:rsidRPr="00287AF0" w:rsidRDefault="00287AF0" w:rsidP="00287AF0">
      <w:r w:rsidRPr="00287AF0">
        <w:t>(33)</w:t>
      </w:r>
    </w:p>
    <w:p w14:paraId="40AA60E7" w14:textId="73CB6A72" w:rsidR="00287AF0" w:rsidRPr="00287AF0" w:rsidRDefault="00287AF0" w:rsidP="00287AF0">
      <w:r w:rsidRPr="00287AF0">
        <w:t>Note that the term </w:t>
      </w:r>
      <m:oMath>
        <m:sSup>
          <m:sSupPr>
            <m:ctrlPr>
              <w:rPr>
                <w:rFonts w:ascii="Cambria Math" w:hAnsi="Cambria Math"/>
              </w:rPr>
            </m:ctrlPr>
          </m:sSupPr>
          <m:e>
            <m:r>
              <w:rPr>
                <w:rFonts w:ascii="Cambria Math" w:hAnsi="Cambria Math"/>
              </w:rPr>
              <m:t>e</m:t>
            </m:r>
          </m:e>
          <m:sup>
            <m:r>
              <w:rPr>
                <w:rFonts w:ascii="Cambria Math" w:hAnsi="Cambria Math"/>
              </w:rPr>
              <m:t>-</m:t>
            </m:r>
            <m:f>
              <m:fPr>
                <m:ctrlPr>
                  <w:rPr>
                    <w:rFonts w:ascii="Cambria Math" w:hAnsi="Cambria Math"/>
                    <w:i/>
                  </w:rPr>
                </m:ctrlPr>
              </m:fPr>
              <m:num>
                <m:r>
                  <m:rPr>
                    <m:sty m:val="p"/>
                  </m:rPr>
                  <w:rPr>
                    <w:rFonts w:ascii="Cambria Math" w:hAnsi="Cambria Math"/>
                  </w:rPr>
                  <m:t>ΔZPE</m:t>
                </m:r>
              </m:num>
              <m:den>
                <m:r>
                  <w:rPr>
                    <w:rFonts w:ascii="Cambria Math" w:hAnsi="Cambria Math"/>
                  </w:rPr>
                  <m:t>kT</m:t>
                </m:r>
              </m:den>
            </m:f>
          </m:sup>
        </m:sSup>
      </m:oMath>
      <w:r w:rsidRPr="00287AF0">
        <w:t> was moved to the numerator, to appear together with </w:t>
      </w:r>
      <m:oMath>
        <m:f>
          <m:fPr>
            <m:type m:val="lin"/>
            <m:ctrlPr>
              <w:rPr>
                <w:rFonts w:ascii="Cambria Math" w:hAnsi="Cambria Math"/>
              </w:rPr>
            </m:ctrlPr>
          </m:fPr>
          <m:num>
            <m:sSubSup>
              <m:sSubSupPr>
                <m:ctrlPr>
                  <w:rPr>
                    <w:rFonts w:ascii="Cambria Math" w:hAnsi="Cambria Math"/>
                  </w:rPr>
                </m:ctrlPr>
              </m:sSubSupPr>
              <m:e>
                <m:r>
                  <m:rPr>
                    <m:sty m:val="p"/>
                  </m:rPr>
                  <w:rPr>
                    <w:rFonts w:ascii="Cambria Math" w:hAnsi="Cambria Math"/>
                  </w:rPr>
                  <m:t>Γ</m:t>
                </m:r>
              </m:e>
              <m:sub>
                <m:r>
                  <w:rPr>
                    <w:rFonts w:ascii="Cambria Math" w:hAnsi="Cambria Math"/>
                  </w:rPr>
                  <m:t>i</m:t>
                </m:r>
              </m:sub>
              <m:sup>
                <m:r>
                  <m:rPr>
                    <m:sty m:val="p"/>
                  </m:rPr>
                  <w:rPr>
                    <w:rFonts w:ascii="Cambria Math" w:hAnsi="Cambria Math"/>
                  </w:rPr>
                  <m:t>ch</m:t>
                </m:r>
                <m:r>
                  <w:rPr>
                    <w:rFonts w:ascii="Cambria Math" w:hAnsi="Cambria Math"/>
                  </w:rPr>
                  <m:t>1</m:t>
                </m:r>
              </m:sup>
            </m:sSubSup>
          </m:num>
          <m:den>
            <m:r>
              <w:rPr>
                <w:rFonts w:ascii="Cambria Math" w:hAnsi="Cambria Math"/>
              </w:rPr>
              <m:t>ℏ</m:t>
            </m:r>
          </m:den>
        </m:f>
      </m:oMath>
      <w:r w:rsidRPr="00287AF0">
        <w:t>. The reason behind this move is that the decay of resonances through Channel 1, given by </w:t>
      </w:r>
      <m:oMath>
        <m:f>
          <m:fPr>
            <m:type m:val="lin"/>
            <m:ctrlPr>
              <w:rPr>
                <w:rFonts w:ascii="Cambria Math" w:hAnsi="Cambria Math"/>
              </w:rPr>
            </m:ctrlPr>
          </m:fPr>
          <m:num>
            <m:sSubSup>
              <m:sSubSupPr>
                <m:ctrlPr>
                  <w:rPr>
                    <w:rFonts w:ascii="Cambria Math" w:hAnsi="Cambria Math"/>
                  </w:rPr>
                </m:ctrlPr>
              </m:sSubSupPr>
              <m:e>
                <m:r>
                  <m:rPr>
                    <m:sty m:val="p"/>
                  </m:rPr>
                  <w:rPr>
                    <w:rFonts w:ascii="Cambria Math" w:hAnsi="Cambria Math"/>
                  </w:rPr>
                  <m:t>Γ</m:t>
                </m:r>
              </m:e>
              <m:sub>
                <m:r>
                  <w:rPr>
                    <w:rFonts w:ascii="Cambria Math" w:hAnsi="Cambria Math"/>
                  </w:rPr>
                  <m:t>i</m:t>
                </m:r>
              </m:sub>
              <m:sup>
                <m:r>
                  <m:rPr>
                    <m:sty m:val="p"/>
                  </m:rPr>
                  <w:rPr>
                    <w:rFonts w:ascii="Cambria Math" w:hAnsi="Cambria Math"/>
                  </w:rPr>
                  <m:t>ch</m:t>
                </m:r>
                <m:r>
                  <w:rPr>
                    <w:rFonts w:ascii="Cambria Math" w:hAnsi="Cambria Math"/>
                  </w:rPr>
                  <m:t>1</m:t>
                </m:r>
              </m:sup>
            </m:sSubSup>
          </m:num>
          <m:den>
            <m:r>
              <w:rPr>
                <w:rFonts w:ascii="Cambria Math" w:hAnsi="Cambria Math"/>
              </w:rPr>
              <m:t>ℏ</m:t>
            </m:r>
          </m:den>
        </m:f>
      </m:oMath>
      <w:r w:rsidRPr="00287AF0">
        <w:t>, is efficient only at energies above threshold for this channel, which is </w:t>
      </w:r>
      <m:oMath>
        <m:r>
          <m:rPr>
            <m:sty m:val="p"/>
          </m:rPr>
          <w:rPr>
            <w:rFonts w:ascii="Cambria Math" w:hAnsi="Cambria Math"/>
          </w:rPr>
          <m:t>ΔZPE</m:t>
        </m:r>
      </m:oMath>
      <w:r w:rsidRPr="00287AF0">
        <w:t> (see </w:t>
      </w:r>
      <w:r w:rsidRPr="00AD482D">
        <w:rPr>
          <w:b/>
          <w:bCs/>
        </w:rPr>
        <w:t>Figure 2</w:t>
      </w:r>
      <w:r w:rsidRPr="00287AF0">
        <w:t>). Therefore, it makes sense to measure energies of such resonances relative to the threshold of this channel, writing the Boltzmann factor as </w:t>
      </w:r>
      <m:oMath>
        <m:sSup>
          <m:sSupPr>
            <m:ctrlPr>
              <w:rPr>
                <w:rFonts w:ascii="Cambria Math" w:hAnsi="Cambria Math"/>
              </w:rPr>
            </m:ctrlPr>
          </m:sSupPr>
          <m:e>
            <m:r>
              <w:rPr>
                <w:rFonts w:ascii="Cambria Math" w:hAnsi="Cambria Math"/>
              </w:rPr>
              <m:t>e</m:t>
            </m:r>
          </m:e>
          <m:sup>
            <m:r>
              <w:rPr>
                <w:rFonts w:ascii="Cambria Math" w:hAnsi="Cambria Math"/>
              </w:rPr>
              <m:t>-</m:t>
            </m:r>
            <m:f>
              <m:fPr>
                <m:ctrlPr>
                  <w:rPr>
                    <w:rFonts w:ascii="Cambria Math" w:hAnsi="Cambria Math"/>
                    <w:i/>
                  </w:rPr>
                </m:ctrlPr>
              </m:fPr>
              <m:num>
                <m:sSub>
                  <m:sSubPr>
                    <m:ctrlPr>
                      <w:rPr>
                        <w:rFonts w:ascii="Cambria Math" w:hAnsi="Cambria Math"/>
                      </w:rPr>
                    </m:ctrlPr>
                  </m:sSubPr>
                  <m:e>
                    <m:r>
                      <w:rPr>
                        <w:rFonts w:ascii="Cambria Math" w:hAnsi="Cambria Math"/>
                      </w:rPr>
                      <m:t>E</m:t>
                    </m:r>
                  </m:e>
                  <m:sub>
                    <m:r>
                      <w:rPr>
                        <w:rFonts w:ascii="Cambria Math" w:hAnsi="Cambria Math"/>
                      </w:rPr>
                      <m:t>i</m:t>
                    </m:r>
                  </m:sub>
                </m:sSub>
                <m:r>
                  <w:rPr>
                    <w:rFonts w:ascii="Cambria Math" w:hAnsi="Cambria Math"/>
                  </w:rPr>
                  <m:t>-</m:t>
                </m:r>
                <m:r>
                  <m:rPr>
                    <m:sty m:val="p"/>
                  </m:rPr>
                  <w:rPr>
                    <w:rFonts w:ascii="Cambria Math" w:hAnsi="Cambria Math"/>
                  </w:rPr>
                  <m:t>ΔZPE</m:t>
                </m:r>
              </m:num>
              <m:den>
                <m:r>
                  <w:rPr>
                    <w:rFonts w:ascii="Cambria Math" w:hAnsi="Cambria Math"/>
                  </w:rPr>
                  <m:t>kT</m:t>
                </m:r>
              </m:den>
            </m:f>
          </m:sup>
        </m:sSup>
      </m:oMath>
      <w:r w:rsidRPr="00287AF0">
        <w:t>.</w:t>
      </w:r>
    </w:p>
    <w:p w14:paraId="6354658B" w14:textId="51DC22B7" w:rsidR="00287AF0" w:rsidRPr="00287AF0" w:rsidRDefault="00287AF0" w:rsidP="00287AF0">
      <w:r w:rsidRPr="00287AF0">
        <w:t>At this point it becomes clear that the two terms in Equation (32) for </w:t>
      </w:r>
      <m:oMath>
        <m:sSub>
          <m:sSubPr>
            <m:ctrlPr>
              <w:rPr>
                <w:rFonts w:ascii="Cambria Math" w:hAnsi="Cambria Math"/>
              </w:rPr>
            </m:ctrlPr>
          </m:sSubPr>
          <m:e>
            <m:r>
              <w:rPr>
                <w:rFonts w:ascii="Cambria Math" w:hAnsi="Cambria Math"/>
              </w:rPr>
              <m:t>R</m:t>
            </m:r>
          </m:e>
          <m:sub>
            <m:r>
              <m:rPr>
                <m:sty m:val="p"/>
              </m:rPr>
              <w:rPr>
                <w:rFonts w:ascii="Cambria Math" w:hAnsi="Cambria Math"/>
              </w:rPr>
              <m:t>sym</m:t>
            </m:r>
          </m:sub>
        </m:sSub>
      </m:oMath>
      <w:r w:rsidRPr="00287AF0">
        <w:t> correspond to </w:t>
      </w:r>
      <m:oMath>
        <m:sSub>
          <m:sSubPr>
            <m:ctrlPr>
              <w:rPr>
                <w:rFonts w:ascii="Cambria Math" w:hAnsi="Cambria Math"/>
              </w:rPr>
            </m:ctrlPr>
          </m:sSubPr>
          <m:e>
            <m:r>
              <w:rPr>
                <w:rFonts w:ascii="Cambria Math" w:hAnsi="Cambria Math"/>
              </w:rPr>
              <m:t>R</m:t>
            </m:r>
          </m:e>
          <m:sub>
            <m:r>
              <m:rPr>
                <m:sty m:val="p"/>
              </m:rPr>
              <w:rPr>
                <w:rFonts w:ascii="Cambria Math" w:hAnsi="Cambria Math"/>
              </w:rPr>
              <m:t>S</m:t>
            </m:r>
          </m:sub>
        </m:sSub>
      </m:oMath>
      <w:r w:rsidRPr="00287AF0">
        <w:t> and </w:t>
      </w:r>
      <m:oMath>
        <m:sSub>
          <m:sSubPr>
            <m:ctrlPr>
              <w:rPr>
                <w:rFonts w:ascii="Cambria Math" w:hAnsi="Cambria Math"/>
              </w:rPr>
            </m:ctrlPr>
          </m:sSubPr>
          <m:e>
            <m:r>
              <w:rPr>
                <w:rFonts w:ascii="Cambria Math" w:hAnsi="Cambria Math"/>
              </w:rPr>
              <m:t>R</m:t>
            </m:r>
          </m:e>
          <m:sub>
            <m:r>
              <m:rPr>
                <m:sty m:val="p"/>
              </m:rPr>
              <w:rPr>
                <w:rFonts w:ascii="Cambria Math" w:hAnsi="Cambria Math"/>
              </w:rPr>
              <m:t>I</m:t>
            </m:r>
          </m:sub>
        </m:sSub>
      </m:oMath>
      <w:r w:rsidRPr="00287AF0">
        <w:t> whereas the two terms in Equation (33) for </w:t>
      </w:r>
      <m:oMath>
        <m:sSub>
          <m:sSubPr>
            <m:ctrlPr>
              <w:rPr>
                <w:rFonts w:ascii="Cambria Math" w:hAnsi="Cambria Math"/>
              </w:rPr>
            </m:ctrlPr>
          </m:sSubPr>
          <m:e>
            <m:r>
              <w:rPr>
                <w:rFonts w:ascii="Cambria Math" w:hAnsi="Cambria Math"/>
              </w:rPr>
              <m:t>R</m:t>
            </m:r>
          </m:e>
          <m:sub>
            <m:r>
              <m:rPr>
                <m:sty m:val="p"/>
              </m:rPr>
              <w:rPr>
                <w:rFonts w:ascii="Cambria Math" w:hAnsi="Cambria Math"/>
              </w:rPr>
              <m:t>asym</m:t>
            </m:r>
          </m:sub>
        </m:sSub>
      </m:oMath>
      <w:r w:rsidRPr="00287AF0">
        <w:t> correspond to </w:t>
      </w:r>
      <m:oMath>
        <m:sSub>
          <m:sSubPr>
            <m:ctrlPr>
              <w:rPr>
                <w:rFonts w:ascii="Cambria Math" w:hAnsi="Cambria Math"/>
              </w:rPr>
            </m:ctrlPr>
          </m:sSubPr>
          <m:e>
            <m:r>
              <w:rPr>
                <w:rFonts w:ascii="Cambria Math" w:hAnsi="Cambria Math"/>
              </w:rPr>
              <m:t>R</m:t>
            </m:r>
          </m:e>
          <m:sub>
            <m:r>
              <w:rPr>
                <w:rFonts w:ascii="Cambria Math" w:hAnsi="Cambria Math"/>
              </w:rPr>
              <m:t>A</m:t>
            </m:r>
          </m:sub>
        </m:sSub>
      </m:oMath>
      <w:r w:rsidRPr="00287AF0">
        <w:t> and </w:t>
      </w:r>
      <m:oMath>
        <m:sSub>
          <m:sSubPr>
            <m:ctrlPr>
              <w:rPr>
                <w:rFonts w:ascii="Cambria Math" w:hAnsi="Cambria Math"/>
              </w:rPr>
            </m:ctrlPr>
          </m:sSubPr>
          <m:e>
            <m:r>
              <w:rPr>
                <w:rFonts w:ascii="Cambria Math" w:hAnsi="Cambria Math"/>
              </w:rPr>
              <m:t>R</m:t>
            </m:r>
          </m:e>
          <m:sub>
            <m:r>
              <w:rPr>
                <w:rFonts w:ascii="Cambria Math" w:hAnsi="Cambria Math"/>
              </w:rPr>
              <m:t>B</m:t>
            </m:r>
          </m:sub>
        </m:sSub>
      </m:oMath>
      <w:r w:rsidRPr="00287AF0">
        <w:t>:</w:t>
      </w:r>
    </w:p>
    <w:p w14:paraId="79B9BDEA" w14:textId="000A6E88" w:rsidR="001A1C43" w:rsidRPr="00287AF0" w:rsidRDefault="00907837" w:rsidP="00287AF0">
      <m:oMathPara>
        <m:oMath>
          <m:sSub>
            <m:sSubPr>
              <m:ctrlPr>
                <w:rPr>
                  <w:rFonts w:ascii="Cambria Math" w:hAnsi="Cambria Math"/>
                </w:rPr>
              </m:ctrlPr>
            </m:sSubPr>
            <m:e>
              <m:r>
                <w:rPr>
                  <w:rFonts w:ascii="Cambria Math" w:hAnsi="Cambria Math"/>
                </w:rPr>
                <m:t>R</m:t>
              </m:r>
            </m:e>
            <m:sub>
              <m:r>
                <m:rPr>
                  <m:sty m:val="p"/>
                </m:rPr>
                <w:rPr>
                  <w:rFonts w:ascii="Cambria Math" w:hAnsi="Cambria Math"/>
                </w:rPr>
                <m:t>sym</m:t>
              </m:r>
            </m:sub>
          </m:sSub>
          <m:r>
            <w:rPr>
              <w:rFonts w:ascii="Cambria Math" w:hAnsi="Cambria Math"/>
            </w:rPr>
            <m:t>=</m:t>
          </m:r>
          <m:sSub>
            <m:sSubPr>
              <m:ctrlPr>
                <w:rPr>
                  <w:rFonts w:ascii="Cambria Math" w:hAnsi="Cambria Math"/>
                </w:rPr>
              </m:ctrlPr>
            </m:sSubPr>
            <m:e>
              <m:r>
                <w:rPr>
                  <w:rFonts w:ascii="Cambria Math" w:hAnsi="Cambria Math"/>
                </w:rPr>
                <m:t>R</m:t>
              </m:r>
            </m:e>
            <m:sub>
              <m:r>
                <m:rPr>
                  <m:sty m:val="p"/>
                </m:rPr>
                <w:rPr>
                  <w:rFonts w:ascii="Cambria Math" w:hAnsi="Cambria Math"/>
                </w:rPr>
                <m:t>S</m:t>
              </m:r>
            </m:sub>
          </m:sSub>
          <m:r>
            <w:rPr>
              <w:rFonts w:ascii="Cambria Math" w:hAnsi="Cambria Math"/>
            </w:rPr>
            <m:t>+</m:t>
          </m:r>
          <m:sSub>
            <m:sSubPr>
              <m:ctrlPr>
                <w:rPr>
                  <w:rFonts w:ascii="Cambria Math" w:hAnsi="Cambria Math"/>
                </w:rPr>
              </m:ctrlPr>
            </m:sSubPr>
            <m:e>
              <m:r>
                <w:rPr>
                  <w:rFonts w:ascii="Cambria Math" w:hAnsi="Cambria Math"/>
                </w:rPr>
                <m:t>R</m:t>
              </m:r>
            </m:e>
            <m:sub>
              <m:r>
                <m:rPr>
                  <m:sty m:val="p"/>
                </m:rPr>
                <w:rPr>
                  <w:rFonts w:ascii="Cambria Math" w:hAnsi="Cambria Math"/>
                </w:rPr>
                <m:t>I</m:t>
              </m:r>
            </m:sub>
          </m:sSub>
        </m:oMath>
      </m:oMathPara>
    </w:p>
    <w:p w14:paraId="1E31CA14" w14:textId="77777777" w:rsidR="00287AF0" w:rsidRPr="00287AF0" w:rsidRDefault="00287AF0" w:rsidP="00287AF0">
      <w:r w:rsidRPr="00287AF0">
        <w:t>(34)</w:t>
      </w:r>
    </w:p>
    <w:p w14:paraId="52CBCE3F" w14:textId="6535E568" w:rsidR="001A1C43" w:rsidRPr="00287AF0" w:rsidRDefault="00DA63CA" w:rsidP="00287AF0">
      <m:oMathPara>
        <m:oMath>
          <m:sSub>
            <m:sSubPr>
              <m:ctrlPr>
                <w:rPr>
                  <w:rFonts w:ascii="Cambria Math" w:hAnsi="Cambria Math"/>
                </w:rPr>
              </m:ctrlPr>
            </m:sSubPr>
            <m:e>
              <m:r>
                <w:rPr>
                  <w:rFonts w:ascii="Cambria Math" w:hAnsi="Cambria Math"/>
                </w:rPr>
                <m:t>R</m:t>
              </m:r>
            </m:e>
            <m:sub>
              <m:r>
                <m:rPr>
                  <m:sty m:val="p"/>
                </m:rPr>
                <w:rPr>
                  <w:rFonts w:ascii="Cambria Math" w:hAnsi="Cambria Math"/>
                </w:rPr>
                <m:t>asym</m:t>
              </m:r>
            </m:sub>
          </m:sSub>
          <m:r>
            <w:rPr>
              <w:rFonts w:ascii="Cambria Math" w:hAnsi="Cambria Math"/>
            </w:rPr>
            <m:t>=</m:t>
          </m:r>
          <m:sSub>
            <m:sSubPr>
              <m:ctrlPr>
                <w:rPr>
                  <w:rFonts w:ascii="Cambria Math" w:hAnsi="Cambria Math"/>
                </w:rPr>
              </m:ctrlPr>
            </m:sSubPr>
            <m:e>
              <m:r>
                <w:rPr>
                  <w:rFonts w:ascii="Cambria Math" w:hAnsi="Cambria Math"/>
                </w:rPr>
                <m:t>R</m:t>
              </m:r>
            </m:e>
            <m:sub>
              <m:r>
                <m:rPr>
                  <m:sty m:val="p"/>
                </m:rPr>
                <w:rPr>
                  <w:rFonts w:ascii="Cambria Math" w:hAnsi="Cambria Math"/>
                </w:rPr>
                <m:t>A</m:t>
              </m:r>
            </m:sub>
          </m:sSub>
          <m:r>
            <w:rPr>
              <w:rFonts w:ascii="Cambria Math" w:hAnsi="Cambria Math"/>
            </w:rPr>
            <m:t>+</m:t>
          </m:r>
          <m:sSub>
            <m:sSubPr>
              <m:ctrlPr>
                <w:rPr>
                  <w:rFonts w:ascii="Cambria Math" w:hAnsi="Cambria Math"/>
                </w:rPr>
              </m:ctrlPr>
            </m:sSubPr>
            <m:e>
              <m:r>
                <w:rPr>
                  <w:rFonts w:ascii="Cambria Math" w:hAnsi="Cambria Math"/>
                </w:rPr>
                <m:t>R</m:t>
              </m:r>
            </m:e>
            <m:sub>
              <m:r>
                <m:rPr>
                  <m:sty m:val="p"/>
                </m:rPr>
                <w:rPr>
                  <w:rFonts w:ascii="Cambria Math" w:hAnsi="Cambria Math"/>
                </w:rPr>
                <m:t>B</m:t>
              </m:r>
            </m:sub>
          </m:sSub>
        </m:oMath>
      </m:oMathPara>
    </w:p>
    <w:p w14:paraId="7459CDF9" w14:textId="77777777" w:rsidR="00287AF0" w:rsidRPr="00287AF0" w:rsidRDefault="00287AF0" w:rsidP="00287AF0">
      <w:r w:rsidRPr="00287AF0">
        <w:t>(35)</w:t>
      </w:r>
    </w:p>
    <w:p w14:paraId="343FC278" w14:textId="4568D4B6" w:rsidR="00287AF0" w:rsidRPr="00287AF0" w:rsidRDefault="00287AF0" w:rsidP="00287AF0">
      <w:r w:rsidRPr="00287AF0">
        <w:t>This is because </w:t>
      </w:r>
      <m:oMath>
        <m:sSub>
          <m:sSubPr>
            <m:ctrlPr>
              <w:rPr>
                <w:rFonts w:ascii="Cambria Math" w:hAnsi="Cambria Math"/>
              </w:rPr>
            </m:ctrlPr>
          </m:sSubPr>
          <m:e>
            <m:r>
              <w:rPr>
                <w:rFonts w:ascii="Cambria Math" w:hAnsi="Cambria Math"/>
              </w:rPr>
              <m:t>R</m:t>
            </m:r>
          </m:e>
          <m:sub>
            <m:r>
              <m:rPr>
                <m:sty m:val="p"/>
              </m:rPr>
              <w:rPr>
                <w:rFonts w:ascii="Cambria Math" w:hAnsi="Cambria Math"/>
              </w:rPr>
              <m:t>S</m:t>
            </m:r>
          </m:sub>
        </m:sSub>
      </m:oMath>
      <w:r w:rsidRPr="00287AF0">
        <w:t> and </w:t>
      </w:r>
      <m:oMath>
        <m:sSub>
          <m:sSubPr>
            <m:ctrlPr>
              <w:rPr>
                <w:rFonts w:ascii="Cambria Math" w:hAnsi="Cambria Math"/>
              </w:rPr>
            </m:ctrlPr>
          </m:sSubPr>
          <m:e>
            <m:r>
              <w:rPr>
                <w:rFonts w:ascii="Cambria Math" w:hAnsi="Cambria Math"/>
              </w:rPr>
              <m:t>R</m:t>
            </m:r>
          </m:e>
          <m:sub>
            <m:r>
              <m:rPr>
                <m:sty m:val="p"/>
              </m:rPr>
              <w:rPr>
                <w:rFonts w:ascii="Cambria Math" w:hAnsi="Cambria Math"/>
              </w:rPr>
              <m:t>A</m:t>
            </m:r>
          </m:sub>
        </m:sSub>
      </m:oMath>
      <w:r w:rsidRPr="00287AF0">
        <w:t> correspond to the reagents in Channel 2, whereas </w:t>
      </w:r>
      <m:oMath>
        <m:sSub>
          <m:sSubPr>
            <m:ctrlPr>
              <w:rPr>
                <w:rFonts w:ascii="Cambria Math" w:hAnsi="Cambria Math"/>
              </w:rPr>
            </m:ctrlPr>
          </m:sSubPr>
          <m:e>
            <m:r>
              <w:rPr>
                <w:rFonts w:ascii="Cambria Math" w:hAnsi="Cambria Math"/>
              </w:rPr>
              <m:t>R</m:t>
            </m:r>
          </m:e>
          <m:sub>
            <m:r>
              <m:rPr>
                <m:sty m:val="p"/>
              </m:rPr>
              <w:rPr>
                <w:rFonts w:ascii="Cambria Math" w:hAnsi="Cambria Math"/>
              </w:rPr>
              <m:t>I</m:t>
            </m:r>
          </m:sub>
        </m:sSub>
      </m:oMath>
      <w:r w:rsidRPr="00287AF0">
        <w:t> and </w:t>
      </w:r>
      <m:oMath>
        <m:sSub>
          <m:sSubPr>
            <m:ctrlPr>
              <w:rPr>
                <w:rFonts w:ascii="Cambria Math" w:hAnsi="Cambria Math"/>
              </w:rPr>
            </m:ctrlPr>
          </m:sSubPr>
          <m:e>
            <m:r>
              <w:rPr>
                <w:rFonts w:ascii="Cambria Math" w:hAnsi="Cambria Math"/>
              </w:rPr>
              <m:t>R</m:t>
            </m:r>
          </m:e>
          <m:sub>
            <m:r>
              <m:rPr>
                <m:sty m:val="p"/>
              </m:rPr>
              <w:rPr>
                <w:rFonts w:ascii="Cambria Math" w:hAnsi="Cambria Math"/>
              </w:rPr>
              <m:t>B</m:t>
            </m:r>
          </m:sub>
        </m:sSub>
      </m:oMath>
      <w:r w:rsidRPr="00287AF0">
        <w:t> correspond to the reagents in Channel 1. Therefore, the rates of recombination through four pathways are introduced as:</w:t>
      </w:r>
    </w:p>
    <w:p w14:paraId="7AC73B7A" w14:textId="619BF721" w:rsidR="00B52D3A" w:rsidRPr="00287AF0" w:rsidRDefault="006959B1" w:rsidP="00287AF0">
      <m:oMathPara>
        <m:oMath>
          <m:sSub>
            <m:sSubPr>
              <m:ctrlPr>
                <w:rPr>
                  <w:rFonts w:ascii="Cambria Math" w:hAnsi="Cambria Math"/>
                </w:rPr>
              </m:ctrlPr>
            </m:sSubPr>
            <m:e>
              <m:r>
                <w:rPr>
                  <w:rFonts w:ascii="Cambria Math" w:hAnsi="Cambria Math"/>
                </w:rPr>
                <m:t>R</m:t>
              </m:r>
            </m:e>
            <m:sub>
              <m:r>
                <m:rPr>
                  <m:sty m:val="p"/>
                </m:rPr>
                <w:rPr>
                  <w:rFonts w:ascii="Cambria Math" w:hAnsi="Cambria Math"/>
                </w:rPr>
                <m:t>A</m:t>
              </m:r>
            </m:sub>
          </m:sSub>
          <m:r>
            <w:rPr>
              <w:rFonts w:ascii="Cambria Math" w:hAnsi="Cambria Math"/>
            </w:rPr>
            <m:t>≡</m:t>
          </m:r>
          <m:sSub>
            <m:sSubPr>
              <m:ctrlPr>
                <w:rPr>
                  <w:rFonts w:ascii="Cambria Math" w:hAnsi="Cambria Math"/>
                </w:rPr>
              </m:ctrlPr>
            </m:sSubPr>
            <m:e>
              <m:r>
                <w:rPr>
                  <w:rFonts w:ascii="Cambria Math" w:hAnsi="Cambria Math"/>
                </w:rPr>
                <m:t>κ</m:t>
              </m:r>
            </m:e>
            <m:sub>
              <m:r>
                <m:rPr>
                  <m:sty m:val="p"/>
                </m:rPr>
                <w:rPr>
                  <w:rFonts w:ascii="Cambria Math" w:hAnsi="Cambria Math"/>
                </w:rPr>
                <m:t>A</m:t>
              </m:r>
            </m:sub>
          </m:sSub>
          <m:d>
            <m:dPr>
              <m:begChr m:val="["/>
              <m:endChr m:val="]"/>
              <m:ctrlPr>
                <w:rPr>
                  <w:rFonts w:ascii="Cambria Math" w:hAnsi="Cambria Math"/>
                  <w:i/>
                </w:rPr>
              </m:ctrlPr>
            </m:dPr>
            <m:e>
              <m:r>
                <m:rPr>
                  <m:sty m:val="p"/>
                </m:rPr>
                <w:rPr>
                  <w:rFonts w:ascii="Cambria Math" w:hAnsi="Cambria Math"/>
                </w:rPr>
                <m:t>M</m:t>
              </m:r>
            </m:e>
          </m:d>
          <m:d>
            <m:dPr>
              <m:begChr m:val="["/>
              <m:endChr m:val="]"/>
              <m:ctrlPr>
                <w:rPr>
                  <w:rFonts w:ascii="Cambria Math" w:hAnsi="Cambria Math"/>
                  <w:i/>
                </w:rPr>
              </m:ctrlPr>
            </m:dPr>
            <m:e>
              <m:r>
                <w:rPr>
                  <w:rFonts w:ascii="Cambria Math" w:hAnsi="Cambria Math"/>
                </w:rPr>
                <m:t>68</m:t>
              </m:r>
            </m:e>
          </m:d>
          <m:d>
            <m:dPr>
              <m:begChr m:val="["/>
              <m:endChr m:val="]"/>
              <m:ctrlPr>
                <w:rPr>
                  <w:rFonts w:ascii="Cambria Math" w:hAnsi="Cambria Math"/>
                  <w:i/>
                </w:rPr>
              </m:ctrlPr>
            </m:dPr>
            <m:e>
              <m:r>
                <w:rPr>
                  <w:rFonts w:ascii="Cambria Math" w:hAnsi="Cambria Math"/>
                </w:rPr>
                <m:t>6</m:t>
              </m:r>
            </m:e>
          </m:d>
        </m:oMath>
      </m:oMathPara>
    </w:p>
    <w:p w14:paraId="5B7DD1EE" w14:textId="77777777" w:rsidR="00287AF0" w:rsidRPr="00287AF0" w:rsidRDefault="00287AF0" w:rsidP="00287AF0">
      <w:r w:rsidRPr="00287AF0">
        <w:t>(36)</w:t>
      </w:r>
    </w:p>
    <w:p w14:paraId="1CA5FBF1" w14:textId="30986362" w:rsidR="00B52D3A" w:rsidRPr="00287AF0" w:rsidRDefault="006959B1" w:rsidP="00287AF0">
      <m:oMathPara>
        <m:oMath>
          <m:sSub>
            <m:sSubPr>
              <m:ctrlPr>
                <w:rPr>
                  <w:rFonts w:ascii="Cambria Math" w:hAnsi="Cambria Math"/>
                </w:rPr>
              </m:ctrlPr>
            </m:sSubPr>
            <m:e>
              <m:r>
                <w:rPr>
                  <w:rFonts w:ascii="Cambria Math" w:hAnsi="Cambria Math"/>
                </w:rPr>
                <m:t>R</m:t>
              </m:r>
            </m:e>
            <m:sub>
              <m:r>
                <m:rPr>
                  <m:sty m:val="p"/>
                </m:rPr>
                <w:rPr>
                  <w:rFonts w:ascii="Cambria Math" w:hAnsi="Cambria Math"/>
                </w:rPr>
                <m:t>B</m:t>
              </m:r>
            </m:sub>
          </m:sSub>
          <m:r>
            <w:rPr>
              <w:rFonts w:ascii="Cambria Math" w:hAnsi="Cambria Math"/>
            </w:rPr>
            <m:t>≡</m:t>
          </m:r>
          <m:sSub>
            <m:sSubPr>
              <m:ctrlPr>
                <w:rPr>
                  <w:rFonts w:ascii="Cambria Math" w:hAnsi="Cambria Math"/>
                </w:rPr>
              </m:ctrlPr>
            </m:sSubPr>
            <m:e>
              <m:r>
                <w:rPr>
                  <w:rFonts w:ascii="Cambria Math" w:hAnsi="Cambria Math"/>
                </w:rPr>
                <m:t>κ</m:t>
              </m:r>
            </m:e>
            <m:sub>
              <m:r>
                <m:rPr>
                  <m:sty m:val="p"/>
                </m:rPr>
                <w:rPr>
                  <w:rFonts w:ascii="Cambria Math" w:hAnsi="Cambria Math"/>
                </w:rPr>
                <m:t>B</m:t>
              </m:r>
            </m:sub>
          </m:sSub>
          <m:d>
            <m:dPr>
              <m:begChr m:val="["/>
              <m:endChr m:val="]"/>
              <m:ctrlPr>
                <w:rPr>
                  <w:rFonts w:ascii="Cambria Math" w:hAnsi="Cambria Math"/>
                  <w:i/>
                </w:rPr>
              </m:ctrlPr>
            </m:dPr>
            <m:e>
              <m:r>
                <m:rPr>
                  <m:sty m:val="p"/>
                </m:rPr>
                <w:rPr>
                  <w:rFonts w:ascii="Cambria Math" w:hAnsi="Cambria Math"/>
                </w:rPr>
                <m:t>M</m:t>
              </m:r>
            </m:e>
          </m:d>
          <m:d>
            <m:dPr>
              <m:begChr m:val="["/>
              <m:endChr m:val="]"/>
              <m:ctrlPr>
                <w:rPr>
                  <w:rFonts w:ascii="Cambria Math" w:hAnsi="Cambria Math"/>
                  <w:i/>
                </w:rPr>
              </m:ctrlPr>
            </m:dPr>
            <m:e>
              <m:r>
                <w:rPr>
                  <w:rFonts w:ascii="Cambria Math" w:hAnsi="Cambria Math"/>
                </w:rPr>
                <m:t>66</m:t>
              </m:r>
            </m:e>
          </m:d>
          <m:d>
            <m:dPr>
              <m:begChr m:val="["/>
              <m:endChr m:val="]"/>
              <m:ctrlPr>
                <w:rPr>
                  <w:rFonts w:ascii="Cambria Math" w:hAnsi="Cambria Math"/>
                  <w:i/>
                </w:rPr>
              </m:ctrlPr>
            </m:dPr>
            <m:e>
              <m:r>
                <w:rPr>
                  <w:rFonts w:ascii="Cambria Math" w:hAnsi="Cambria Math"/>
                </w:rPr>
                <m:t>8</m:t>
              </m:r>
            </m:e>
          </m:d>
        </m:oMath>
      </m:oMathPara>
    </w:p>
    <w:p w14:paraId="5B267D73" w14:textId="77777777" w:rsidR="00287AF0" w:rsidRPr="00287AF0" w:rsidRDefault="00287AF0" w:rsidP="00287AF0">
      <w:r w:rsidRPr="00287AF0">
        <w:t>(37)</w:t>
      </w:r>
    </w:p>
    <w:p w14:paraId="0CA6CDB9" w14:textId="289C45F0" w:rsidR="00B52D3A" w:rsidRPr="00287AF0" w:rsidRDefault="006959B1" w:rsidP="00287AF0">
      <m:oMathPara>
        <m:oMath>
          <m:sSub>
            <m:sSubPr>
              <m:ctrlPr>
                <w:rPr>
                  <w:rFonts w:ascii="Cambria Math" w:hAnsi="Cambria Math"/>
                </w:rPr>
              </m:ctrlPr>
            </m:sSubPr>
            <m:e>
              <m:r>
                <w:rPr>
                  <w:rFonts w:ascii="Cambria Math" w:hAnsi="Cambria Math"/>
                </w:rPr>
                <m:t>R</m:t>
              </m:r>
            </m:e>
            <m:sub>
              <m:r>
                <m:rPr>
                  <m:sty m:val="p"/>
                </m:rPr>
                <w:rPr>
                  <w:rFonts w:ascii="Cambria Math" w:hAnsi="Cambria Math"/>
                </w:rPr>
                <m:t>S</m:t>
              </m:r>
            </m:sub>
          </m:sSub>
          <m:r>
            <w:rPr>
              <w:rFonts w:ascii="Cambria Math" w:hAnsi="Cambria Math"/>
            </w:rPr>
            <m:t xml:space="preserve">≡ </m:t>
          </m:r>
          <m:sSub>
            <m:sSubPr>
              <m:ctrlPr>
                <w:rPr>
                  <w:rFonts w:ascii="Cambria Math" w:hAnsi="Cambria Math"/>
                </w:rPr>
              </m:ctrlPr>
            </m:sSubPr>
            <m:e>
              <m:r>
                <w:rPr>
                  <w:rFonts w:ascii="Cambria Math" w:hAnsi="Cambria Math"/>
                </w:rPr>
                <m:t>κ</m:t>
              </m:r>
            </m:e>
            <m:sub>
              <m:r>
                <m:rPr>
                  <m:sty m:val="p"/>
                </m:rPr>
                <w:rPr>
                  <w:rFonts w:ascii="Cambria Math" w:hAnsi="Cambria Math"/>
                </w:rPr>
                <m:t>S</m:t>
              </m:r>
            </m:sub>
          </m:sSub>
          <m:d>
            <m:dPr>
              <m:begChr m:val="["/>
              <m:endChr m:val="]"/>
              <m:ctrlPr>
                <w:rPr>
                  <w:rFonts w:ascii="Cambria Math" w:hAnsi="Cambria Math"/>
                  <w:i/>
                </w:rPr>
              </m:ctrlPr>
            </m:dPr>
            <m:e>
              <m:r>
                <m:rPr>
                  <m:sty m:val="p"/>
                </m:rPr>
                <w:rPr>
                  <w:rFonts w:ascii="Cambria Math" w:hAnsi="Cambria Math"/>
                </w:rPr>
                <m:t>M</m:t>
              </m:r>
            </m:e>
          </m:d>
          <m:d>
            <m:dPr>
              <m:begChr m:val="["/>
              <m:endChr m:val="]"/>
              <m:ctrlPr>
                <w:rPr>
                  <w:rFonts w:ascii="Cambria Math" w:hAnsi="Cambria Math"/>
                  <w:i/>
                </w:rPr>
              </m:ctrlPr>
            </m:dPr>
            <m:e>
              <m:r>
                <w:rPr>
                  <w:rFonts w:ascii="Cambria Math" w:hAnsi="Cambria Math"/>
                </w:rPr>
                <m:t>68</m:t>
              </m:r>
            </m:e>
          </m:d>
          <m:d>
            <m:dPr>
              <m:begChr m:val="["/>
              <m:endChr m:val="]"/>
              <m:ctrlPr>
                <w:rPr>
                  <w:rFonts w:ascii="Cambria Math" w:hAnsi="Cambria Math"/>
                  <w:i/>
                </w:rPr>
              </m:ctrlPr>
            </m:dPr>
            <m:e>
              <m:r>
                <w:rPr>
                  <w:rFonts w:ascii="Cambria Math" w:hAnsi="Cambria Math"/>
                </w:rPr>
                <m:t>6</m:t>
              </m:r>
            </m:e>
          </m:d>
        </m:oMath>
      </m:oMathPara>
    </w:p>
    <w:p w14:paraId="2B523DD4" w14:textId="77777777" w:rsidR="00287AF0" w:rsidRPr="00287AF0" w:rsidRDefault="00287AF0" w:rsidP="00287AF0">
      <w:r w:rsidRPr="00287AF0">
        <w:t>(38)</w:t>
      </w:r>
    </w:p>
    <w:p w14:paraId="24BEE795" w14:textId="475D48BE" w:rsidR="002314B8" w:rsidRPr="00287AF0" w:rsidRDefault="006959B1" w:rsidP="00287AF0">
      <m:oMathPara>
        <m:oMath>
          <m:sSub>
            <m:sSubPr>
              <m:ctrlPr>
                <w:rPr>
                  <w:rFonts w:ascii="Cambria Math" w:hAnsi="Cambria Math"/>
                </w:rPr>
              </m:ctrlPr>
            </m:sSubPr>
            <m:e>
              <m:r>
                <w:rPr>
                  <w:rFonts w:ascii="Cambria Math" w:hAnsi="Cambria Math"/>
                </w:rPr>
                <m:t>R</m:t>
              </m:r>
            </m:e>
            <m:sub>
              <m:r>
                <m:rPr>
                  <m:sty m:val="p"/>
                </m:rPr>
                <w:rPr>
                  <w:rFonts w:ascii="Cambria Math" w:hAnsi="Cambria Math"/>
                </w:rPr>
                <m:t>I</m:t>
              </m:r>
            </m:sub>
          </m:sSub>
          <m:r>
            <w:rPr>
              <w:rFonts w:ascii="Cambria Math" w:hAnsi="Cambria Math"/>
            </w:rPr>
            <m:t>≡</m:t>
          </m:r>
          <m:sSub>
            <m:sSubPr>
              <m:ctrlPr>
                <w:rPr>
                  <w:rFonts w:ascii="Cambria Math" w:hAnsi="Cambria Math"/>
                </w:rPr>
              </m:ctrlPr>
            </m:sSubPr>
            <m:e>
              <m:r>
                <w:rPr>
                  <w:rFonts w:ascii="Cambria Math" w:hAnsi="Cambria Math"/>
                </w:rPr>
                <m:t>κ</m:t>
              </m:r>
            </m:e>
            <m:sub>
              <m:r>
                <m:rPr>
                  <m:sty m:val="p"/>
                </m:rPr>
                <w:rPr>
                  <w:rFonts w:ascii="Cambria Math" w:hAnsi="Cambria Math"/>
                </w:rPr>
                <m:t>I</m:t>
              </m:r>
            </m:sub>
          </m:sSub>
          <m:d>
            <m:dPr>
              <m:begChr m:val="["/>
              <m:endChr m:val="]"/>
              <m:ctrlPr>
                <w:rPr>
                  <w:rFonts w:ascii="Cambria Math" w:hAnsi="Cambria Math"/>
                  <w:i/>
                </w:rPr>
              </m:ctrlPr>
            </m:dPr>
            <m:e>
              <m:r>
                <m:rPr>
                  <m:sty m:val="p"/>
                </m:rPr>
                <w:rPr>
                  <w:rFonts w:ascii="Cambria Math" w:hAnsi="Cambria Math"/>
                </w:rPr>
                <m:t>M</m:t>
              </m:r>
            </m:e>
          </m:d>
          <m:d>
            <m:dPr>
              <m:begChr m:val="["/>
              <m:endChr m:val="]"/>
              <m:ctrlPr>
                <w:rPr>
                  <w:rFonts w:ascii="Cambria Math" w:hAnsi="Cambria Math"/>
                  <w:i/>
                </w:rPr>
              </m:ctrlPr>
            </m:dPr>
            <m:e>
              <m:r>
                <w:rPr>
                  <w:rFonts w:ascii="Cambria Math" w:hAnsi="Cambria Math"/>
                </w:rPr>
                <m:t>66</m:t>
              </m:r>
            </m:e>
          </m:d>
          <m:d>
            <m:dPr>
              <m:begChr m:val="["/>
              <m:endChr m:val="]"/>
              <m:ctrlPr>
                <w:rPr>
                  <w:rFonts w:ascii="Cambria Math" w:hAnsi="Cambria Math"/>
                  <w:i/>
                </w:rPr>
              </m:ctrlPr>
            </m:dPr>
            <m:e>
              <m:r>
                <w:rPr>
                  <w:rFonts w:ascii="Cambria Math" w:hAnsi="Cambria Math"/>
                </w:rPr>
                <m:t>8</m:t>
              </m:r>
            </m:e>
          </m:d>
        </m:oMath>
      </m:oMathPara>
    </w:p>
    <w:p w14:paraId="574F6FC8" w14:textId="77777777" w:rsidR="00287AF0" w:rsidRPr="00287AF0" w:rsidRDefault="00287AF0" w:rsidP="00287AF0">
      <w:r w:rsidRPr="00287AF0">
        <w:t>(39)</w:t>
      </w:r>
    </w:p>
    <w:p w14:paraId="1D803023" w14:textId="73EE1A75" w:rsidR="00287AF0" w:rsidRPr="00287AF0" w:rsidRDefault="00287AF0" w:rsidP="00287AF0">
      <w:r w:rsidRPr="00287AF0">
        <w:t>However, based on Equations (32) and (33), the expressions for </w:t>
      </w:r>
      <m:oMath>
        <m:sSub>
          <m:sSubPr>
            <m:ctrlPr>
              <w:rPr>
                <w:rFonts w:ascii="Cambria Math" w:hAnsi="Cambria Math"/>
              </w:rPr>
            </m:ctrlPr>
          </m:sSubPr>
          <m:e>
            <m:r>
              <w:rPr>
                <w:rFonts w:ascii="Cambria Math" w:hAnsi="Cambria Math"/>
              </w:rPr>
              <m:t>κ</m:t>
            </m:r>
          </m:e>
          <m:sub>
            <m:r>
              <m:rPr>
                <m:sty m:val="p"/>
              </m:rPr>
              <w:rPr>
                <w:rFonts w:ascii="Cambria Math" w:hAnsi="Cambria Math"/>
              </w:rPr>
              <m:t>A</m:t>
            </m:r>
          </m:sub>
        </m:sSub>
      </m:oMath>
      <w:r w:rsidRPr="00287AF0">
        <w:rPr>
          <w:i/>
          <w:iCs/>
        </w:rPr>
        <w:t>,</w:t>
      </w:r>
      <w:r w:rsidRPr="00287AF0">
        <w:t> </w:t>
      </w:r>
      <m:oMath>
        <m:sSub>
          <m:sSubPr>
            <m:ctrlPr>
              <w:rPr>
                <w:rFonts w:ascii="Cambria Math" w:hAnsi="Cambria Math"/>
              </w:rPr>
            </m:ctrlPr>
          </m:sSubPr>
          <m:e>
            <m:r>
              <w:rPr>
                <w:rFonts w:ascii="Cambria Math" w:hAnsi="Cambria Math"/>
              </w:rPr>
              <m:t>κ</m:t>
            </m:r>
          </m:e>
          <m:sub>
            <m:r>
              <m:rPr>
                <m:sty m:val="p"/>
              </m:rPr>
              <w:rPr>
                <w:rFonts w:ascii="Cambria Math" w:hAnsi="Cambria Math"/>
              </w:rPr>
              <m:t>B</m:t>
            </m:r>
          </m:sub>
        </m:sSub>
      </m:oMath>
      <w:r w:rsidRPr="00287AF0">
        <w:rPr>
          <w:i/>
          <w:iCs/>
        </w:rPr>
        <w:t>,</w:t>
      </w:r>
      <w:r w:rsidRPr="00287AF0">
        <w:t> </w:t>
      </w:r>
      <m:oMath>
        <m:sSub>
          <m:sSubPr>
            <m:ctrlPr>
              <w:rPr>
                <w:rFonts w:ascii="Cambria Math" w:hAnsi="Cambria Math"/>
              </w:rPr>
            </m:ctrlPr>
          </m:sSubPr>
          <m:e>
            <m:r>
              <w:rPr>
                <w:rFonts w:ascii="Cambria Math" w:hAnsi="Cambria Math"/>
              </w:rPr>
              <m:t>κ</m:t>
            </m:r>
          </m:e>
          <m:sub>
            <m:r>
              <m:rPr>
                <m:sty m:val="p"/>
              </m:rPr>
              <w:rPr>
                <w:rFonts w:ascii="Cambria Math" w:hAnsi="Cambria Math"/>
              </w:rPr>
              <m:t>S</m:t>
            </m:r>
          </m:sub>
        </m:sSub>
      </m:oMath>
      <w:r w:rsidRPr="00287AF0">
        <w:t> and </w:t>
      </w:r>
      <m:oMath>
        <m:sSub>
          <m:sSubPr>
            <m:ctrlPr>
              <w:rPr>
                <w:rFonts w:ascii="Cambria Math" w:hAnsi="Cambria Math"/>
              </w:rPr>
            </m:ctrlPr>
          </m:sSubPr>
          <m:e>
            <m:r>
              <w:rPr>
                <w:rFonts w:ascii="Cambria Math" w:hAnsi="Cambria Math"/>
              </w:rPr>
              <m:t>κ</m:t>
            </m:r>
          </m:e>
          <m:sub>
            <m:r>
              <m:rPr>
                <m:sty m:val="p"/>
              </m:rPr>
              <w:rPr>
                <w:rFonts w:ascii="Cambria Math" w:hAnsi="Cambria Math"/>
              </w:rPr>
              <m:t>I</m:t>
            </m:r>
          </m:sub>
        </m:sSub>
      </m:oMath>
      <w:r w:rsidRPr="00287AF0">
        <w:t xml:space="preserve"> would come out bulky. </w:t>
      </w:r>
      <w:proofErr w:type="gramStart"/>
      <w:r w:rsidRPr="00287AF0">
        <w:t>In order to</w:t>
      </w:r>
      <w:proofErr w:type="gramEnd"/>
      <w:r w:rsidRPr="00287AF0">
        <w:t xml:space="preserve"> make them more intuitive, we will introduce into the formalism several handy moieties.</w:t>
      </w:r>
    </w:p>
    <w:p w14:paraId="59C37871" w14:textId="77777777" w:rsidR="00287AF0" w:rsidRPr="00041388" w:rsidRDefault="00287AF0" w:rsidP="00041388">
      <w:pPr>
        <w:pStyle w:val="Heading3"/>
        <w:rPr>
          <w:i/>
          <w:iCs/>
        </w:rPr>
      </w:pPr>
      <w:r w:rsidRPr="00041388">
        <w:rPr>
          <w:i/>
          <w:iCs/>
        </w:rPr>
        <w:t>2.2. Kinetic Weight of a Resonance and the Dynamical Partition Function</w:t>
      </w:r>
    </w:p>
    <w:p w14:paraId="3AF07D10" w14:textId="77777777" w:rsidR="00287AF0" w:rsidRPr="00287AF0" w:rsidRDefault="00287AF0" w:rsidP="00287AF0">
      <w:r w:rsidRPr="00287AF0">
        <w:t xml:space="preserve">The values of ratios in Equations (32) and (33) depend on the relative efficiencies of resonance formation, </w:t>
      </w:r>
      <w:proofErr w:type="gramStart"/>
      <w:r w:rsidRPr="00287AF0">
        <w:t>decay</w:t>
      </w:r>
      <w:proofErr w:type="gramEnd"/>
      <w:r w:rsidRPr="00287AF0">
        <w:t xml:space="preserve"> and stabilization. It is convenient to name this moiety the kinetic weight of a resonance, or simply the </w:t>
      </w:r>
      <w:r w:rsidRPr="00287AF0">
        <w:rPr>
          <w:i/>
          <w:iCs/>
        </w:rPr>
        <w:t>weight</w:t>
      </w:r>
      <w:r w:rsidRPr="00287AF0">
        <w:t>. If there would be only one channel of resonance formation/decay, the expression for the weight would be:</w:t>
      </w:r>
    </w:p>
    <w:p w14:paraId="0704272A" w14:textId="3AD8902D" w:rsidR="00041388" w:rsidRPr="00287AF0" w:rsidRDefault="00D32D1A" w:rsidP="00287AF0">
      <m:oMathPara>
        <m:oMath>
          <m:sSub>
            <m:sSubPr>
              <m:ctrlPr>
                <w:rPr>
                  <w:rFonts w:ascii="Cambria Math" w:hAnsi="Cambria Math"/>
                </w:rPr>
              </m:ctrlPr>
            </m:sSubPr>
            <m:e>
              <m:r>
                <w:rPr>
                  <w:rFonts w:ascii="Cambria Math" w:hAnsi="Cambria Math"/>
                </w:rPr>
                <m:t>w</m:t>
              </m:r>
            </m:e>
            <m:sub>
              <m:r>
                <w:rPr>
                  <w:rFonts w:ascii="Cambria Math" w:hAnsi="Cambria Math"/>
                </w:rPr>
                <m:t>i</m:t>
              </m:r>
            </m:sub>
          </m:sSub>
          <m:r>
            <w:rPr>
              <w:rFonts w:ascii="Cambria Math" w:hAnsi="Cambria Math"/>
            </w:rPr>
            <m:t>=</m:t>
          </m:r>
          <m:f>
            <m:fPr>
              <m:ctrlPr>
                <w:rPr>
                  <w:rFonts w:ascii="Cambria Math" w:hAnsi="Cambria Math"/>
                </w:rPr>
              </m:ctrlPr>
            </m:fPr>
            <m:num>
              <m:f>
                <m:fPr>
                  <m:ctrlPr>
                    <w:rPr>
                      <w:rFonts w:ascii="Cambria Math" w:hAnsi="Cambria Math"/>
                    </w:rPr>
                  </m:ctrlPr>
                </m:fPr>
                <m:num>
                  <m:sSub>
                    <m:sSubPr>
                      <m:ctrlPr>
                        <w:rPr>
                          <w:rFonts w:ascii="Cambria Math" w:hAnsi="Cambria Math"/>
                        </w:rPr>
                      </m:ctrlPr>
                    </m:sSubPr>
                    <m:e>
                      <m:r>
                        <m:rPr>
                          <m:sty m:val="p"/>
                        </m:rPr>
                        <w:rPr>
                          <w:rFonts w:ascii="Cambria Math" w:hAnsi="Cambria Math"/>
                        </w:rPr>
                        <m:t>Γ</m:t>
                      </m:r>
                    </m:e>
                    <m:sub>
                      <m:r>
                        <w:rPr>
                          <w:rFonts w:ascii="Cambria Math" w:hAnsi="Cambria Math"/>
                        </w:rPr>
                        <m:t>i</m:t>
                      </m:r>
                    </m:sub>
                  </m:sSub>
                </m:num>
                <m:den>
                  <m:r>
                    <w:rPr>
                      <w:rFonts w:ascii="Cambria Math" w:hAnsi="Cambria Math"/>
                    </w:rPr>
                    <m:t>ℏ</m:t>
                  </m:r>
                </m:den>
              </m:f>
            </m:num>
            <m:den>
              <m:f>
                <m:fPr>
                  <m:ctrlPr>
                    <w:rPr>
                      <w:rFonts w:ascii="Cambria Math" w:hAnsi="Cambria Math"/>
                    </w:rPr>
                  </m:ctrlPr>
                </m:fPr>
                <m:num>
                  <m:sSub>
                    <m:sSubPr>
                      <m:ctrlPr>
                        <w:rPr>
                          <w:rFonts w:ascii="Cambria Math" w:hAnsi="Cambria Math"/>
                        </w:rPr>
                      </m:ctrlPr>
                    </m:sSubPr>
                    <m:e>
                      <m:r>
                        <m:rPr>
                          <m:sty m:val="p"/>
                        </m:rPr>
                        <w:rPr>
                          <w:rFonts w:ascii="Cambria Math" w:hAnsi="Cambria Math"/>
                        </w:rPr>
                        <m:t>Γ</m:t>
                      </m:r>
                    </m:e>
                    <m:sub>
                      <m:r>
                        <w:rPr>
                          <w:rFonts w:ascii="Cambria Math" w:hAnsi="Cambria Math"/>
                        </w:rPr>
                        <m:t>i</m:t>
                      </m:r>
                    </m:sub>
                  </m:sSub>
                </m:num>
                <m:den>
                  <m:r>
                    <w:rPr>
                      <w:rFonts w:ascii="Cambria Math" w:hAnsi="Cambria Math"/>
                    </w:rPr>
                    <m:t>ℏ</m:t>
                  </m:r>
                </m:den>
              </m:f>
              <m:r>
                <w:rPr>
                  <w:rFonts w:ascii="Cambria Math" w:hAnsi="Cambria Math"/>
                </w:rPr>
                <m:t>+</m:t>
              </m:r>
              <m:sSubSup>
                <m:sSubSupPr>
                  <m:ctrlPr>
                    <w:rPr>
                      <w:rFonts w:ascii="Cambria Math" w:hAnsi="Cambria Math"/>
                    </w:rPr>
                  </m:ctrlPr>
                </m:sSubSupPr>
                <m:e>
                  <m:r>
                    <w:rPr>
                      <w:rFonts w:ascii="Cambria Math" w:hAnsi="Cambria Math"/>
                    </w:rPr>
                    <m:t>k</m:t>
                  </m:r>
                </m:e>
                <m:sub>
                  <m:r>
                    <w:rPr>
                      <w:rFonts w:ascii="Cambria Math" w:hAnsi="Cambria Math"/>
                    </w:rPr>
                    <m:t>i</m:t>
                  </m:r>
                </m:sub>
                <m:sup>
                  <m:r>
                    <m:rPr>
                      <m:sty m:val="p"/>
                    </m:rPr>
                    <w:rPr>
                      <w:rFonts w:ascii="Cambria Math" w:hAnsi="Cambria Math"/>
                    </w:rPr>
                    <m:t>stab</m:t>
                  </m:r>
                </m:sup>
              </m:sSubSup>
              <m:d>
                <m:dPr>
                  <m:begChr m:val="["/>
                  <m:endChr m:val="]"/>
                  <m:ctrlPr>
                    <w:rPr>
                      <w:rFonts w:ascii="Cambria Math" w:hAnsi="Cambria Math"/>
                      <w:i/>
                    </w:rPr>
                  </m:ctrlPr>
                </m:dPr>
                <m:e>
                  <m:r>
                    <m:rPr>
                      <m:sty m:val="p"/>
                    </m:rPr>
                    <w:rPr>
                      <w:rFonts w:ascii="Cambria Math" w:hAnsi="Cambria Math"/>
                    </w:rPr>
                    <m:t>M</m:t>
                  </m:r>
                </m:e>
              </m:d>
            </m:den>
          </m:f>
        </m:oMath>
      </m:oMathPara>
    </w:p>
    <w:p w14:paraId="49A07AC7" w14:textId="77777777" w:rsidR="00287AF0" w:rsidRPr="00287AF0" w:rsidRDefault="00287AF0" w:rsidP="00287AF0">
      <w:r w:rsidRPr="00287AF0">
        <w:t>(40)</w:t>
      </w:r>
    </w:p>
    <w:p w14:paraId="2C930C4C" w14:textId="62578EC1" w:rsidR="00287AF0" w:rsidRPr="00287AF0" w:rsidRDefault="00287AF0" w:rsidP="00287AF0">
      <w:r w:rsidRPr="00287AF0">
        <w:t>In the low-pressure limit, </w:t>
      </w:r>
      <m:oMath>
        <m:sSubSup>
          <m:sSubSupPr>
            <m:ctrlPr>
              <w:rPr>
                <w:rFonts w:ascii="Cambria Math" w:hAnsi="Cambria Math"/>
              </w:rPr>
            </m:ctrlPr>
          </m:sSubSupPr>
          <m:e>
            <m:r>
              <w:rPr>
                <w:rFonts w:ascii="Cambria Math" w:hAnsi="Cambria Math"/>
              </w:rPr>
              <m:t>k</m:t>
            </m:r>
          </m:e>
          <m:sub>
            <m:r>
              <w:rPr>
                <w:rFonts w:ascii="Cambria Math" w:hAnsi="Cambria Math"/>
              </w:rPr>
              <m:t>i</m:t>
            </m:r>
          </m:sub>
          <m:sup>
            <m:r>
              <m:rPr>
                <m:sty m:val="p"/>
              </m:rPr>
              <w:rPr>
                <w:rFonts w:ascii="Cambria Math" w:hAnsi="Cambria Math"/>
              </w:rPr>
              <m:t>stab</m:t>
            </m:r>
          </m:sup>
        </m:sSubSup>
        <m:d>
          <m:dPr>
            <m:begChr m:val="["/>
            <m:endChr m:val="]"/>
            <m:ctrlPr>
              <w:rPr>
                <w:rFonts w:ascii="Cambria Math" w:hAnsi="Cambria Math"/>
                <w:i/>
              </w:rPr>
            </m:ctrlPr>
          </m:dPr>
          <m:e>
            <m:r>
              <m:rPr>
                <m:sty m:val="p"/>
              </m:rPr>
              <w:rPr>
                <w:rFonts w:ascii="Cambria Math" w:hAnsi="Cambria Math"/>
              </w:rPr>
              <m:t>M</m:t>
            </m:r>
          </m:e>
        </m:d>
        <m:r>
          <w:rPr>
            <w:rFonts w:ascii="Cambria Math" w:hAnsi="Cambria Math"/>
          </w:rPr>
          <m:t>≪</m:t>
        </m:r>
        <m:f>
          <m:fPr>
            <m:ctrlPr>
              <w:rPr>
                <w:rFonts w:ascii="Cambria Math" w:hAnsi="Cambria Math"/>
                <w:i/>
              </w:rPr>
            </m:ctrlPr>
          </m:fPr>
          <m:num>
            <m:sSub>
              <m:sSubPr>
                <m:ctrlPr>
                  <w:rPr>
                    <w:rFonts w:ascii="Cambria Math" w:hAnsi="Cambria Math"/>
                  </w:rPr>
                </m:ctrlPr>
              </m:sSubPr>
              <m:e>
                <m:r>
                  <m:rPr>
                    <m:sty m:val="p"/>
                  </m:rPr>
                  <w:rPr>
                    <w:rFonts w:ascii="Cambria Math" w:hAnsi="Cambria Math"/>
                  </w:rPr>
                  <m:t>Γ</m:t>
                </m:r>
              </m:e>
              <m:sub>
                <m:r>
                  <w:rPr>
                    <w:rFonts w:ascii="Cambria Math" w:hAnsi="Cambria Math"/>
                  </w:rPr>
                  <m:t>i</m:t>
                </m:r>
              </m:sub>
            </m:sSub>
          </m:num>
          <m:den>
            <m:r>
              <w:rPr>
                <w:rFonts w:ascii="Cambria Math" w:hAnsi="Cambria Math"/>
              </w:rPr>
              <m:t>ℏ</m:t>
            </m:r>
          </m:den>
        </m:f>
      </m:oMath>
      <w:r w:rsidRPr="00287AF0">
        <w:t>, the weight reaches its maximum value, </w:t>
      </w:r>
      <m:oMath>
        <m:sSub>
          <m:sSubPr>
            <m:ctrlPr>
              <w:rPr>
                <w:rFonts w:ascii="Cambria Math" w:hAnsi="Cambria Math"/>
              </w:rPr>
            </m:ctrlPr>
          </m:sSubPr>
          <m:e>
            <m:r>
              <w:rPr>
                <w:rFonts w:ascii="Cambria Math" w:hAnsi="Cambria Math"/>
              </w:rPr>
              <m:t>w</m:t>
            </m:r>
          </m:e>
          <m:sub>
            <m:r>
              <w:rPr>
                <w:rFonts w:ascii="Cambria Math" w:hAnsi="Cambria Math"/>
              </w:rPr>
              <m:t>i</m:t>
            </m:r>
          </m:sub>
        </m:sSub>
        <m:r>
          <w:rPr>
            <w:rFonts w:ascii="Cambria Math" w:hAnsi="Cambria Math"/>
          </w:rPr>
          <m:t>→1</m:t>
        </m:r>
      </m:oMath>
      <w:r w:rsidRPr="00287AF0">
        <w:t>, and the role of a resonance in the recombination process is maximized. In contrast, in the high-pressure limit, </w:t>
      </w:r>
      <m:oMath>
        <m:sSubSup>
          <m:sSubSupPr>
            <m:ctrlPr>
              <w:rPr>
                <w:rFonts w:ascii="Cambria Math" w:hAnsi="Cambria Math"/>
              </w:rPr>
            </m:ctrlPr>
          </m:sSubSupPr>
          <m:e>
            <m:r>
              <w:rPr>
                <w:rFonts w:ascii="Cambria Math" w:hAnsi="Cambria Math"/>
              </w:rPr>
              <m:t>k</m:t>
            </m:r>
          </m:e>
          <m:sub>
            <m:r>
              <w:rPr>
                <w:rFonts w:ascii="Cambria Math" w:hAnsi="Cambria Math"/>
              </w:rPr>
              <m:t>i</m:t>
            </m:r>
          </m:sub>
          <m:sup>
            <m:r>
              <m:rPr>
                <m:sty m:val="p"/>
              </m:rPr>
              <w:rPr>
                <w:rFonts w:ascii="Cambria Math" w:hAnsi="Cambria Math"/>
              </w:rPr>
              <m:t>stab</m:t>
            </m:r>
          </m:sup>
        </m:sSubSup>
        <m:d>
          <m:dPr>
            <m:begChr m:val="["/>
            <m:endChr m:val="]"/>
            <m:ctrlPr>
              <w:rPr>
                <w:rFonts w:ascii="Cambria Math" w:hAnsi="Cambria Math"/>
                <w:i/>
              </w:rPr>
            </m:ctrlPr>
          </m:dPr>
          <m:e>
            <m:r>
              <m:rPr>
                <m:sty m:val="p"/>
              </m:rPr>
              <w:rPr>
                <w:rFonts w:ascii="Cambria Math" w:hAnsi="Cambria Math"/>
              </w:rPr>
              <m:t>M</m:t>
            </m:r>
          </m:e>
        </m:d>
        <m:r>
          <w:rPr>
            <w:rFonts w:ascii="Cambria Math" w:hAnsi="Cambria Math"/>
          </w:rPr>
          <m:t>≫</m:t>
        </m:r>
        <m:f>
          <m:fPr>
            <m:ctrlPr>
              <w:rPr>
                <w:rFonts w:ascii="Cambria Math" w:hAnsi="Cambria Math"/>
                <w:i/>
              </w:rPr>
            </m:ctrlPr>
          </m:fPr>
          <m:num>
            <m:sSub>
              <m:sSubPr>
                <m:ctrlPr>
                  <w:rPr>
                    <w:rFonts w:ascii="Cambria Math" w:hAnsi="Cambria Math"/>
                  </w:rPr>
                </m:ctrlPr>
              </m:sSubPr>
              <m:e>
                <m:r>
                  <m:rPr>
                    <m:sty m:val="p"/>
                  </m:rPr>
                  <w:rPr>
                    <w:rFonts w:ascii="Cambria Math" w:hAnsi="Cambria Math"/>
                  </w:rPr>
                  <m:t>Γ</m:t>
                </m:r>
              </m:e>
              <m:sub>
                <m:r>
                  <w:rPr>
                    <w:rFonts w:ascii="Cambria Math" w:hAnsi="Cambria Math"/>
                  </w:rPr>
                  <m:t>i</m:t>
                </m:r>
              </m:sub>
            </m:sSub>
          </m:num>
          <m:den>
            <m:r>
              <w:rPr>
                <w:rFonts w:ascii="Cambria Math" w:hAnsi="Cambria Math"/>
              </w:rPr>
              <m:t>ℏ</m:t>
            </m:r>
          </m:den>
        </m:f>
      </m:oMath>
      <w:r w:rsidRPr="00287AF0">
        <w:t>, the weight is </w:t>
      </w:r>
      <m:oMath>
        <m:sSub>
          <m:sSubPr>
            <m:ctrlPr>
              <w:rPr>
                <w:rFonts w:ascii="Cambria Math" w:hAnsi="Cambria Math"/>
              </w:rPr>
            </m:ctrlPr>
          </m:sSubPr>
          <m:e>
            <m:r>
              <w:rPr>
                <w:rFonts w:ascii="Cambria Math" w:hAnsi="Cambria Math"/>
              </w:rPr>
              <m:t>w</m:t>
            </m:r>
          </m:e>
          <m:sub>
            <m:r>
              <w:rPr>
                <w:rFonts w:ascii="Cambria Math" w:hAnsi="Cambria Math"/>
              </w:rPr>
              <m:t>i</m:t>
            </m:r>
          </m:sub>
        </m:sSub>
        <m:r>
          <w:rPr>
            <w:rFonts w:ascii="Cambria Math" w:hAnsi="Cambria Math"/>
          </w:rPr>
          <m:t>→</m:t>
        </m:r>
        <m:r>
          <w:rPr>
            <w:rFonts w:ascii="Cambria Math" w:hAnsi="Cambria Math"/>
          </w:rPr>
          <m:t>0</m:t>
        </m:r>
      </m:oMath>
      <w:r w:rsidRPr="00287AF0">
        <w:t>, and the contribution of a resonance may be small. At given finite pressure, different resonances have different weights, determi</w:t>
      </w:r>
      <w:proofErr w:type="spellStart"/>
      <w:r w:rsidRPr="00287AF0">
        <w:t>ned</w:t>
      </w:r>
      <w:proofErr w:type="spellEnd"/>
      <w:r w:rsidRPr="00287AF0">
        <w:t xml:space="preserve"> by their widths </w:t>
      </w:r>
      <m:oMath>
        <m:sSub>
          <m:sSubPr>
            <m:ctrlPr>
              <w:rPr>
                <w:rFonts w:ascii="Cambria Math" w:hAnsi="Cambria Math"/>
              </w:rPr>
            </m:ctrlPr>
          </m:sSubPr>
          <m:e>
            <m:r>
              <m:rPr>
                <m:sty m:val="p"/>
              </m:rPr>
              <w:rPr>
                <w:rFonts w:ascii="Cambria Math" w:hAnsi="Cambria Math"/>
              </w:rPr>
              <m:t>Γ</m:t>
            </m:r>
          </m:e>
          <m:sub>
            <m:r>
              <w:rPr>
                <w:rFonts w:ascii="Cambria Math" w:hAnsi="Cambria Math"/>
              </w:rPr>
              <m:t>i</m:t>
            </m:r>
          </m:sub>
        </m:sSub>
      </m:oMath>
      <w:r w:rsidRPr="00287AF0">
        <w:t>. Broader resonances have larger weights, while narrower resonances have lower weights. One can consider a limiting case of a bound state with zero width, </w:t>
      </w:r>
      <m:oMath>
        <m:sSub>
          <m:sSubPr>
            <m:ctrlPr>
              <w:rPr>
                <w:rFonts w:ascii="Cambria Math" w:hAnsi="Cambria Math"/>
              </w:rPr>
            </m:ctrlPr>
          </m:sSubPr>
          <m:e>
            <m:r>
              <m:rPr>
                <m:sty m:val="p"/>
              </m:rPr>
              <w:rPr>
                <w:rFonts w:ascii="Cambria Math" w:hAnsi="Cambria Math"/>
              </w:rPr>
              <m:t>Γ</m:t>
            </m:r>
          </m:e>
          <m:sub>
            <m:r>
              <w:rPr>
                <w:rFonts w:ascii="Cambria Math" w:hAnsi="Cambria Math"/>
              </w:rPr>
              <m:t>i</m:t>
            </m:r>
          </m:sub>
        </m:sSub>
        <m:r>
          <w:rPr>
            <w:rFonts w:ascii="Cambria Math" w:hAnsi="Cambria Math"/>
          </w:rPr>
          <m:t>=0</m:t>
        </m:r>
      </m:oMath>
      <w:r w:rsidRPr="00287AF0">
        <w:t>. Such states would have </w:t>
      </w:r>
      <m:oMath>
        <m:sSub>
          <m:sSubPr>
            <m:ctrlPr>
              <w:rPr>
                <w:rFonts w:ascii="Cambria Math" w:hAnsi="Cambria Math"/>
              </w:rPr>
            </m:ctrlPr>
          </m:sSubPr>
          <m:e>
            <m:r>
              <w:rPr>
                <w:rFonts w:ascii="Cambria Math" w:hAnsi="Cambria Math"/>
              </w:rPr>
              <m:t>w</m:t>
            </m:r>
          </m:e>
          <m:sub>
            <m:r>
              <w:rPr>
                <w:rFonts w:ascii="Cambria Math" w:hAnsi="Cambria Math"/>
              </w:rPr>
              <m:t>i</m:t>
            </m:r>
          </m:sub>
        </m:sSub>
        <m:r>
          <w:rPr>
            <w:rFonts w:ascii="Cambria Math" w:hAnsi="Cambria Math"/>
          </w:rPr>
          <m:t>=</m:t>
        </m:r>
        <m:r>
          <w:rPr>
            <w:rFonts w:ascii="Cambria Math" w:hAnsi="Cambria Math"/>
          </w:rPr>
          <m:t>0</m:t>
        </m:r>
      </m:oMath>
      <w:r w:rsidRPr="00287AF0">
        <w:t> at any pressure. This makes sense, since the bound states do not decay spontaneously and are not formed directly from the reagents, making no contribution to the recombination process.</w:t>
      </w:r>
    </w:p>
    <w:p w14:paraId="204B7795" w14:textId="3F6A02CE" w:rsidR="00287AF0" w:rsidRPr="00287AF0" w:rsidRDefault="00287AF0" w:rsidP="00287AF0">
      <w:r w:rsidRPr="00287AF0">
        <w:t>When multiple (in our case two) decay channels are present, one can still use Equation (40) to define the weight, with the total width </w:t>
      </w:r>
      <m:oMath>
        <m:sSubSup>
          <m:sSubSupPr>
            <m:ctrlPr>
              <w:rPr>
                <w:rFonts w:ascii="Cambria Math" w:hAnsi="Cambria Math"/>
              </w:rPr>
            </m:ctrlPr>
          </m:sSubSupPr>
          <m:e>
            <m:r>
              <w:rPr>
                <w:rFonts w:ascii="Cambria Math" w:hAnsi="Cambria Math"/>
              </w:rPr>
              <m:t>Γ</m:t>
            </m:r>
          </m:e>
          <m:sub>
            <m:r>
              <w:rPr>
                <w:rFonts w:ascii="Cambria Math" w:hAnsi="Cambria Math"/>
              </w:rPr>
              <m:t>i</m:t>
            </m:r>
          </m:sub>
          <m:sup>
            <m:r>
              <m:rPr>
                <m:sty m:val="p"/>
              </m:rPr>
              <w:rPr>
                <w:rFonts w:ascii="Cambria Math" w:hAnsi="Cambria Math"/>
              </w:rPr>
              <m:t>tot</m:t>
            </m:r>
          </m:sup>
        </m:sSubSup>
      </m:oMath>
      <w:r w:rsidRPr="00287AF0">
        <w:t> instead of </w:t>
      </w:r>
      <m:oMath>
        <m:sSub>
          <m:sSubPr>
            <m:ctrlPr>
              <w:rPr>
                <w:rFonts w:ascii="Cambria Math" w:hAnsi="Cambria Math"/>
              </w:rPr>
            </m:ctrlPr>
          </m:sSubPr>
          <m:e>
            <m:r>
              <m:rPr>
                <m:sty m:val="p"/>
              </m:rPr>
              <w:rPr>
                <w:rFonts w:ascii="Cambria Math" w:hAnsi="Cambria Math"/>
              </w:rPr>
              <m:t>Γ</m:t>
            </m:r>
          </m:e>
          <m:sub>
            <m:r>
              <w:rPr>
                <w:rFonts w:ascii="Cambria Math" w:hAnsi="Cambria Math"/>
              </w:rPr>
              <m:t>i</m:t>
            </m:r>
          </m:sub>
        </m:sSub>
      </m:oMath>
      <w:r w:rsidRPr="00287AF0">
        <w:t>. This can be introduced into Equations (32) and (33) by factoring out the channel specific ratios </w:t>
      </w:r>
      <m:oMath>
        <m:f>
          <m:fPr>
            <m:type m:val="lin"/>
            <m:ctrlPr>
              <w:rPr>
                <w:rFonts w:ascii="Cambria Math" w:hAnsi="Cambria Math"/>
              </w:rPr>
            </m:ctrlPr>
          </m:fPr>
          <m:num>
            <m:sSubSup>
              <m:sSubSupPr>
                <m:ctrlPr>
                  <w:rPr>
                    <w:rFonts w:ascii="Cambria Math" w:hAnsi="Cambria Math"/>
                  </w:rPr>
                </m:ctrlPr>
              </m:sSubSupPr>
              <m:e>
                <m:r>
                  <m:rPr>
                    <m:sty m:val="p"/>
                  </m:rPr>
                  <w:rPr>
                    <w:rFonts w:ascii="Cambria Math" w:hAnsi="Cambria Math"/>
                  </w:rPr>
                  <m:t>Γ</m:t>
                </m:r>
              </m:e>
              <m:sub>
                <m:r>
                  <w:rPr>
                    <w:rFonts w:ascii="Cambria Math" w:hAnsi="Cambria Math"/>
                  </w:rPr>
                  <m:t>i</m:t>
                </m:r>
              </m:sub>
              <m:sup>
                <m:r>
                  <m:rPr>
                    <m:sty m:val="p"/>
                  </m:rPr>
                  <w:rPr>
                    <w:rFonts w:ascii="Cambria Math" w:hAnsi="Cambria Math"/>
                  </w:rPr>
                  <m:t>ch</m:t>
                </m:r>
                <m:r>
                  <w:rPr>
                    <w:rFonts w:ascii="Cambria Math" w:hAnsi="Cambria Math"/>
                  </w:rPr>
                  <m:t>1</m:t>
                </m:r>
              </m:sup>
            </m:sSubSup>
          </m:num>
          <m:den>
            <m:sSubSup>
              <m:sSubSupPr>
                <m:ctrlPr>
                  <w:rPr>
                    <w:rFonts w:ascii="Cambria Math" w:hAnsi="Cambria Math"/>
                  </w:rPr>
                </m:ctrlPr>
              </m:sSubSupPr>
              <m:e>
                <m:r>
                  <m:rPr>
                    <m:sty m:val="p"/>
                  </m:rPr>
                  <w:rPr>
                    <w:rFonts w:ascii="Cambria Math" w:hAnsi="Cambria Math"/>
                  </w:rPr>
                  <m:t>Γ</m:t>
                </m:r>
              </m:e>
              <m:sub>
                <m:r>
                  <w:rPr>
                    <w:rFonts w:ascii="Cambria Math" w:hAnsi="Cambria Math"/>
                  </w:rPr>
                  <m:t>i</m:t>
                </m:r>
              </m:sub>
              <m:sup>
                <m:r>
                  <m:rPr>
                    <m:sty m:val="p"/>
                  </m:rPr>
                  <w:rPr>
                    <w:rFonts w:ascii="Cambria Math" w:hAnsi="Cambria Math"/>
                  </w:rPr>
                  <m:t>tot</m:t>
                </m:r>
              </m:sup>
            </m:sSubSup>
          </m:den>
        </m:f>
      </m:oMath>
      <w:r w:rsidRPr="00287AF0">
        <w:t> and </w:t>
      </w:r>
      <m:oMath>
        <m:f>
          <m:fPr>
            <m:type m:val="lin"/>
            <m:ctrlPr>
              <w:rPr>
                <w:rFonts w:ascii="Cambria Math" w:hAnsi="Cambria Math"/>
              </w:rPr>
            </m:ctrlPr>
          </m:fPr>
          <m:num>
            <m:sSubSup>
              <m:sSubSupPr>
                <m:ctrlPr>
                  <w:rPr>
                    <w:rFonts w:ascii="Cambria Math" w:hAnsi="Cambria Math"/>
                  </w:rPr>
                </m:ctrlPr>
              </m:sSubSupPr>
              <m:e>
                <m:r>
                  <m:rPr>
                    <m:sty m:val="p"/>
                  </m:rPr>
                  <w:rPr>
                    <w:rFonts w:ascii="Cambria Math" w:hAnsi="Cambria Math"/>
                  </w:rPr>
                  <m:t>Γ</m:t>
                </m:r>
              </m:e>
              <m:sub>
                <m:r>
                  <w:rPr>
                    <w:rFonts w:ascii="Cambria Math" w:hAnsi="Cambria Math"/>
                  </w:rPr>
                  <m:t>i</m:t>
                </m:r>
              </m:sub>
              <m:sup>
                <m:r>
                  <m:rPr>
                    <m:sty m:val="p"/>
                  </m:rPr>
                  <w:rPr>
                    <w:rFonts w:ascii="Cambria Math" w:hAnsi="Cambria Math"/>
                  </w:rPr>
                  <m:t>ch</m:t>
                </m:r>
                <m:r>
                  <w:rPr>
                    <w:rFonts w:ascii="Cambria Math" w:hAnsi="Cambria Math"/>
                  </w:rPr>
                  <m:t>2</m:t>
                </m:r>
              </m:sup>
            </m:sSubSup>
          </m:num>
          <m:den>
            <m:sSubSup>
              <m:sSubSupPr>
                <m:ctrlPr>
                  <w:rPr>
                    <w:rFonts w:ascii="Cambria Math" w:hAnsi="Cambria Math"/>
                  </w:rPr>
                </m:ctrlPr>
              </m:sSubSupPr>
              <m:e>
                <m:r>
                  <m:rPr>
                    <m:sty m:val="p"/>
                  </m:rPr>
                  <w:rPr>
                    <w:rFonts w:ascii="Cambria Math" w:hAnsi="Cambria Math"/>
                  </w:rPr>
                  <m:t>Γ</m:t>
                </m:r>
              </m:e>
              <m:sub>
                <m:r>
                  <w:rPr>
                    <w:rFonts w:ascii="Cambria Math" w:hAnsi="Cambria Math"/>
                  </w:rPr>
                  <m:t>i</m:t>
                </m:r>
              </m:sub>
              <m:sup>
                <m:r>
                  <m:rPr>
                    <m:sty m:val="p"/>
                  </m:rPr>
                  <w:rPr>
                    <w:rFonts w:ascii="Cambria Math" w:hAnsi="Cambria Math"/>
                  </w:rPr>
                  <m:t>tot</m:t>
                </m:r>
              </m:sup>
            </m:sSubSup>
          </m:den>
        </m:f>
      </m:oMath>
      <w:r w:rsidRPr="00287AF0">
        <w:t> as we will demonstrate further below.</w:t>
      </w:r>
    </w:p>
    <w:p w14:paraId="0A375CE8" w14:textId="193A0CD7" w:rsidR="00287AF0" w:rsidRPr="00287AF0" w:rsidRDefault="00287AF0" w:rsidP="00287AF0">
      <w:r w:rsidRPr="00287AF0">
        <w:t>Note that summation in Equations (32) and (33) goes over the metastable states of ozone, multiplied by Boltzmann factors and degeneracy factors, and thus very much resembles a partition function at the transition state, </w:t>
      </w:r>
      <m:oMath>
        <m:sSup>
          <m:sSupPr>
            <m:ctrlPr>
              <w:rPr>
                <w:rFonts w:ascii="Cambria Math" w:hAnsi="Cambria Math"/>
              </w:rPr>
            </m:ctrlPr>
          </m:sSupPr>
          <m:e>
            <m:r>
              <w:rPr>
                <w:rFonts w:ascii="Cambria Math" w:hAnsi="Cambria Math"/>
              </w:rPr>
              <m:t>Q</m:t>
            </m:r>
          </m:e>
          <m:sup>
            <m:r>
              <w:rPr>
                <w:rFonts w:ascii="Cambria Math" w:hAnsi="Cambria Math"/>
              </w:rPr>
              <m:t>‡</m:t>
            </m:r>
          </m:sup>
        </m:sSup>
      </m:oMath>
      <w:r w:rsidRPr="00287AF0">
        <w:t>, used in the RRKM theory [</w:t>
      </w:r>
      <w:r w:rsidRPr="00AD482D">
        <w:rPr>
          <w:b/>
          <w:bCs/>
        </w:rPr>
        <w:t>34</w:t>
      </w:r>
      <w:r w:rsidRPr="00287AF0">
        <w:t xml:space="preserve">], except that our formulae </w:t>
      </w:r>
      <w:proofErr w:type="gramStart"/>
      <w:r w:rsidRPr="00287AF0">
        <w:t>take into account</w:t>
      </w:r>
      <w:proofErr w:type="gramEnd"/>
      <w:r w:rsidRPr="00287AF0">
        <w:t xml:space="preserve"> the processes of formation, decay and stabilization of scattering resonances, and therefore are more general. Inspired by this similarity, we found it instructive to introduce the </w:t>
      </w:r>
      <w:r w:rsidRPr="00287AF0">
        <w:rPr>
          <w:i/>
          <w:iCs/>
        </w:rPr>
        <w:t>dynamical partition function</w:t>
      </w:r>
      <w:r w:rsidRPr="00287AF0">
        <w:t>, </w:t>
      </w:r>
      <m:oMath>
        <m:acc>
          <m:accPr>
            <m:chr m:val="̃"/>
            <m:ctrlPr>
              <w:rPr>
                <w:rFonts w:ascii="Cambria Math" w:hAnsi="Cambria Math"/>
              </w:rPr>
            </m:ctrlPr>
          </m:accPr>
          <m:e>
            <m:r>
              <w:rPr>
                <w:rFonts w:ascii="Cambria Math" w:hAnsi="Cambria Math"/>
              </w:rPr>
              <m:t>Q</m:t>
            </m:r>
          </m:e>
        </m:acc>
      </m:oMath>
      <w:r w:rsidRPr="00287AF0">
        <w:t>, for four pathways of ozone formation, defined as follows:</w:t>
      </w:r>
    </w:p>
    <w:p w14:paraId="0CE965CF" w14:textId="6D13CFEA" w:rsidR="00A608E5" w:rsidRPr="00287AF0" w:rsidRDefault="0016565C" w:rsidP="00287AF0">
      <m:oMathPara>
        <m:oMath>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m:rPr>
                  <m:sty m:val="p"/>
                </m:rPr>
                <w:rPr>
                  <w:rFonts w:ascii="Cambria Math" w:hAnsi="Cambria Math"/>
                </w:rPr>
                <m:t>A</m:t>
              </m:r>
            </m:sub>
          </m:sSub>
          <m:r>
            <w:rPr>
              <w:rFonts w:ascii="Cambria Math" w:hAnsi="Cambria Math"/>
            </w:rPr>
            <m:t>≡</m:t>
          </m:r>
          <m:nary>
            <m:naryPr>
              <m:chr m:val="∑"/>
              <m:limLoc m:val="undOvr"/>
              <m:grow m:val="1"/>
              <m:supHide m:val="1"/>
              <m:ctrlPr>
                <w:rPr>
                  <w:rFonts w:ascii="Cambria Math" w:hAnsi="Cambria Math"/>
                </w:rPr>
              </m:ctrlPr>
            </m:naryPr>
            <m:sub>
              <m:r>
                <w:rPr>
                  <w:rFonts w:ascii="Cambria Math" w:hAnsi="Cambria Math"/>
                </w:rPr>
                <m:t>i</m:t>
              </m:r>
            </m:sub>
            <m:sup/>
            <m:e>
              <m:d>
                <m:dPr>
                  <m:ctrlPr>
                    <w:rPr>
                      <w:rFonts w:ascii="Cambria Math" w:hAnsi="Cambria Math"/>
                      <w:i/>
                    </w:rPr>
                  </m:ctrlPr>
                </m:dPr>
                <m:e>
                  <m:r>
                    <w:rPr>
                      <w:rFonts w:ascii="Cambria Math" w:hAnsi="Cambria Math"/>
                    </w:rPr>
                    <m:t>2J+1</m:t>
                  </m:r>
                </m:e>
              </m:d>
            </m:e>
          </m:nary>
          <m:sSub>
            <m:sSubPr>
              <m:ctrlPr>
                <w:rPr>
                  <w:rFonts w:ascii="Cambria Math" w:hAnsi="Cambria Math"/>
                </w:rPr>
              </m:ctrlPr>
            </m:sSubPr>
            <m:e>
              <m:r>
                <w:rPr>
                  <w:rFonts w:ascii="Cambria Math" w:hAnsi="Cambria Math"/>
                </w:rPr>
                <m:t>w</m:t>
              </m:r>
            </m:e>
            <m:sub>
              <m:r>
                <w:rPr>
                  <w:rFonts w:ascii="Cambria Math" w:hAnsi="Cambria Math"/>
                </w:rPr>
                <m:t>i</m:t>
              </m:r>
            </m:sub>
          </m:sSub>
          <m:f>
            <m:fPr>
              <m:ctrlPr>
                <w:rPr>
                  <w:rFonts w:ascii="Cambria Math" w:hAnsi="Cambria Math"/>
                </w:rPr>
              </m:ctrlPr>
            </m:fPr>
            <m:num>
              <m:sSubSup>
                <m:sSubSupPr>
                  <m:ctrlPr>
                    <w:rPr>
                      <w:rFonts w:ascii="Cambria Math" w:hAnsi="Cambria Math"/>
                    </w:rPr>
                  </m:ctrlPr>
                </m:sSubSupPr>
                <m:e>
                  <m:r>
                    <m:rPr>
                      <m:sty m:val="p"/>
                    </m:rPr>
                    <w:rPr>
                      <w:rFonts w:ascii="Cambria Math" w:hAnsi="Cambria Math"/>
                    </w:rPr>
                    <m:t>Γ</m:t>
                  </m:r>
                </m:e>
                <m:sub>
                  <m:r>
                    <w:rPr>
                      <w:rFonts w:ascii="Cambria Math" w:hAnsi="Cambria Math"/>
                    </w:rPr>
                    <m:t>i</m:t>
                  </m:r>
                </m:sub>
                <m:sup>
                  <m:r>
                    <m:rPr>
                      <m:sty m:val="p"/>
                    </m:rPr>
                    <w:rPr>
                      <w:rFonts w:ascii="Cambria Math" w:hAnsi="Cambria Math"/>
                    </w:rPr>
                    <m:t>ch</m:t>
                  </m:r>
                  <m:r>
                    <w:rPr>
                      <w:rFonts w:ascii="Cambria Math" w:hAnsi="Cambria Math"/>
                    </w:rPr>
                    <m:t>2</m:t>
                  </m:r>
                </m:sup>
              </m:sSubSup>
            </m:num>
            <m:den>
              <m:sSubSup>
                <m:sSubSupPr>
                  <m:ctrlPr>
                    <w:rPr>
                      <w:rFonts w:ascii="Cambria Math" w:hAnsi="Cambria Math"/>
                    </w:rPr>
                  </m:ctrlPr>
                </m:sSubSupPr>
                <m:e>
                  <m:r>
                    <m:rPr>
                      <m:sty m:val="p"/>
                    </m:rPr>
                    <w:rPr>
                      <w:rFonts w:ascii="Cambria Math" w:hAnsi="Cambria Math"/>
                    </w:rPr>
                    <m:t>Γ</m:t>
                  </m:r>
                </m:e>
                <m:sub>
                  <m:r>
                    <w:rPr>
                      <w:rFonts w:ascii="Cambria Math" w:hAnsi="Cambria Math"/>
                    </w:rPr>
                    <m:t>i</m:t>
                  </m:r>
                </m:sub>
                <m:sup>
                  <m:r>
                    <m:rPr>
                      <m:sty m:val="p"/>
                    </m:rPr>
                    <w:rPr>
                      <w:rFonts w:ascii="Cambria Math" w:hAnsi="Cambria Math"/>
                    </w:rPr>
                    <m:t>tot</m:t>
                  </m:r>
                </m:sup>
              </m:sSubSup>
            </m:den>
          </m:f>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asym</m:t>
              </m:r>
            </m:sup>
          </m:sSubSup>
          <m:sSup>
            <m:sSupPr>
              <m:ctrlPr>
                <w:rPr>
                  <w:rFonts w:ascii="Cambria Math" w:hAnsi="Cambria Math"/>
                </w:rPr>
              </m:ctrlPr>
            </m:sSupPr>
            <m:e>
              <m:r>
                <w:rPr>
                  <w:rFonts w:ascii="Cambria Math" w:hAnsi="Cambria Math"/>
                </w:rPr>
                <m:t>e</m:t>
              </m:r>
            </m:e>
            <m:sup>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E</m:t>
                      </m:r>
                    </m:e>
                    <m:sub>
                      <m:r>
                        <w:rPr>
                          <w:rFonts w:ascii="Cambria Math" w:hAnsi="Cambria Math"/>
                        </w:rPr>
                        <m:t>i</m:t>
                      </m:r>
                    </m:sub>
                  </m:sSub>
                </m:num>
                <m:den>
                  <m:r>
                    <w:rPr>
                      <w:rFonts w:ascii="Cambria Math" w:hAnsi="Cambria Math"/>
                    </w:rPr>
                    <m:t>kT</m:t>
                  </m:r>
                </m:den>
              </m:f>
            </m:sup>
          </m:sSup>
        </m:oMath>
      </m:oMathPara>
    </w:p>
    <w:p w14:paraId="12947733" w14:textId="77777777" w:rsidR="00287AF0" w:rsidRPr="00287AF0" w:rsidRDefault="00287AF0" w:rsidP="00287AF0">
      <w:r w:rsidRPr="00287AF0">
        <w:t>(41)</w:t>
      </w:r>
    </w:p>
    <w:p w14:paraId="44BF884E" w14:textId="13DBC477" w:rsidR="00A608E5" w:rsidRPr="00287AF0" w:rsidRDefault="009F0837" w:rsidP="00287AF0">
      <m:oMathPara>
        <m:oMath>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m:rPr>
                  <m:sty m:val="p"/>
                </m:rPr>
                <w:rPr>
                  <w:rFonts w:ascii="Cambria Math" w:hAnsi="Cambria Math"/>
                </w:rPr>
                <m:t>B</m:t>
              </m:r>
            </m:sub>
          </m:sSub>
          <m:r>
            <w:rPr>
              <w:rFonts w:ascii="Cambria Math" w:hAnsi="Cambria Math"/>
            </w:rPr>
            <m:t>≡</m:t>
          </m:r>
          <m:nary>
            <m:naryPr>
              <m:chr m:val="∑"/>
              <m:limLoc m:val="undOvr"/>
              <m:grow m:val="1"/>
              <m:supHide m:val="1"/>
              <m:ctrlPr>
                <w:rPr>
                  <w:rFonts w:ascii="Cambria Math" w:hAnsi="Cambria Math"/>
                </w:rPr>
              </m:ctrlPr>
            </m:naryPr>
            <m:sub>
              <m:r>
                <w:rPr>
                  <w:rFonts w:ascii="Cambria Math" w:hAnsi="Cambria Math"/>
                </w:rPr>
                <m:t>i</m:t>
              </m:r>
            </m:sub>
            <m:sup/>
            <m:e>
              <m:d>
                <m:dPr>
                  <m:ctrlPr>
                    <w:rPr>
                      <w:rFonts w:ascii="Cambria Math" w:hAnsi="Cambria Math"/>
                      <w:i/>
                    </w:rPr>
                  </m:ctrlPr>
                </m:dPr>
                <m:e>
                  <m:r>
                    <w:rPr>
                      <w:rFonts w:ascii="Cambria Math" w:hAnsi="Cambria Math"/>
                    </w:rPr>
                    <m:t>2J+1</m:t>
                  </m:r>
                </m:e>
              </m:d>
            </m:e>
          </m:nary>
          <m:sSub>
            <m:sSubPr>
              <m:ctrlPr>
                <w:rPr>
                  <w:rFonts w:ascii="Cambria Math" w:hAnsi="Cambria Math"/>
                </w:rPr>
              </m:ctrlPr>
            </m:sSubPr>
            <m:e>
              <m:r>
                <w:rPr>
                  <w:rFonts w:ascii="Cambria Math" w:hAnsi="Cambria Math"/>
                </w:rPr>
                <m:t>w</m:t>
              </m:r>
            </m:e>
            <m:sub>
              <m:r>
                <w:rPr>
                  <w:rFonts w:ascii="Cambria Math" w:hAnsi="Cambria Math"/>
                </w:rPr>
                <m:t>i</m:t>
              </m:r>
            </m:sub>
          </m:sSub>
          <m:f>
            <m:fPr>
              <m:ctrlPr>
                <w:rPr>
                  <w:rFonts w:ascii="Cambria Math" w:hAnsi="Cambria Math"/>
                </w:rPr>
              </m:ctrlPr>
            </m:fPr>
            <m:num>
              <m:sSubSup>
                <m:sSubSupPr>
                  <m:ctrlPr>
                    <w:rPr>
                      <w:rFonts w:ascii="Cambria Math" w:hAnsi="Cambria Math"/>
                    </w:rPr>
                  </m:ctrlPr>
                </m:sSubSupPr>
                <m:e>
                  <m:r>
                    <m:rPr>
                      <m:sty m:val="p"/>
                    </m:rPr>
                    <w:rPr>
                      <w:rFonts w:ascii="Cambria Math" w:hAnsi="Cambria Math"/>
                    </w:rPr>
                    <m:t>Γ</m:t>
                  </m:r>
                </m:e>
                <m:sub>
                  <m:r>
                    <w:rPr>
                      <w:rFonts w:ascii="Cambria Math" w:hAnsi="Cambria Math"/>
                    </w:rPr>
                    <m:t>i</m:t>
                  </m:r>
                </m:sub>
                <m:sup>
                  <m:r>
                    <m:rPr>
                      <m:sty m:val="p"/>
                    </m:rPr>
                    <w:rPr>
                      <w:rFonts w:ascii="Cambria Math" w:hAnsi="Cambria Math"/>
                    </w:rPr>
                    <m:t>ch</m:t>
                  </m:r>
                  <m:r>
                    <w:rPr>
                      <w:rFonts w:ascii="Cambria Math" w:hAnsi="Cambria Math"/>
                    </w:rPr>
                    <m:t>1</m:t>
                  </m:r>
                </m:sup>
              </m:sSubSup>
            </m:num>
            <m:den>
              <m:sSubSup>
                <m:sSubSupPr>
                  <m:ctrlPr>
                    <w:rPr>
                      <w:rFonts w:ascii="Cambria Math" w:hAnsi="Cambria Math"/>
                    </w:rPr>
                  </m:ctrlPr>
                </m:sSubSupPr>
                <m:e>
                  <m:r>
                    <m:rPr>
                      <m:sty m:val="p"/>
                    </m:rPr>
                    <w:rPr>
                      <w:rFonts w:ascii="Cambria Math" w:hAnsi="Cambria Math"/>
                    </w:rPr>
                    <m:t>Γ</m:t>
                  </m:r>
                </m:e>
                <m:sub>
                  <m:r>
                    <w:rPr>
                      <w:rFonts w:ascii="Cambria Math" w:hAnsi="Cambria Math"/>
                    </w:rPr>
                    <m:t>i</m:t>
                  </m:r>
                </m:sub>
                <m:sup>
                  <m:r>
                    <m:rPr>
                      <m:sty m:val="p"/>
                    </m:rPr>
                    <w:rPr>
                      <w:rFonts w:ascii="Cambria Math" w:hAnsi="Cambria Math"/>
                    </w:rPr>
                    <m:t>tot</m:t>
                  </m:r>
                </m:sup>
              </m:sSubSup>
            </m:den>
          </m:f>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asym</m:t>
              </m:r>
            </m:sup>
          </m:sSubSup>
          <m:sSup>
            <m:sSupPr>
              <m:ctrlPr>
                <w:rPr>
                  <w:rFonts w:ascii="Cambria Math" w:hAnsi="Cambria Math"/>
                </w:rPr>
              </m:ctrlPr>
            </m:sSupPr>
            <m:e>
              <m:r>
                <w:rPr>
                  <w:rFonts w:ascii="Cambria Math" w:hAnsi="Cambria Math"/>
                </w:rPr>
                <m:t>e</m:t>
              </m:r>
            </m:e>
            <m:sup>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E</m:t>
                      </m:r>
                    </m:e>
                    <m:sub>
                      <m:r>
                        <w:rPr>
                          <w:rFonts w:ascii="Cambria Math" w:hAnsi="Cambria Math"/>
                        </w:rPr>
                        <m:t>i</m:t>
                      </m:r>
                    </m:sub>
                  </m:sSub>
                  <m:r>
                    <w:rPr>
                      <w:rFonts w:ascii="Cambria Math" w:hAnsi="Cambria Math"/>
                    </w:rPr>
                    <m:t>-</m:t>
                  </m:r>
                  <m:r>
                    <m:rPr>
                      <m:sty m:val="p"/>
                    </m:rPr>
                    <w:rPr>
                      <w:rFonts w:ascii="Cambria Math" w:hAnsi="Cambria Math"/>
                    </w:rPr>
                    <m:t>ΔZPE</m:t>
                  </m:r>
                </m:num>
                <m:den>
                  <m:r>
                    <w:rPr>
                      <w:rFonts w:ascii="Cambria Math" w:hAnsi="Cambria Math"/>
                    </w:rPr>
                    <m:t>kT</m:t>
                  </m:r>
                </m:den>
              </m:f>
            </m:sup>
          </m:sSup>
        </m:oMath>
      </m:oMathPara>
    </w:p>
    <w:p w14:paraId="72A556C1" w14:textId="77777777" w:rsidR="00287AF0" w:rsidRPr="00287AF0" w:rsidRDefault="00287AF0" w:rsidP="00287AF0">
      <w:r w:rsidRPr="00287AF0">
        <w:t>(42)</w:t>
      </w:r>
    </w:p>
    <w:p w14:paraId="710FBC58" w14:textId="218FCC2B" w:rsidR="00A608E5" w:rsidRPr="00287AF0" w:rsidRDefault="002D35D3" w:rsidP="00287AF0">
      <m:oMathPara>
        <m:oMath>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m:rPr>
                  <m:sty m:val="p"/>
                </m:rPr>
                <w:rPr>
                  <w:rFonts w:ascii="Cambria Math" w:hAnsi="Cambria Math"/>
                </w:rPr>
                <m:t>S</m:t>
              </m:r>
            </m:sub>
          </m:sSub>
          <m:r>
            <w:rPr>
              <w:rFonts w:ascii="Cambria Math" w:hAnsi="Cambria Math"/>
            </w:rPr>
            <m:t>≡</m:t>
          </m:r>
          <m:nary>
            <m:naryPr>
              <m:chr m:val="∑"/>
              <m:limLoc m:val="undOvr"/>
              <m:grow m:val="1"/>
              <m:supHide m:val="1"/>
              <m:ctrlPr>
                <w:rPr>
                  <w:rFonts w:ascii="Cambria Math" w:hAnsi="Cambria Math"/>
                </w:rPr>
              </m:ctrlPr>
            </m:naryPr>
            <m:sub>
              <m:r>
                <w:rPr>
                  <w:rFonts w:ascii="Cambria Math" w:hAnsi="Cambria Math"/>
                </w:rPr>
                <m:t>i</m:t>
              </m:r>
            </m:sub>
            <m:sup/>
            <m:e>
              <m:d>
                <m:dPr>
                  <m:ctrlPr>
                    <w:rPr>
                      <w:rFonts w:ascii="Cambria Math" w:hAnsi="Cambria Math"/>
                      <w:i/>
                    </w:rPr>
                  </m:ctrlPr>
                </m:dPr>
                <m:e>
                  <m:r>
                    <w:rPr>
                      <w:rFonts w:ascii="Cambria Math" w:hAnsi="Cambria Math"/>
                    </w:rPr>
                    <m:t>2J+1</m:t>
                  </m:r>
                </m:e>
              </m:d>
            </m:e>
          </m:nary>
          <m:sSub>
            <m:sSubPr>
              <m:ctrlPr>
                <w:rPr>
                  <w:rFonts w:ascii="Cambria Math" w:hAnsi="Cambria Math"/>
                </w:rPr>
              </m:ctrlPr>
            </m:sSubPr>
            <m:e>
              <m:r>
                <w:rPr>
                  <w:rFonts w:ascii="Cambria Math" w:hAnsi="Cambria Math"/>
                </w:rPr>
                <m:t>w</m:t>
              </m:r>
            </m:e>
            <m:sub>
              <m:r>
                <w:rPr>
                  <w:rFonts w:ascii="Cambria Math" w:hAnsi="Cambria Math"/>
                </w:rPr>
                <m:t>i</m:t>
              </m:r>
            </m:sub>
          </m:sSub>
          <m:f>
            <m:fPr>
              <m:ctrlPr>
                <w:rPr>
                  <w:rFonts w:ascii="Cambria Math" w:hAnsi="Cambria Math"/>
                </w:rPr>
              </m:ctrlPr>
            </m:fPr>
            <m:num>
              <m:sSubSup>
                <m:sSubSupPr>
                  <m:ctrlPr>
                    <w:rPr>
                      <w:rFonts w:ascii="Cambria Math" w:hAnsi="Cambria Math"/>
                    </w:rPr>
                  </m:ctrlPr>
                </m:sSubSupPr>
                <m:e>
                  <m:r>
                    <m:rPr>
                      <m:sty m:val="p"/>
                    </m:rPr>
                    <w:rPr>
                      <w:rFonts w:ascii="Cambria Math" w:hAnsi="Cambria Math"/>
                    </w:rPr>
                    <m:t>Γ</m:t>
                  </m:r>
                </m:e>
                <m:sub>
                  <m:r>
                    <w:rPr>
                      <w:rFonts w:ascii="Cambria Math" w:hAnsi="Cambria Math"/>
                    </w:rPr>
                    <m:t>i</m:t>
                  </m:r>
                </m:sub>
                <m:sup>
                  <m:r>
                    <m:rPr>
                      <m:sty m:val="p"/>
                    </m:rPr>
                    <w:rPr>
                      <w:rFonts w:ascii="Cambria Math" w:hAnsi="Cambria Math"/>
                    </w:rPr>
                    <m:t>ch</m:t>
                  </m:r>
                  <m:r>
                    <w:rPr>
                      <w:rFonts w:ascii="Cambria Math" w:hAnsi="Cambria Math"/>
                    </w:rPr>
                    <m:t>2</m:t>
                  </m:r>
                </m:sup>
              </m:sSubSup>
            </m:num>
            <m:den>
              <m:sSubSup>
                <m:sSubSupPr>
                  <m:ctrlPr>
                    <w:rPr>
                      <w:rFonts w:ascii="Cambria Math" w:hAnsi="Cambria Math"/>
                    </w:rPr>
                  </m:ctrlPr>
                </m:sSubSupPr>
                <m:e>
                  <m:r>
                    <m:rPr>
                      <m:sty m:val="p"/>
                    </m:rPr>
                    <w:rPr>
                      <w:rFonts w:ascii="Cambria Math" w:hAnsi="Cambria Math"/>
                    </w:rPr>
                    <m:t>Γ</m:t>
                  </m:r>
                </m:e>
                <m:sub>
                  <m:r>
                    <w:rPr>
                      <w:rFonts w:ascii="Cambria Math" w:hAnsi="Cambria Math"/>
                    </w:rPr>
                    <m:t>i</m:t>
                  </m:r>
                </m:sub>
                <m:sup>
                  <m:r>
                    <m:rPr>
                      <m:sty m:val="p"/>
                    </m:rPr>
                    <w:rPr>
                      <w:rFonts w:ascii="Cambria Math" w:hAnsi="Cambria Math"/>
                    </w:rPr>
                    <m:t>tot</m:t>
                  </m:r>
                </m:sup>
              </m:sSubSup>
            </m:den>
          </m:f>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sym</m:t>
              </m:r>
            </m:sup>
          </m:sSubSup>
          <m:sSup>
            <m:sSupPr>
              <m:ctrlPr>
                <w:rPr>
                  <w:rFonts w:ascii="Cambria Math" w:hAnsi="Cambria Math"/>
                </w:rPr>
              </m:ctrlPr>
            </m:sSupPr>
            <m:e>
              <m:r>
                <w:rPr>
                  <w:rFonts w:ascii="Cambria Math" w:hAnsi="Cambria Math"/>
                </w:rPr>
                <m:t>e</m:t>
              </m:r>
            </m:e>
            <m:sup>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E</m:t>
                      </m:r>
                    </m:e>
                    <m:sub>
                      <m:r>
                        <w:rPr>
                          <w:rFonts w:ascii="Cambria Math" w:hAnsi="Cambria Math"/>
                        </w:rPr>
                        <m:t>i</m:t>
                      </m:r>
                    </m:sub>
                  </m:sSub>
                </m:num>
                <m:den>
                  <m:r>
                    <w:rPr>
                      <w:rFonts w:ascii="Cambria Math" w:hAnsi="Cambria Math"/>
                    </w:rPr>
                    <m:t>kT</m:t>
                  </m:r>
                </m:den>
              </m:f>
            </m:sup>
          </m:sSup>
        </m:oMath>
      </m:oMathPara>
    </w:p>
    <w:p w14:paraId="7150EFAB" w14:textId="77777777" w:rsidR="00287AF0" w:rsidRPr="00287AF0" w:rsidRDefault="00287AF0" w:rsidP="00287AF0">
      <w:r w:rsidRPr="00287AF0">
        <w:t>(43)</w:t>
      </w:r>
    </w:p>
    <w:p w14:paraId="7D6A91D4" w14:textId="338BE58D" w:rsidR="00A608E5" w:rsidRPr="00287AF0" w:rsidRDefault="006959B1" w:rsidP="00287AF0">
      <m:oMathPara>
        <m:oMath>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m:rPr>
                  <m:sty m:val="p"/>
                </m:rPr>
                <w:rPr>
                  <w:rFonts w:ascii="Cambria Math" w:hAnsi="Cambria Math"/>
                </w:rPr>
                <m:t>I</m:t>
              </m:r>
            </m:sub>
          </m:sSub>
          <m:r>
            <w:rPr>
              <w:rFonts w:ascii="Cambria Math" w:hAnsi="Cambria Math"/>
            </w:rPr>
            <m:t>≡</m:t>
          </m:r>
          <m:nary>
            <m:naryPr>
              <m:chr m:val="∑"/>
              <m:limLoc m:val="undOvr"/>
              <m:grow m:val="1"/>
              <m:supHide m:val="1"/>
              <m:ctrlPr>
                <w:rPr>
                  <w:rFonts w:ascii="Cambria Math" w:hAnsi="Cambria Math"/>
                </w:rPr>
              </m:ctrlPr>
            </m:naryPr>
            <m:sub>
              <m:r>
                <w:rPr>
                  <w:rFonts w:ascii="Cambria Math" w:hAnsi="Cambria Math"/>
                </w:rPr>
                <m:t>i</m:t>
              </m:r>
            </m:sub>
            <m:sup/>
            <m:e>
              <m:d>
                <m:dPr>
                  <m:ctrlPr>
                    <w:rPr>
                      <w:rFonts w:ascii="Cambria Math" w:hAnsi="Cambria Math"/>
                      <w:i/>
                    </w:rPr>
                  </m:ctrlPr>
                </m:dPr>
                <m:e>
                  <m:r>
                    <w:rPr>
                      <w:rFonts w:ascii="Cambria Math" w:hAnsi="Cambria Math"/>
                    </w:rPr>
                    <m:t>2J+1</m:t>
                  </m:r>
                </m:e>
              </m:d>
            </m:e>
          </m:nary>
          <m:sSub>
            <m:sSubPr>
              <m:ctrlPr>
                <w:rPr>
                  <w:rFonts w:ascii="Cambria Math" w:hAnsi="Cambria Math"/>
                </w:rPr>
              </m:ctrlPr>
            </m:sSubPr>
            <m:e>
              <m:r>
                <w:rPr>
                  <w:rFonts w:ascii="Cambria Math" w:hAnsi="Cambria Math"/>
                </w:rPr>
                <m:t>w</m:t>
              </m:r>
            </m:e>
            <m:sub>
              <m:r>
                <w:rPr>
                  <w:rFonts w:ascii="Cambria Math" w:hAnsi="Cambria Math"/>
                </w:rPr>
                <m:t>i</m:t>
              </m:r>
            </m:sub>
          </m:sSub>
          <m:f>
            <m:fPr>
              <m:ctrlPr>
                <w:rPr>
                  <w:rFonts w:ascii="Cambria Math" w:hAnsi="Cambria Math"/>
                </w:rPr>
              </m:ctrlPr>
            </m:fPr>
            <m:num>
              <m:sSubSup>
                <m:sSubSupPr>
                  <m:ctrlPr>
                    <w:rPr>
                      <w:rFonts w:ascii="Cambria Math" w:hAnsi="Cambria Math"/>
                    </w:rPr>
                  </m:ctrlPr>
                </m:sSubSupPr>
                <m:e>
                  <m:r>
                    <m:rPr>
                      <m:sty m:val="p"/>
                    </m:rPr>
                    <w:rPr>
                      <w:rFonts w:ascii="Cambria Math" w:hAnsi="Cambria Math"/>
                    </w:rPr>
                    <m:t>Γ</m:t>
                  </m:r>
                </m:e>
                <m:sub>
                  <m:r>
                    <w:rPr>
                      <w:rFonts w:ascii="Cambria Math" w:hAnsi="Cambria Math"/>
                    </w:rPr>
                    <m:t>i</m:t>
                  </m:r>
                </m:sub>
                <m:sup>
                  <m:r>
                    <m:rPr>
                      <m:sty m:val="p"/>
                    </m:rPr>
                    <w:rPr>
                      <w:rFonts w:ascii="Cambria Math" w:hAnsi="Cambria Math"/>
                    </w:rPr>
                    <m:t>ch</m:t>
                  </m:r>
                  <m:r>
                    <w:rPr>
                      <w:rFonts w:ascii="Cambria Math" w:hAnsi="Cambria Math"/>
                    </w:rPr>
                    <m:t>1</m:t>
                  </m:r>
                </m:sup>
              </m:sSubSup>
            </m:num>
            <m:den>
              <m:sSubSup>
                <m:sSubSupPr>
                  <m:ctrlPr>
                    <w:rPr>
                      <w:rFonts w:ascii="Cambria Math" w:hAnsi="Cambria Math"/>
                    </w:rPr>
                  </m:ctrlPr>
                </m:sSubSupPr>
                <m:e>
                  <m:r>
                    <m:rPr>
                      <m:sty m:val="p"/>
                    </m:rPr>
                    <w:rPr>
                      <w:rFonts w:ascii="Cambria Math" w:hAnsi="Cambria Math"/>
                    </w:rPr>
                    <m:t>Γ</m:t>
                  </m:r>
                </m:e>
                <m:sub>
                  <m:r>
                    <w:rPr>
                      <w:rFonts w:ascii="Cambria Math" w:hAnsi="Cambria Math"/>
                    </w:rPr>
                    <m:t>i</m:t>
                  </m:r>
                </m:sub>
                <m:sup>
                  <m:r>
                    <m:rPr>
                      <m:sty m:val="p"/>
                    </m:rPr>
                    <w:rPr>
                      <w:rFonts w:ascii="Cambria Math" w:hAnsi="Cambria Math"/>
                    </w:rPr>
                    <m:t>tot</m:t>
                  </m:r>
                </m:sup>
              </m:sSubSup>
            </m:den>
          </m:f>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sym</m:t>
              </m:r>
            </m:sup>
          </m:sSubSup>
          <m:sSup>
            <m:sSupPr>
              <m:ctrlPr>
                <w:rPr>
                  <w:rFonts w:ascii="Cambria Math" w:hAnsi="Cambria Math"/>
                </w:rPr>
              </m:ctrlPr>
            </m:sSupPr>
            <m:e>
              <m:r>
                <w:rPr>
                  <w:rFonts w:ascii="Cambria Math" w:hAnsi="Cambria Math"/>
                </w:rPr>
                <m:t>e</m:t>
              </m:r>
            </m:e>
            <m:sup>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E</m:t>
                      </m:r>
                    </m:e>
                    <m:sub>
                      <m:r>
                        <w:rPr>
                          <w:rFonts w:ascii="Cambria Math" w:hAnsi="Cambria Math"/>
                        </w:rPr>
                        <m:t>i</m:t>
                      </m:r>
                    </m:sub>
                  </m:sSub>
                  <m:r>
                    <w:rPr>
                      <w:rFonts w:ascii="Cambria Math" w:hAnsi="Cambria Math"/>
                    </w:rPr>
                    <m:t>-</m:t>
                  </m:r>
                  <m:r>
                    <m:rPr>
                      <m:sty m:val="p"/>
                    </m:rPr>
                    <w:rPr>
                      <w:rFonts w:ascii="Cambria Math" w:hAnsi="Cambria Math"/>
                    </w:rPr>
                    <m:t>ΔZPE</m:t>
                  </m:r>
                </m:num>
                <m:den>
                  <m:r>
                    <w:rPr>
                      <w:rFonts w:ascii="Cambria Math" w:hAnsi="Cambria Math"/>
                    </w:rPr>
                    <m:t>kT</m:t>
                  </m:r>
                </m:den>
              </m:f>
            </m:sup>
          </m:sSup>
        </m:oMath>
      </m:oMathPara>
    </w:p>
    <w:p w14:paraId="3D86ECD5" w14:textId="77777777" w:rsidR="00287AF0" w:rsidRPr="00287AF0" w:rsidRDefault="00287AF0" w:rsidP="00287AF0">
      <w:r w:rsidRPr="00287AF0">
        <w:t>(44)</w:t>
      </w:r>
    </w:p>
    <w:p w14:paraId="7C388D6E" w14:textId="36521F62" w:rsidR="00287AF0" w:rsidRPr="00287AF0" w:rsidRDefault="00287AF0" w:rsidP="00287AF0">
      <w:r w:rsidRPr="00287AF0">
        <w:t>Note that each factor in the definition of the dynamical partition function </w:t>
      </w:r>
      <m:oMath>
        <m:acc>
          <m:accPr>
            <m:chr m:val="̃"/>
            <m:ctrlPr>
              <w:rPr>
                <w:rFonts w:ascii="Cambria Math" w:hAnsi="Cambria Math"/>
              </w:rPr>
            </m:ctrlPr>
          </m:accPr>
          <m:e>
            <m:r>
              <w:rPr>
                <w:rFonts w:ascii="Cambria Math" w:hAnsi="Cambria Math"/>
              </w:rPr>
              <m:t>Q</m:t>
            </m:r>
          </m:e>
        </m:acc>
      </m:oMath>
      <w:r w:rsidRPr="00287AF0">
        <w:t> is unitless: the degeneracy, the weight of a resonance (determined by the pressure of bath gas and by the total resonance width, see Equation (40) above), stabilization probability, and the Boltzmann factor (including the </w:t>
      </w:r>
      <m:oMath>
        <m:r>
          <m:rPr>
            <m:sty m:val="p"/>
          </m:rPr>
          <w:rPr>
            <w:rFonts w:ascii="Cambria Math" w:hAnsi="Cambria Math"/>
          </w:rPr>
          <m:t>ΔZPE</m:t>
        </m:r>
      </m:oMath>
      <w:r w:rsidRPr="00287AF0">
        <w:t> shift for pathways </w:t>
      </w:r>
      <w:r w:rsidRPr="00287AF0">
        <w:rPr>
          <w:i/>
          <w:iCs/>
        </w:rPr>
        <w:t>B</w:t>
      </w:r>
      <w:r w:rsidRPr="00287AF0">
        <w:t> and </w:t>
      </w:r>
      <w:r w:rsidRPr="00287AF0">
        <w:rPr>
          <w:i/>
          <w:iCs/>
        </w:rPr>
        <w:t>I</w:t>
      </w:r>
      <w:r w:rsidRPr="00287AF0">
        <w:t> that originate in the upper Channel 1, see </w:t>
      </w:r>
      <w:r w:rsidRPr="00AD482D">
        <w:rPr>
          <w:b/>
          <w:bCs/>
        </w:rPr>
        <w:t>Figure 2</w:t>
      </w:r>
      <w:r w:rsidRPr="00287AF0">
        <w:t>). The values of </w:t>
      </w:r>
      <m:oMath>
        <m:acc>
          <m:accPr>
            <m:chr m:val="̃"/>
            <m:ctrlPr>
              <w:rPr>
                <w:rFonts w:ascii="Cambria Math" w:hAnsi="Cambria Math"/>
              </w:rPr>
            </m:ctrlPr>
          </m:accPr>
          <m:e>
            <m:r>
              <w:rPr>
                <w:rFonts w:ascii="Cambria Math" w:hAnsi="Cambria Math"/>
              </w:rPr>
              <m:t>Q</m:t>
            </m:r>
          </m:e>
        </m:acc>
      </m:oMath>
      <w:r w:rsidRPr="00287AF0">
        <w:t> for four pathways are obtained from four combinations of the relative decay rates through one of two reagent channels (either </w:t>
      </w:r>
      <m:oMath>
        <m:f>
          <m:fPr>
            <m:type m:val="lin"/>
            <m:ctrlPr>
              <w:rPr>
                <w:rFonts w:ascii="Cambria Math" w:hAnsi="Cambria Math"/>
              </w:rPr>
            </m:ctrlPr>
          </m:fPr>
          <m:num>
            <m:sSubSup>
              <m:sSubSupPr>
                <m:ctrlPr>
                  <w:rPr>
                    <w:rFonts w:ascii="Cambria Math" w:hAnsi="Cambria Math"/>
                  </w:rPr>
                </m:ctrlPr>
              </m:sSubSupPr>
              <m:e>
                <m:r>
                  <m:rPr>
                    <m:sty m:val="p"/>
                  </m:rPr>
                  <w:rPr>
                    <w:rFonts w:ascii="Cambria Math" w:hAnsi="Cambria Math"/>
                  </w:rPr>
                  <m:t>Γ</m:t>
                </m:r>
              </m:e>
              <m:sub>
                <m:r>
                  <w:rPr>
                    <w:rFonts w:ascii="Cambria Math" w:hAnsi="Cambria Math"/>
                  </w:rPr>
                  <m:t>i</m:t>
                </m:r>
              </m:sub>
              <m:sup>
                <m:r>
                  <m:rPr>
                    <m:sty m:val="p"/>
                  </m:rPr>
                  <w:rPr>
                    <w:rFonts w:ascii="Cambria Math" w:hAnsi="Cambria Math"/>
                  </w:rPr>
                  <m:t>ch</m:t>
                </m:r>
                <m:r>
                  <w:rPr>
                    <w:rFonts w:ascii="Cambria Math" w:hAnsi="Cambria Math"/>
                  </w:rPr>
                  <m:t>1</m:t>
                </m:r>
              </m:sup>
            </m:sSubSup>
          </m:num>
          <m:den>
            <m:sSubSup>
              <m:sSubSupPr>
                <m:ctrlPr>
                  <w:rPr>
                    <w:rFonts w:ascii="Cambria Math" w:hAnsi="Cambria Math"/>
                  </w:rPr>
                </m:ctrlPr>
              </m:sSubSupPr>
              <m:e>
                <m:r>
                  <m:rPr>
                    <m:sty m:val="p"/>
                  </m:rPr>
                  <w:rPr>
                    <w:rFonts w:ascii="Cambria Math" w:hAnsi="Cambria Math"/>
                  </w:rPr>
                  <m:t>Γ</m:t>
                </m:r>
              </m:e>
              <m:sub>
                <m:r>
                  <w:rPr>
                    <w:rFonts w:ascii="Cambria Math" w:hAnsi="Cambria Math"/>
                  </w:rPr>
                  <m:t>i</m:t>
                </m:r>
              </m:sub>
              <m:sup>
                <m:r>
                  <m:rPr>
                    <m:sty m:val="p"/>
                  </m:rPr>
                  <w:rPr>
                    <w:rFonts w:ascii="Cambria Math" w:hAnsi="Cambria Math"/>
                  </w:rPr>
                  <m:t>tot</m:t>
                </m:r>
              </m:sup>
            </m:sSubSup>
          </m:den>
        </m:f>
      </m:oMath>
      <w:r w:rsidRPr="00287AF0">
        <w:t> or </w:t>
      </w:r>
      <m:oMath>
        <m:f>
          <m:fPr>
            <m:type m:val="lin"/>
            <m:ctrlPr>
              <w:rPr>
                <w:rFonts w:ascii="Cambria Math" w:hAnsi="Cambria Math"/>
              </w:rPr>
            </m:ctrlPr>
          </m:fPr>
          <m:num>
            <m:sSubSup>
              <m:sSubSupPr>
                <m:ctrlPr>
                  <w:rPr>
                    <w:rFonts w:ascii="Cambria Math" w:hAnsi="Cambria Math"/>
                  </w:rPr>
                </m:ctrlPr>
              </m:sSubSupPr>
              <m:e>
                <m:r>
                  <m:rPr>
                    <m:sty m:val="p"/>
                  </m:rPr>
                  <w:rPr>
                    <w:rFonts w:ascii="Cambria Math" w:hAnsi="Cambria Math"/>
                  </w:rPr>
                  <m:t>Γ</m:t>
                </m:r>
              </m:e>
              <m:sub>
                <m:r>
                  <w:rPr>
                    <w:rFonts w:ascii="Cambria Math" w:hAnsi="Cambria Math"/>
                  </w:rPr>
                  <m:t>i</m:t>
                </m:r>
              </m:sub>
              <m:sup>
                <m:r>
                  <m:rPr>
                    <m:sty m:val="p"/>
                  </m:rPr>
                  <w:rPr>
                    <w:rFonts w:ascii="Cambria Math" w:hAnsi="Cambria Math"/>
                  </w:rPr>
                  <m:t>ch</m:t>
                </m:r>
                <m:r>
                  <w:rPr>
                    <w:rFonts w:ascii="Cambria Math" w:hAnsi="Cambria Math"/>
                  </w:rPr>
                  <m:t>2</m:t>
                </m:r>
              </m:sup>
            </m:sSubSup>
          </m:num>
          <m:den>
            <m:sSubSup>
              <m:sSubSupPr>
                <m:ctrlPr>
                  <w:rPr>
                    <w:rFonts w:ascii="Cambria Math" w:hAnsi="Cambria Math"/>
                  </w:rPr>
                </m:ctrlPr>
              </m:sSubSupPr>
              <m:e>
                <m:r>
                  <m:rPr>
                    <m:sty m:val="p"/>
                  </m:rPr>
                  <w:rPr>
                    <w:rFonts w:ascii="Cambria Math" w:hAnsi="Cambria Math"/>
                  </w:rPr>
                  <m:t>Γ</m:t>
                </m:r>
              </m:e>
              <m:sub>
                <m:r>
                  <w:rPr>
                    <w:rFonts w:ascii="Cambria Math" w:hAnsi="Cambria Math"/>
                  </w:rPr>
                  <m:t>i</m:t>
                </m:r>
              </m:sub>
              <m:sup>
                <m:r>
                  <m:rPr>
                    <m:sty m:val="p"/>
                  </m:rPr>
                  <w:rPr>
                    <w:rFonts w:ascii="Cambria Math" w:hAnsi="Cambria Math"/>
                  </w:rPr>
                  <m:t>tot</m:t>
                </m:r>
              </m:sup>
            </m:sSubSup>
          </m:den>
        </m:f>
      </m:oMath>
      <w:r w:rsidRPr="00287AF0">
        <w:t>) with two stabilization probabilities (either </w:t>
      </w:r>
      <m:oMath>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sym</m:t>
            </m:r>
          </m:sup>
        </m:sSubSup>
      </m:oMath>
      <w:r w:rsidRPr="00287AF0">
        <w:t> or </w:t>
      </w:r>
      <m:oMath>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asym</m:t>
            </m:r>
          </m:sup>
        </m:sSubSup>
      </m:oMath>
      <w:r w:rsidRPr="00287AF0">
        <w:t>).</w:t>
      </w:r>
    </w:p>
    <w:p w14:paraId="20969DF0" w14:textId="515C2308" w:rsidR="00287AF0" w:rsidRPr="00287AF0" w:rsidRDefault="00287AF0" w:rsidP="00287AF0">
      <w:r w:rsidRPr="00287AF0">
        <w:t>It is also important to note that our definition of </w:t>
      </w:r>
      <m:oMath>
        <m:acc>
          <m:accPr>
            <m:chr m:val="̃"/>
            <m:ctrlPr>
              <w:rPr>
                <w:rFonts w:ascii="Cambria Math" w:hAnsi="Cambria Math"/>
              </w:rPr>
            </m:ctrlPr>
          </m:accPr>
          <m:e>
            <m:r>
              <w:rPr>
                <w:rFonts w:ascii="Cambria Math" w:hAnsi="Cambria Math"/>
              </w:rPr>
              <m:t>Q</m:t>
            </m:r>
          </m:e>
        </m:acc>
      </m:oMath>
      <w:r w:rsidRPr="00287AF0">
        <w:t> </w:t>
      </w:r>
      <w:proofErr w:type="gramStart"/>
      <w:r w:rsidRPr="00287AF0">
        <w:t>takes into account</w:t>
      </w:r>
      <w:proofErr w:type="gramEnd"/>
      <w:r w:rsidRPr="00287AF0">
        <w:t xml:space="preserve"> the probabilities of wave function in the inner region of the PES (either </w:t>
      </w:r>
      <m:oMath>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sym</m:t>
            </m:r>
          </m:sup>
        </m:sSubSup>
      </m:oMath>
      <w:r w:rsidRPr="00287AF0">
        <w:t> or </w:t>
      </w:r>
      <m:oMath>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asym</m:t>
            </m:r>
          </m:sup>
        </m:sSubSup>
      </m:oMath>
      <w:r w:rsidRPr="00287AF0">
        <w:t>), where the resonance can be quenched into a stable ozone molecule by collisions with ba</w:t>
      </w:r>
      <w:proofErr w:type="spellStart"/>
      <w:r w:rsidRPr="00287AF0">
        <w:t>th</w:t>
      </w:r>
      <w:proofErr w:type="spellEnd"/>
      <w:r w:rsidRPr="00287AF0">
        <w:t xml:space="preserve"> gas. This factor plays important role in obtaining both physically meaningful and numerically converged value of </w:t>
      </w:r>
      <m:oMath>
        <m:acc>
          <m:accPr>
            <m:chr m:val="̃"/>
            <m:ctrlPr>
              <w:rPr>
                <w:rFonts w:ascii="Cambria Math" w:hAnsi="Cambria Math"/>
              </w:rPr>
            </m:ctrlPr>
          </m:accPr>
          <m:e>
            <m:r>
              <w:rPr>
                <w:rFonts w:ascii="Cambria Math" w:hAnsi="Cambria Math"/>
              </w:rPr>
              <m:t>Q</m:t>
            </m:r>
          </m:e>
        </m:acc>
      </m:oMath>
      <w:r w:rsidRPr="00287AF0">
        <w:t>. As we will discuss in </w:t>
      </w:r>
      <w:r w:rsidRPr="00AD482D">
        <w:rPr>
          <w:b/>
          <w:bCs/>
        </w:rPr>
        <w:t>Section 3.3</w:t>
      </w:r>
      <w:r w:rsidRPr="00287AF0">
        <w:t> below, the spectrum of states above dissociation threshold contains, unavoidably, the free-particle states with large widths (short lifetimes). Since they possess large weights (</w:t>
      </w:r>
      <m:oMath>
        <m:sSub>
          <m:sSubPr>
            <m:ctrlPr>
              <w:rPr>
                <w:rFonts w:ascii="Cambria Math" w:hAnsi="Cambria Math"/>
              </w:rPr>
            </m:ctrlPr>
          </m:sSubPr>
          <m:e>
            <m:r>
              <w:rPr>
                <w:rFonts w:ascii="Cambria Math" w:hAnsi="Cambria Math"/>
              </w:rPr>
              <m:t>w</m:t>
            </m:r>
          </m:e>
          <m:sub>
            <m:r>
              <w:rPr>
                <w:rFonts w:ascii="Cambria Math" w:hAnsi="Cambria Math"/>
              </w:rPr>
              <m:t>i</m:t>
            </m:r>
          </m:sub>
        </m:sSub>
        <m:r>
          <w:rPr>
            <w:rFonts w:ascii="Cambria Math" w:hAnsi="Cambria Math"/>
          </w:rPr>
          <m:t>~1</m:t>
        </m:r>
      </m:oMath>
      <w:r w:rsidRPr="00287AF0">
        <w:t>) one may think that they would make large contributions to the recombination pr</w:t>
      </w:r>
      <w:proofErr w:type="spellStart"/>
      <w:r w:rsidRPr="00287AF0">
        <w:t>ocess</w:t>
      </w:r>
      <w:proofErr w:type="spellEnd"/>
      <w:r w:rsidRPr="00287AF0">
        <w:t>, which would be unphysical. This is where the probabilities </w:t>
      </w:r>
      <m:oMath>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sym</m:t>
            </m:r>
          </m:sup>
        </m:sSubSup>
      </m:oMath>
      <w:r w:rsidRPr="00287AF0">
        <w:t> and </w:t>
      </w:r>
      <m:oMath>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asym</m:t>
            </m:r>
          </m:sup>
        </m:sSubSup>
      </m:oMath>
      <w:r w:rsidRPr="00287AF0">
        <w:t> come into play. The free-particle states, hosted by the asymptotic part of the PES, have </w:t>
      </w:r>
      <m:oMath>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sym</m:t>
            </m:r>
          </m:sup>
        </m:sSubSup>
      </m:oMath>
      <w:r w:rsidRPr="00287AF0">
        <w:t> and </w:t>
      </w:r>
      <m:oMath>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asym</m:t>
            </m:r>
          </m:sup>
        </m:sSubSup>
      </m:oMath>
      <w:r w:rsidRPr="00287AF0">
        <w:t> close to zero, which makes their contributions to </w:t>
      </w:r>
      <m:oMath>
        <m:acc>
          <m:accPr>
            <m:chr m:val="̃"/>
            <m:ctrlPr>
              <w:rPr>
                <w:rFonts w:ascii="Cambria Math" w:hAnsi="Cambria Math"/>
              </w:rPr>
            </m:ctrlPr>
          </m:accPr>
          <m:e>
            <m:r>
              <w:rPr>
                <w:rFonts w:ascii="Cambria Math" w:hAnsi="Cambria Math"/>
              </w:rPr>
              <m:t>Q</m:t>
            </m:r>
          </m:e>
        </m:acc>
      </m:oMath>
      <w:r w:rsidRPr="00287AF0">
        <w:t xml:space="preserve"> vanishingly small, as it should be. So, </w:t>
      </w:r>
      <w:proofErr w:type="gramStart"/>
      <w:r w:rsidRPr="00287AF0">
        <w:t>in order to</w:t>
      </w:r>
      <w:proofErr w:type="gramEnd"/>
      <w:r w:rsidRPr="00287AF0">
        <w:t xml:space="preserve"> contribute to the dynamical partition function </w:t>
      </w:r>
      <m:oMath>
        <m:acc>
          <m:accPr>
            <m:chr m:val="̃"/>
            <m:ctrlPr>
              <w:rPr>
                <w:rFonts w:ascii="Cambria Math" w:hAnsi="Cambria Math"/>
              </w:rPr>
            </m:ctrlPr>
          </m:accPr>
          <m:e>
            <m:r>
              <w:rPr>
                <w:rFonts w:ascii="Cambria Math" w:hAnsi="Cambria Math"/>
              </w:rPr>
              <m:t>Q</m:t>
            </m:r>
          </m:e>
        </m:acc>
      </m:oMath>
      <w:r w:rsidRPr="00287AF0">
        <w:t> and the recombination reaction, a resonance should possess non-vanishing weight wi and probability (either </w:t>
      </w:r>
      <m:oMath>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sym</m:t>
            </m:r>
          </m:sup>
        </m:sSubSup>
      </m:oMath>
      <w:r w:rsidRPr="00287AF0">
        <w:t> or </w:t>
      </w:r>
      <m:oMath>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asym</m:t>
            </m:r>
          </m:sup>
        </m:sSubSup>
      </m:oMath>
      <w:r w:rsidRPr="00287AF0">
        <w:t>), both. A very narrow resonance has </w:t>
      </w:r>
      <m:oMath>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sym</m:t>
            </m:r>
          </m:sup>
        </m:sSubSup>
      </m:oMath>
      <w:r w:rsidRPr="00287AF0">
        <w:t> or </w:t>
      </w:r>
      <m:oMath>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asym</m:t>
            </m:r>
          </m:sup>
        </m:sSubSup>
      </m:oMath>
      <w:r w:rsidRPr="00287AF0">
        <w:t> close to one, but small weight wi. A very broad resonance has large weight wi but small probabilities </w:t>
      </w:r>
      <m:oMath>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sym</m:t>
            </m:r>
          </m:sup>
        </m:sSubSup>
      </m:oMath>
      <w:r w:rsidRPr="00287AF0">
        <w:t> and </w:t>
      </w:r>
      <m:oMath>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asym</m:t>
            </m:r>
          </m:sup>
        </m:sSubSup>
      </m:oMath>
      <w:r w:rsidRPr="00287AF0">
        <w:t>. Neither makes large contribution to </w:t>
      </w:r>
      <m:oMath>
        <m:acc>
          <m:accPr>
            <m:chr m:val="̃"/>
            <m:ctrlPr>
              <w:rPr>
                <w:rFonts w:ascii="Cambria Math" w:hAnsi="Cambria Math"/>
              </w:rPr>
            </m:ctrlPr>
          </m:accPr>
          <m:e>
            <m:r>
              <w:rPr>
                <w:rFonts w:ascii="Cambria Math" w:hAnsi="Cambria Math"/>
              </w:rPr>
              <m:t>Q</m:t>
            </m:r>
          </m:e>
        </m:acc>
      </m:oMath>
      <w:r w:rsidRPr="00287AF0">
        <w:t>. Only the resonances with optimal combination of the weight and probability play role in the recombination process.</w:t>
      </w:r>
    </w:p>
    <w:p w14:paraId="4D35C618" w14:textId="77777777" w:rsidR="00287AF0" w:rsidRPr="00287AF0" w:rsidRDefault="00287AF0" w:rsidP="00287AF0">
      <w:r w:rsidRPr="00287AF0">
        <w:t>With these definitions, the four pathway-specific rate coefficients are concisely written as follows:</w:t>
      </w:r>
    </w:p>
    <w:p w14:paraId="6A653585" w14:textId="17B36319" w:rsidR="00EB4B50" w:rsidRPr="00287AF0" w:rsidRDefault="00D95484" w:rsidP="00287AF0">
      <m:oMathPara>
        <m:oMath>
          <m:sSub>
            <m:sSubPr>
              <m:ctrlPr>
                <w:rPr>
                  <w:rFonts w:ascii="Cambria Math" w:hAnsi="Cambria Math"/>
                </w:rPr>
              </m:ctrlPr>
            </m:sSubPr>
            <m:e>
              <m:r>
                <w:rPr>
                  <w:rFonts w:ascii="Cambria Math" w:hAnsi="Cambria Math"/>
                </w:rPr>
                <m:t>κ</m:t>
              </m:r>
            </m:e>
            <m:sub>
              <m:r>
                <m:rPr>
                  <m:sty m:val="p"/>
                </m:rPr>
                <w:rPr>
                  <w:rFonts w:ascii="Cambria Math" w:hAnsi="Cambria Math"/>
                </w:rPr>
                <m:t>A</m:t>
              </m:r>
            </m:sub>
          </m:sSub>
          <m:r>
            <w:rPr>
              <w:rFonts w:ascii="Cambria Math" w:hAnsi="Cambria Math"/>
            </w:rPr>
            <m:t>≡</m:t>
          </m:r>
          <m:sSup>
            <m:sSupPr>
              <m:ctrlPr>
                <w:rPr>
                  <w:rFonts w:ascii="Cambria Math" w:hAnsi="Cambria Math"/>
                </w:rPr>
              </m:ctrlPr>
            </m:sSupPr>
            <m:e>
              <m:r>
                <w:rPr>
                  <w:rFonts w:ascii="Cambria Math" w:hAnsi="Cambria Math"/>
                </w:rPr>
                <m:t>k</m:t>
              </m:r>
            </m:e>
            <m:sup>
              <m:r>
                <m:rPr>
                  <m:sty m:val="p"/>
                </m:rPr>
                <w:rPr>
                  <w:rFonts w:ascii="Cambria Math" w:hAnsi="Cambria Math"/>
                </w:rPr>
                <m:t>stab</m:t>
              </m:r>
            </m:sup>
          </m:sSup>
          <m:f>
            <m:fPr>
              <m:ctrlPr>
                <w:rPr>
                  <w:rFonts w:ascii="Cambria Math" w:hAnsi="Cambria Math"/>
                </w:rPr>
              </m:ctrlPr>
            </m:fPr>
            <m:num>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m:rPr>
                      <m:sty m:val="p"/>
                    </m:rPr>
                    <w:rPr>
                      <w:rFonts w:ascii="Cambria Math" w:hAnsi="Cambria Math"/>
                    </w:rPr>
                    <m:t>A</m:t>
                  </m:r>
                </m:sub>
              </m:sSub>
            </m:num>
            <m:den>
              <m:sSub>
                <m:sSubPr>
                  <m:ctrlPr>
                    <w:rPr>
                      <w:rFonts w:ascii="Cambria Math" w:hAnsi="Cambria Math"/>
                    </w:rPr>
                  </m:ctrlPr>
                </m:sSubPr>
                <m:e>
                  <m:r>
                    <w:rPr>
                      <w:rFonts w:ascii="Cambria Math" w:hAnsi="Cambria Math"/>
                    </w:rPr>
                    <m:t>Q</m:t>
                  </m:r>
                </m:e>
                <m:sub>
                  <m:r>
                    <m:rPr>
                      <m:sty m:val="p"/>
                    </m:rPr>
                    <w:rPr>
                      <w:rFonts w:ascii="Cambria Math" w:hAnsi="Cambria Math"/>
                    </w:rPr>
                    <m:t>ch</m:t>
                  </m:r>
                  <m:r>
                    <w:rPr>
                      <w:rFonts w:ascii="Cambria Math" w:hAnsi="Cambria Math"/>
                    </w:rPr>
                    <m:t>2</m:t>
                  </m:r>
                </m:sub>
              </m:sSub>
            </m:den>
          </m:f>
        </m:oMath>
      </m:oMathPara>
    </w:p>
    <w:p w14:paraId="7022E073" w14:textId="77777777" w:rsidR="00287AF0" w:rsidRPr="00287AF0" w:rsidRDefault="00287AF0" w:rsidP="00287AF0">
      <w:r w:rsidRPr="00287AF0">
        <w:t>(45)</w:t>
      </w:r>
    </w:p>
    <w:p w14:paraId="24E35FEC" w14:textId="1E08DD7F" w:rsidR="00EB4B50" w:rsidRPr="00287AF0" w:rsidRDefault="00D95484" w:rsidP="00287AF0">
      <m:oMathPara>
        <m:oMath>
          <m:sSub>
            <m:sSubPr>
              <m:ctrlPr>
                <w:rPr>
                  <w:rFonts w:ascii="Cambria Math" w:hAnsi="Cambria Math"/>
                </w:rPr>
              </m:ctrlPr>
            </m:sSubPr>
            <m:e>
              <m:r>
                <w:rPr>
                  <w:rFonts w:ascii="Cambria Math" w:hAnsi="Cambria Math"/>
                </w:rPr>
                <m:t>κ</m:t>
              </m:r>
            </m:e>
            <m:sub>
              <m:r>
                <m:rPr>
                  <m:sty m:val="p"/>
                </m:rPr>
                <w:rPr>
                  <w:rFonts w:ascii="Cambria Math" w:hAnsi="Cambria Math"/>
                </w:rPr>
                <m:t>B</m:t>
              </m:r>
            </m:sub>
          </m:sSub>
          <m:r>
            <w:rPr>
              <w:rFonts w:ascii="Cambria Math" w:hAnsi="Cambria Math"/>
            </w:rPr>
            <m:t>≡</m:t>
          </m:r>
          <m:sSup>
            <m:sSupPr>
              <m:ctrlPr>
                <w:rPr>
                  <w:rFonts w:ascii="Cambria Math" w:hAnsi="Cambria Math"/>
                </w:rPr>
              </m:ctrlPr>
            </m:sSupPr>
            <m:e>
              <m:r>
                <w:rPr>
                  <w:rFonts w:ascii="Cambria Math" w:hAnsi="Cambria Math"/>
                </w:rPr>
                <m:t>k</m:t>
              </m:r>
            </m:e>
            <m:sup>
              <m:r>
                <m:rPr>
                  <m:sty m:val="p"/>
                </m:rPr>
                <w:rPr>
                  <w:rFonts w:ascii="Cambria Math" w:hAnsi="Cambria Math"/>
                </w:rPr>
                <m:t>stab</m:t>
              </m:r>
            </m:sup>
          </m:sSup>
          <m:f>
            <m:fPr>
              <m:ctrlPr>
                <w:rPr>
                  <w:rFonts w:ascii="Cambria Math" w:hAnsi="Cambria Math"/>
                </w:rPr>
              </m:ctrlPr>
            </m:fPr>
            <m:num>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m:rPr>
                      <m:sty m:val="p"/>
                    </m:rPr>
                    <w:rPr>
                      <w:rFonts w:ascii="Cambria Math" w:hAnsi="Cambria Math"/>
                    </w:rPr>
                    <m:t>B</m:t>
                  </m:r>
                </m:sub>
              </m:sSub>
            </m:num>
            <m:den>
              <m:sSub>
                <m:sSubPr>
                  <m:ctrlPr>
                    <w:rPr>
                      <w:rFonts w:ascii="Cambria Math" w:hAnsi="Cambria Math"/>
                    </w:rPr>
                  </m:ctrlPr>
                </m:sSubPr>
                <m:e>
                  <m:r>
                    <w:rPr>
                      <w:rFonts w:ascii="Cambria Math" w:hAnsi="Cambria Math"/>
                    </w:rPr>
                    <m:t>Q</m:t>
                  </m:r>
                </m:e>
                <m:sub>
                  <m:r>
                    <m:rPr>
                      <m:sty m:val="p"/>
                    </m:rPr>
                    <w:rPr>
                      <w:rFonts w:ascii="Cambria Math" w:hAnsi="Cambria Math"/>
                    </w:rPr>
                    <m:t>ch</m:t>
                  </m:r>
                  <m:r>
                    <w:rPr>
                      <w:rFonts w:ascii="Cambria Math" w:hAnsi="Cambria Math"/>
                    </w:rPr>
                    <m:t>1</m:t>
                  </m:r>
                </m:sub>
              </m:sSub>
            </m:den>
          </m:f>
        </m:oMath>
      </m:oMathPara>
    </w:p>
    <w:p w14:paraId="5D445769" w14:textId="77777777" w:rsidR="00287AF0" w:rsidRPr="00287AF0" w:rsidRDefault="00287AF0" w:rsidP="00287AF0">
      <w:r w:rsidRPr="00287AF0">
        <w:t>(46)</w:t>
      </w:r>
    </w:p>
    <w:p w14:paraId="56ECBCEC" w14:textId="22708389" w:rsidR="00EB4B50" w:rsidRPr="00287AF0" w:rsidRDefault="00605752" w:rsidP="00287AF0">
      <m:oMathPara>
        <m:oMath>
          <m:sSub>
            <m:sSubPr>
              <m:ctrlPr>
                <w:rPr>
                  <w:rFonts w:ascii="Cambria Math" w:hAnsi="Cambria Math"/>
                </w:rPr>
              </m:ctrlPr>
            </m:sSubPr>
            <m:e>
              <m:r>
                <w:rPr>
                  <w:rFonts w:ascii="Cambria Math" w:hAnsi="Cambria Math"/>
                </w:rPr>
                <m:t>κ</m:t>
              </m:r>
            </m:e>
            <m:sub>
              <m:r>
                <m:rPr>
                  <m:sty m:val="p"/>
                </m:rPr>
                <w:rPr>
                  <w:rFonts w:ascii="Cambria Math" w:hAnsi="Cambria Math"/>
                </w:rPr>
                <m:t>S</m:t>
              </m:r>
            </m:sub>
          </m:sSub>
          <m:r>
            <w:rPr>
              <w:rFonts w:ascii="Cambria Math" w:hAnsi="Cambria Math"/>
            </w:rPr>
            <m:t>≡</m:t>
          </m:r>
          <m:sSup>
            <m:sSupPr>
              <m:ctrlPr>
                <w:rPr>
                  <w:rFonts w:ascii="Cambria Math" w:hAnsi="Cambria Math"/>
                </w:rPr>
              </m:ctrlPr>
            </m:sSupPr>
            <m:e>
              <m:r>
                <w:rPr>
                  <w:rFonts w:ascii="Cambria Math" w:hAnsi="Cambria Math"/>
                </w:rPr>
                <m:t>k</m:t>
              </m:r>
            </m:e>
            <m:sup>
              <m:r>
                <m:rPr>
                  <m:sty m:val="p"/>
                </m:rPr>
                <w:rPr>
                  <w:rFonts w:ascii="Cambria Math" w:hAnsi="Cambria Math"/>
                </w:rPr>
                <m:t>stab</m:t>
              </m:r>
            </m:sup>
          </m:sSup>
          <m:f>
            <m:fPr>
              <m:ctrlPr>
                <w:rPr>
                  <w:rFonts w:ascii="Cambria Math" w:hAnsi="Cambria Math"/>
                </w:rPr>
              </m:ctrlPr>
            </m:fPr>
            <m:num>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m:rPr>
                      <m:sty m:val="p"/>
                    </m:rPr>
                    <w:rPr>
                      <w:rFonts w:ascii="Cambria Math" w:hAnsi="Cambria Math"/>
                    </w:rPr>
                    <m:t>S</m:t>
                  </m:r>
                </m:sub>
              </m:sSub>
            </m:num>
            <m:den>
              <m:sSub>
                <m:sSubPr>
                  <m:ctrlPr>
                    <w:rPr>
                      <w:rFonts w:ascii="Cambria Math" w:hAnsi="Cambria Math"/>
                    </w:rPr>
                  </m:ctrlPr>
                </m:sSubPr>
                <m:e>
                  <m:r>
                    <w:rPr>
                      <w:rFonts w:ascii="Cambria Math" w:hAnsi="Cambria Math"/>
                    </w:rPr>
                    <m:t>Q</m:t>
                  </m:r>
                </m:e>
                <m:sub>
                  <m:r>
                    <m:rPr>
                      <m:sty m:val="p"/>
                    </m:rPr>
                    <w:rPr>
                      <w:rFonts w:ascii="Cambria Math" w:hAnsi="Cambria Math"/>
                    </w:rPr>
                    <m:t>ch</m:t>
                  </m:r>
                  <m:r>
                    <w:rPr>
                      <w:rFonts w:ascii="Cambria Math" w:hAnsi="Cambria Math"/>
                    </w:rPr>
                    <m:t>2</m:t>
                  </m:r>
                </m:sub>
              </m:sSub>
            </m:den>
          </m:f>
        </m:oMath>
      </m:oMathPara>
    </w:p>
    <w:p w14:paraId="49DB2DA0" w14:textId="77777777" w:rsidR="00287AF0" w:rsidRPr="00287AF0" w:rsidRDefault="00287AF0" w:rsidP="00287AF0">
      <w:r w:rsidRPr="00287AF0">
        <w:t>(47)</w:t>
      </w:r>
    </w:p>
    <w:p w14:paraId="6D687C7D" w14:textId="2FD9CC80" w:rsidR="00EB4B50" w:rsidRPr="00287AF0" w:rsidRDefault="00AD5699" w:rsidP="00287AF0">
      <m:oMathPara>
        <m:oMath>
          <m:sSub>
            <m:sSubPr>
              <m:ctrlPr>
                <w:rPr>
                  <w:rFonts w:ascii="Cambria Math" w:hAnsi="Cambria Math"/>
                </w:rPr>
              </m:ctrlPr>
            </m:sSubPr>
            <m:e>
              <m:r>
                <w:rPr>
                  <w:rFonts w:ascii="Cambria Math" w:hAnsi="Cambria Math"/>
                </w:rPr>
                <m:t>κ</m:t>
              </m:r>
            </m:e>
            <m:sub>
              <m:r>
                <m:rPr>
                  <m:sty m:val="p"/>
                </m:rPr>
                <w:rPr>
                  <w:rFonts w:ascii="Cambria Math" w:hAnsi="Cambria Math"/>
                </w:rPr>
                <m:t>I</m:t>
              </m:r>
            </m:sub>
          </m:sSub>
          <m:r>
            <w:rPr>
              <w:rFonts w:ascii="Cambria Math" w:hAnsi="Cambria Math"/>
            </w:rPr>
            <m:t>≡</m:t>
          </m:r>
          <m:sSup>
            <m:sSupPr>
              <m:ctrlPr>
                <w:rPr>
                  <w:rFonts w:ascii="Cambria Math" w:hAnsi="Cambria Math"/>
                </w:rPr>
              </m:ctrlPr>
            </m:sSupPr>
            <m:e>
              <m:r>
                <w:rPr>
                  <w:rFonts w:ascii="Cambria Math" w:hAnsi="Cambria Math"/>
                </w:rPr>
                <m:t>k</m:t>
              </m:r>
            </m:e>
            <m:sup>
              <m:r>
                <m:rPr>
                  <m:sty m:val="p"/>
                </m:rPr>
                <w:rPr>
                  <w:rFonts w:ascii="Cambria Math" w:hAnsi="Cambria Math"/>
                </w:rPr>
                <m:t>stab</m:t>
              </m:r>
            </m:sup>
          </m:sSup>
          <m:f>
            <m:fPr>
              <m:ctrlPr>
                <w:rPr>
                  <w:rFonts w:ascii="Cambria Math" w:hAnsi="Cambria Math"/>
                </w:rPr>
              </m:ctrlPr>
            </m:fPr>
            <m:num>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m:rPr>
                      <m:sty m:val="p"/>
                    </m:rPr>
                    <w:rPr>
                      <w:rFonts w:ascii="Cambria Math" w:hAnsi="Cambria Math"/>
                    </w:rPr>
                    <m:t>I</m:t>
                  </m:r>
                </m:sub>
              </m:sSub>
            </m:num>
            <m:den>
              <m:sSub>
                <m:sSubPr>
                  <m:ctrlPr>
                    <w:rPr>
                      <w:rFonts w:ascii="Cambria Math" w:hAnsi="Cambria Math"/>
                    </w:rPr>
                  </m:ctrlPr>
                </m:sSubPr>
                <m:e>
                  <m:r>
                    <w:rPr>
                      <w:rFonts w:ascii="Cambria Math" w:hAnsi="Cambria Math"/>
                    </w:rPr>
                    <m:t>Q</m:t>
                  </m:r>
                </m:e>
                <m:sub>
                  <m:r>
                    <m:rPr>
                      <m:sty m:val="p"/>
                    </m:rPr>
                    <w:rPr>
                      <w:rFonts w:ascii="Cambria Math" w:hAnsi="Cambria Math"/>
                    </w:rPr>
                    <m:t>ch</m:t>
                  </m:r>
                  <m:r>
                    <w:rPr>
                      <w:rFonts w:ascii="Cambria Math" w:hAnsi="Cambria Math"/>
                    </w:rPr>
                    <m:t>1</m:t>
                  </m:r>
                </m:sub>
              </m:sSub>
            </m:den>
          </m:f>
        </m:oMath>
      </m:oMathPara>
    </w:p>
    <w:p w14:paraId="4F08B357" w14:textId="77777777" w:rsidR="00287AF0" w:rsidRPr="00287AF0" w:rsidRDefault="00287AF0" w:rsidP="00287AF0">
      <w:r w:rsidRPr="00287AF0">
        <w:t>(48)</w:t>
      </w:r>
    </w:p>
    <w:p w14:paraId="1BD50186" w14:textId="308A6A60" w:rsidR="00287AF0" w:rsidRPr="00287AF0" w:rsidRDefault="00287AF0" w:rsidP="00287AF0">
      <w:r w:rsidRPr="00287AF0">
        <w:t>Note that each of these formulae has a simple intuitive form: recombination rate coefficient is a product of stabilization rate coefficient with the ratio of the partition functions (products over reagents). All complexity is absorbed by the dynamical partition functions of four recombination pathways, computed quantum mechanically: </w:t>
      </w:r>
      <m:oMath>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m:rPr>
                <m:sty m:val="p"/>
              </m:rPr>
              <w:rPr>
                <w:rFonts w:ascii="Cambria Math" w:hAnsi="Cambria Math"/>
              </w:rPr>
              <m:t>A</m:t>
            </m:r>
          </m:sub>
        </m:sSub>
      </m:oMath>
      <w:r w:rsidRPr="00287AF0">
        <w:t>, </w:t>
      </w:r>
      <m:oMath>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m:rPr>
                <m:sty m:val="p"/>
              </m:rPr>
              <w:rPr>
                <w:rFonts w:ascii="Cambria Math" w:hAnsi="Cambria Math"/>
              </w:rPr>
              <m:t>B</m:t>
            </m:r>
          </m:sub>
        </m:sSub>
      </m:oMath>
      <w:r w:rsidRPr="00287AF0">
        <w:t>, </w:t>
      </w:r>
      <m:oMath>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w:rPr>
                <w:rFonts w:ascii="Cambria Math" w:hAnsi="Cambria Math"/>
              </w:rPr>
              <m:t>S</m:t>
            </m:r>
          </m:sub>
        </m:sSub>
      </m:oMath>
      <w:r w:rsidRPr="00287AF0">
        <w:t>, </w:t>
      </w:r>
      <m:oMath>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m:rPr>
                <m:sty m:val="p"/>
              </m:rPr>
              <w:rPr>
                <w:rFonts w:ascii="Cambria Math" w:hAnsi="Cambria Math"/>
              </w:rPr>
              <m:t>I</m:t>
            </m:r>
          </m:sub>
        </m:sSub>
      </m:oMath>
      <w:r w:rsidRPr="00287AF0">
        <w:t>.</w:t>
      </w:r>
    </w:p>
    <w:p w14:paraId="55A84141" w14:textId="77777777" w:rsidR="00287AF0" w:rsidRPr="00287AF0" w:rsidRDefault="00287AF0" w:rsidP="00391BEA">
      <w:pPr>
        <w:pStyle w:val="Heading2"/>
      </w:pPr>
      <w:r w:rsidRPr="00287AF0">
        <w:t>2.3. Formation of Symmetric and Asymmetric Molecules</w:t>
      </w:r>
    </w:p>
    <w:p w14:paraId="32DC30B5" w14:textId="1A714E16" w:rsidR="00287AF0" w:rsidRPr="00287AF0" w:rsidRDefault="00287AF0" w:rsidP="00287AF0">
      <w:r w:rsidRPr="00287AF0">
        <w:t xml:space="preserve">One </w:t>
      </w:r>
      <w:proofErr w:type="gramStart"/>
      <w:r w:rsidRPr="00287AF0">
        <w:t>has to</w:t>
      </w:r>
      <w:proofErr w:type="gramEnd"/>
      <w:r w:rsidRPr="00287AF0">
        <w:t xml:space="preserve"> realize that both </w:t>
      </w:r>
      <m:oMath>
        <m:sSub>
          <m:sSubPr>
            <m:ctrlPr>
              <w:rPr>
                <w:rFonts w:ascii="Cambria Math" w:hAnsi="Cambria Math"/>
              </w:rPr>
            </m:ctrlPr>
          </m:sSubPr>
          <m:e>
            <m:r>
              <w:rPr>
                <w:rFonts w:ascii="Cambria Math" w:hAnsi="Cambria Math"/>
              </w:rPr>
              <m:t>R</m:t>
            </m:r>
          </m:e>
          <m:sub>
            <m:r>
              <m:rPr>
                <m:sty m:val="p"/>
              </m:rPr>
              <w:rPr>
                <w:rFonts w:ascii="Cambria Math" w:hAnsi="Cambria Math"/>
              </w:rPr>
              <m:t>sym</m:t>
            </m:r>
          </m:sub>
        </m:sSub>
      </m:oMath>
      <w:r w:rsidRPr="00287AF0">
        <w:t> and </w:t>
      </w:r>
      <m:oMath>
        <m:sSub>
          <m:sSubPr>
            <m:ctrlPr>
              <w:rPr>
                <w:rFonts w:ascii="Cambria Math" w:hAnsi="Cambria Math"/>
              </w:rPr>
            </m:ctrlPr>
          </m:sSubPr>
          <m:e>
            <m:r>
              <w:rPr>
                <w:rFonts w:ascii="Cambria Math" w:hAnsi="Cambria Math"/>
              </w:rPr>
              <m:t>R</m:t>
            </m:r>
          </m:e>
          <m:sub>
            <m:r>
              <m:rPr>
                <m:sty m:val="p"/>
              </m:rPr>
              <w:rPr>
                <w:rFonts w:ascii="Cambria Math" w:hAnsi="Cambria Math"/>
              </w:rPr>
              <m:t>asym</m:t>
            </m:r>
          </m:sub>
        </m:sSub>
      </m:oMath>
      <w:r w:rsidRPr="00287AF0">
        <w:t> include contributions from two reaction channels with different reagents [66][8], in Channel 1 and [68][6], in Channel 2, see Equations (49) and (50). Therefore, rate coefficient </w:t>
      </w:r>
      <m:oMath>
        <m:sSub>
          <m:sSubPr>
            <m:ctrlPr>
              <w:rPr>
                <w:rFonts w:ascii="Cambria Math" w:hAnsi="Cambria Math"/>
                <w:iCs/>
              </w:rPr>
            </m:ctrlPr>
          </m:sSubPr>
          <m:e>
            <m:r>
              <w:rPr>
                <w:rFonts w:ascii="Cambria Math" w:hAnsi="Cambria Math"/>
              </w:rPr>
              <m:t>κ</m:t>
            </m:r>
          </m:e>
          <m:sub>
            <m:r>
              <m:rPr>
                <m:sty m:val="p"/>
              </m:rPr>
              <w:rPr>
                <w:rFonts w:ascii="Cambria Math" w:hAnsi="Cambria Math"/>
              </w:rPr>
              <m:t>sym</m:t>
            </m:r>
          </m:sub>
        </m:sSub>
      </m:oMath>
      <w:r w:rsidRPr="00287AF0">
        <w:t> is not a simple sum of </w:t>
      </w:r>
      <m:oMath>
        <m:sSub>
          <m:sSubPr>
            <m:ctrlPr>
              <w:rPr>
                <w:rFonts w:ascii="Cambria Math" w:hAnsi="Cambria Math"/>
                <w:i/>
                <w:iCs/>
              </w:rPr>
            </m:ctrlPr>
          </m:sSubPr>
          <m:e>
            <m:r>
              <w:rPr>
                <w:rFonts w:ascii="Cambria Math" w:hAnsi="Cambria Math"/>
              </w:rPr>
              <m:t>κ</m:t>
            </m:r>
          </m:e>
          <m:sub>
            <m:r>
              <w:rPr>
                <w:rFonts w:ascii="Cambria Math" w:hAnsi="Cambria Math"/>
                <w:vertAlign w:val="subscript"/>
              </w:rPr>
              <m:t>S</m:t>
            </m:r>
          </m:sub>
        </m:sSub>
      </m:oMath>
      <w:r w:rsidRPr="00287AF0">
        <w:t> and </w:t>
      </w:r>
      <m:oMath>
        <m:sSub>
          <m:sSubPr>
            <m:ctrlPr>
              <w:rPr>
                <w:rFonts w:ascii="Cambria Math" w:eastAsia="Times New Roman" w:hAnsi="Cambria Math" w:cs="Arial"/>
                <w:i/>
                <w:color w:val="222222"/>
                <w:sz w:val="23"/>
                <w:szCs w:val="23"/>
                <w:bdr w:val="none" w:sz="0" w:space="0" w:color="auto" w:frame="1"/>
              </w:rPr>
            </m:ctrlPr>
          </m:sSubPr>
          <m:e>
            <m:r>
              <w:rPr>
                <w:rFonts w:ascii="Cambria Math" w:eastAsia="Times New Roman" w:hAnsi="Cambria Math" w:cs="Arial"/>
                <w:color w:val="222222"/>
                <w:sz w:val="23"/>
                <w:szCs w:val="23"/>
                <w:bdr w:val="none" w:sz="0" w:space="0" w:color="auto" w:frame="1"/>
              </w:rPr>
              <m:t>κ</m:t>
            </m:r>
          </m:e>
          <m:sub>
            <m:r>
              <w:rPr>
                <w:rFonts w:ascii="Cambria Math" w:eastAsia="Times New Roman" w:hAnsi="Cambria Math" w:cs="Arial"/>
                <w:color w:val="222222"/>
                <w:sz w:val="23"/>
                <w:szCs w:val="23"/>
                <w:bdr w:val="none" w:sz="0" w:space="0" w:color="auto" w:frame="1"/>
              </w:rPr>
              <m:t>I</m:t>
            </m:r>
          </m:sub>
        </m:sSub>
      </m:oMath>
      <w:r w:rsidRPr="00287AF0">
        <w:t>, and likewise </w:t>
      </w:r>
      <m:oMath>
        <m:sSub>
          <m:sSubPr>
            <m:ctrlPr>
              <w:rPr>
                <w:rFonts w:ascii="Cambria Math" w:hAnsi="Cambria Math"/>
                <w:iCs/>
              </w:rPr>
            </m:ctrlPr>
          </m:sSubPr>
          <m:e>
            <m:r>
              <w:rPr>
                <w:rFonts w:ascii="Cambria Math" w:hAnsi="Cambria Math"/>
              </w:rPr>
              <m:t>κ</m:t>
            </m:r>
          </m:e>
          <m:sub>
            <m:r>
              <m:rPr>
                <m:sty m:val="p"/>
              </m:rPr>
              <w:rPr>
                <w:rFonts w:ascii="Cambria Math" w:hAnsi="Cambria Math"/>
              </w:rPr>
              <m:t>asym</m:t>
            </m:r>
          </m:sub>
        </m:sSub>
      </m:oMath>
      <w:r w:rsidRPr="00287AF0">
        <w:t> is not a simple sum of </w:t>
      </w:r>
      <m:oMath>
        <m:sSub>
          <m:sSubPr>
            <m:ctrlPr>
              <w:rPr>
                <w:rFonts w:ascii="Cambria Math" w:hAnsi="Cambria Math"/>
                <w:i/>
                <w:iCs/>
              </w:rPr>
            </m:ctrlPr>
          </m:sSubPr>
          <m:e>
            <m:r>
              <w:rPr>
                <w:rFonts w:ascii="Cambria Math" w:hAnsi="Cambria Math"/>
              </w:rPr>
              <m:t>κ</m:t>
            </m:r>
          </m:e>
          <m:sub>
            <m:r>
              <w:rPr>
                <w:rFonts w:ascii="Cambria Math" w:hAnsi="Cambria Math"/>
                <w:vertAlign w:val="subscript"/>
              </w:rPr>
              <m:t>A</m:t>
            </m:r>
          </m:sub>
        </m:sSub>
      </m:oMath>
      <w:r w:rsidRPr="00287AF0">
        <w:t> and </w:t>
      </w:r>
      <m:oMath>
        <m:sSub>
          <m:sSubPr>
            <m:ctrlPr>
              <w:rPr>
                <w:rFonts w:ascii="Cambria Math" w:hAnsi="Cambria Math"/>
                <w:i/>
                <w:iCs/>
              </w:rPr>
            </m:ctrlPr>
          </m:sSubPr>
          <m:e>
            <m:r>
              <w:rPr>
                <w:rFonts w:ascii="Cambria Math" w:hAnsi="Cambria Math"/>
              </w:rPr>
              <m:t>κ</m:t>
            </m:r>
          </m:e>
          <m:sub>
            <m:r>
              <w:rPr>
                <w:rFonts w:ascii="Cambria Math" w:hAnsi="Cambria Math"/>
                <w:vertAlign w:val="subscript"/>
              </w:rPr>
              <m:t>B</m:t>
            </m:r>
          </m:sub>
        </m:sSub>
      </m:oMath>
      <w:r w:rsidRPr="00287AF0">
        <w:t>. The following manipulations, however, permit to derive all necessary formulae:</w:t>
      </w:r>
    </w:p>
    <w:p w14:paraId="3FCD754E" w14:textId="77B63DF7" w:rsidR="00020DA4" w:rsidRPr="00287AF0" w:rsidRDefault="00702DFE" w:rsidP="00287AF0">
      <m:oMathPara>
        <m:oMath>
          <m:sSub>
            <m:sSubPr>
              <m:ctrlPr>
                <w:rPr>
                  <w:rFonts w:ascii="Cambria Math" w:hAnsi="Cambria Math"/>
                </w:rPr>
              </m:ctrlPr>
            </m:sSubPr>
            <m:e>
              <m:r>
                <w:rPr>
                  <w:rFonts w:ascii="Cambria Math" w:hAnsi="Cambria Math"/>
                </w:rPr>
                <m:t>R</m:t>
              </m:r>
            </m:e>
            <m:sub>
              <m:r>
                <m:rPr>
                  <m:sty m:val="p"/>
                </m:rPr>
                <w:rPr>
                  <w:rFonts w:ascii="Cambria Math" w:hAnsi="Cambria Math"/>
                </w:rPr>
                <m:t>sym</m:t>
              </m:r>
            </m:sub>
          </m:sSub>
          <m:r>
            <w:rPr>
              <w:rFonts w:ascii="Cambria Math" w:hAnsi="Cambria Math"/>
            </w:rPr>
            <m:t>=</m:t>
          </m:r>
          <m:sSub>
            <m:sSubPr>
              <m:ctrlPr>
                <w:rPr>
                  <w:rFonts w:ascii="Cambria Math" w:hAnsi="Cambria Math"/>
                </w:rPr>
              </m:ctrlPr>
            </m:sSubPr>
            <m:e>
              <m:r>
                <w:rPr>
                  <w:rFonts w:ascii="Cambria Math" w:hAnsi="Cambria Math"/>
                </w:rPr>
                <m:t>R</m:t>
              </m:r>
            </m:e>
            <m:sub>
              <m:r>
                <m:rPr>
                  <m:sty m:val="p"/>
                </m:rPr>
                <w:rPr>
                  <w:rFonts w:ascii="Cambria Math" w:hAnsi="Cambria Math"/>
                </w:rPr>
                <m:t>S</m:t>
              </m:r>
            </m:sub>
          </m:sSub>
          <m:r>
            <w:rPr>
              <w:rFonts w:ascii="Cambria Math" w:hAnsi="Cambria Math"/>
            </w:rPr>
            <m:t>+=</m:t>
          </m:r>
          <m:sSub>
            <m:sSubPr>
              <m:ctrlPr>
                <w:rPr>
                  <w:rFonts w:ascii="Cambria Math" w:hAnsi="Cambria Math"/>
                </w:rPr>
              </m:ctrlPr>
            </m:sSubPr>
            <m:e>
              <m:r>
                <w:rPr>
                  <w:rFonts w:ascii="Cambria Math" w:hAnsi="Cambria Math"/>
                </w:rPr>
                <m:t>κ</m:t>
              </m:r>
            </m:e>
            <m:sub>
              <m:r>
                <m:rPr>
                  <m:sty m:val="p"/>
                </m:rPr>
                <w:rPr>
                  <w:rFonts w:ascii="Cambria Math" w:hAnsi="Cambria Math"/>
                </w:rPr>
                <m:t>S</m:t>
              </m:r>
            </m:sub>
          </m:sSub>
          <m:d>
            <m:dPr>
              <m:begChr m:val="["/>
              <m:endChr m:val="]"/>
              <m:ctrlPr>
                <w:rPr>
                  <w:rFonts w:ascii="Cambria Math" w:hAnsi="Cambria Math"/>
                  <w:i/>
                </w:rPr>
              </m:ctrlPr>
            </m:dPr>
            <m:e>
              <m:r>
                <m:rPr>
                  <m:sty m:val="p"/>
                </m:rPr>
                <w:rPr>
                  <w:rFonts w:ascii="Cambria Math" w:hAnsi="Cambria Math"/>
                </w:rPr>
                <m:t>M</m:t>
              </m:r>
            </m:e>
          </m:d>
          <m:d>
            <m:dPr>
              <m:begChr m:val="["/>
              <m:endChr m:val="]"/>
              <m:ctrlPr>
                <w:rPr>
                  <w:rFonts w:ascii="Cambria Math" w:hAnsi="Cambria Math"/>
                  <w:i/>
                </w:rPr>
              </m:ctrlPr>
            </m:dPr>
            <m:e>
              <m:r>
                <w:rPr>
                  <w:rFonts w:ascii="Cambria Math" w:hAnsi="Cambria Math"/>
                </w:rPr>
                <m:t>68</m:t>
              </m:r>
            </m:e>
          </m:d>
          <m:d>
            <m:dPr>
              <m:begChr m:val="["/>
              <m:endChr m:val="]"/>
              <m:ctrlPr>
                <w:rPr>
                  <w:rFonts w:ascii="Cambria Math" w:hAnsi="Cambria Math"/>
                  <w:i/>
                </w:rPr>
              </m:ctrlPr>
            </m:dPr>
            <m:e>
              <m:r>
                <w:rPr>
                  <w:rFonts w:ascii="Cambria Math" w:hAnsi="Cambria Math"/>
                </w:rPr>
                <m:t>6</m:t>
              </m:r>
            </m:e>
          </m:d>
          <m:r>
            <w:rPr>
              <w:rFonts w:ascii="Cambria Math" w:hAnsi="Cambria Math"/>
            </w:rPr>
            <m:t>+</m:t>
          </m:r>
          <m:sSub>
            <m:sSubPr>
              <m:ctrlPr>
                <w:rPr>
                  <w:rFonts w:ascii="Cambria Math" w:hAnsi="Cambria Math"/>
                </w:rPr>
              </m:ctrlPr>
            </m:sSubPr>
            <m:e>
              <m:r>
                <w:rPr>
                  <w:rFonts w:ascii="Cambria Math" w:hAnsi="Cambria Math"/>
                </w:rPr>
                <m:t>κ</m:t>
              </m:r>
            </m:e>
            <m:sub>
              <m:r>
                <m:rPr>
                  <m:sty m:val="p"/>
                </m:rPr>
                <w:rPr>
                  <w:rFonts w:ascii="Cambria Math" w:hAnsi="Cambria Math"/>
                </w:rPr>
                <m:t>I</m:t>
              </m:r>
            </m:sub>
          </m:sSub>
          <m:d>
            <m:dPr>
              <m:begChr m:val="["/>
              <m:endChr m:val="]"/>
              <m:ctrlPr>
                <w:rPr>
                  <w:rFonts w:ascii="Cambria Math" w:hAnsi="Cambria Math"/>
                  <w:i/>
                </w:rPr>
              </m:ctrlPr>
            </m:dPr>
            <m:e>
              <m:r>
                <m:rPr>
                  <m:sty m:val="p"/>
                </m:rPr>
                <w:rPr>
                  <w:rFonts w:ascii="Cambria Math" w:hAnsi="Cambria Math"/>
                </w:rPr>
                <m:t>M</m:t>
              </m:r>
            </m:e>
          </m:d>
          <m:d>
            <m:dPr>
              <m:begChr m:val="["/>
              <m:endChr m:val="]"/>
              <m:ctrlPr>
                <w:rPr>
                  <w:rFonts w:ascii="Cambria Math" w:hAnsi="Cambria Math"/>
                  <w:i/>
                </w:rPr>
              </m:ctrlPr>
            </m:dPr>
            <m:e>
              <m:r>
                <w:rPr>
                  <w:rFonts w:ascii="Cambria Math" w:hAnsi="Cambria Math"/>
                </w:rPr>
                <m:t>66</m:t>
              </m:r>
            </m:e>
          </m:d>
          <m:d>
            <m:dPr>
              <m:begChr m:val="["/>
              <m:endChr m:val="]"/>
              <m:ctrlPr>
                <w:rPr>
                  <w:rFonts w:ascii="Cambria Math" w:hAnsi="Cambria Math"/>
                  <w:i/>
                </w:rPr>
              </m:ctrlPr>
            </m:dPr>
            <m:e>
              <m:r>
                <w:rPr>
                  <w:rFonts w:ascii="Cambria Math" w:hAnsi="Cambria Math"/>
                </w:rPr>
                <m:t>8</m:t>
              </m:r>
            </m:e>
          </m:d>
          <m:r>
            <w:rPr>
              <w:rFonts w:ascii="Cambria Math" w:hAnsi="Cambria Math"/>
            </w:rPr>
            <m:t>=</m:t>
          </m:r>
          <m:d>
            <m:dPr>
              <m:ctrlPr>
                <w:rPr>
                  <w:rFonts w:ascii="Cambria Math" w:hAnsi="Cambria Math"/>
                  <w:i/>
                </w:rPr>
              </m:ctrlPr>
            </m:dPr>
            <m:e>
              <m:sSub>
                <m:sSubPr>
                  <m:ctrlPr>
                    <w:rPr>
                      <w:rFonts w:ascii="Cambria Math" w:hAnsi="Cambria Math"/>
                    </w:rPr>
                  </m:ctrlPr>
                </m:sSubPr>
                <m:e>
                  <m:r>
                    <w:rPr>
                      <w:rFonts w:ascii="Cambria Math" w:hAnsi="Cambria Math"/>
                    </w:rPr>
                    <m:t>κ</m:t>
                  </m:r>
                </m:e>
                <m:sub>
                  <m:r>
                    <m:rPr>
                      <m:sty m:val="p"/>
                    </m:rPr>
                    <w:rPr>
                      <w:rFonts w:ascii="Cambria Math" w:hAnsi="Cambria Math"/>
                    </w:rPr>
                    <m:t>S</m:t>
                  </m:r>
                </m:sub>
              </m:sSub>
              <m:r>
                <w:rPr>
                  <w:rFonts w:ascii="Cambria Math" w:hAnsi="Cambria Math"/>
                </w:rPr>
                <m:t>+</m:t>
              </m:r>
              <m:sSub>
                <m:sSubPr>
                  <m:ctrlPr>
                    <w:rPr>
                      <w:rFonts w:ascii="Cambria Math" w:hAnsi="Cambria Math"/>
                    </w:rPr>
                  </m:ctrlPr>
                </m:sSubPr>
                <m:e>
                  <m:r>
                    <w:rPr>
                      <w:rFonts w:ascii="Cambria Math" w:hAnsi="Cambria Math"/>
                    </w:rPr>
                    <m:t>κ</m:t>
                  </m:r>
                </m:e>
                <m:sub>
                  <m:r>
                    <m:rPr>
                      <m:sty m:val="p"/>
                    </m:rPr>
                    <w:rPr>
                      <w:rFonts w:ascii="Cambria Math" w:hAnsi="Cambria Math"/>
                    </w:rPr>
                    <m:t>I</m:t>
                  </m:r>
                </m:sub>
              </m:sSub>
              <m:f>
                <m:fPr>
                  <m:ctrlPr>
                    <w:rPr>
                      <w:rFonts w:ascii="Cambria Math" w:hAnsi="Cambria Math"/>
                    </w:rPr>
                  </m:ctrlPr>
                </m:fPr>
                <m:num>
                  <m:d>
                    <m:dPr>
                      <m:begChr m:val="["/>
                      <m:endChr m:val="]"/>
                      <m:ctrlPr>
                        <w:rPr>
                          <w:rFonts w:ascii="Cambria Math" w:hAnsi="Cambria Math"/>
                          <w:i/>
                        </w:rPr>
                      </m:ctrlPr>
                    </m:dPr>
                    <m:e>
                      <m:r>
                        <w:rPr>
                          <w:rFonts w:ascii="Cambria Math" w:hAnsi="Cambria Math"/>
                        </w:rPr>
                        <m:t>66</m:t>
                      </m:r>
                    </m:e>
                  </m:d>
                  <m:d>
                    <m:dPr>
                      <m:begChr m:val="["/>
                      <m:endChr m:val="]"/>
                      <m:ctrlPr>
                        <w:rPr>
                          <w:rFonts w:ascii="Cambria Math" w:hAnsi="Cambria Math"/>
                          <w:i/>
                        </w:rPr>
                      </m:ctrlPr>
                    </m:dPr>
                    <m:e>
                      <m:r>
                        <w:rPr>
                          <w:rFonts w:ascii="Cambria Math" w:hAnsi="Cambria Math"/>
                        </w:rPr>
                        <m:t>8</m:t>
                      </m:r>
                    </m:e>
                  </m:d>
                </m:num>
                <m:den>
                  <m:d>
                    <m:dPr>
                      <m:begChr m:val="["/>
                      <m:endChr m:val="]"/>
                      <m:ctrlPr>
                        <w:rPr>
                          <w:rFonts w:ascii="Cambria Math" w:hAnsi="Cambria Math"/>
                          <w:i/>
                        </w:rPr>
                      </m:ctrlPr>
                    </m:dPr>
                    <m:e>
                      <m:r>
                        <w:rPr>
                          <w:rFonts w:ascii="Cambria Math" w:hAnsi="Cambria Math"/>
                        </w:rPr>
                        <m:t>68</m:t>
                      </m:r>
                    </m:e>
                  </m:d>
                  <m:d>
                    <m:dPr>
                      <m:begChr m:val="["/>
                      <m:endChr m:val="]"/>
                      <m:ctrlPr>
                        <w:rPr>
                          <w:rFonts w:ascii="Cambria Math" w:hAnsi="Cambria Math"/>
                          <w:i/>
                        </w:rPr>
                      </m:ctrlPr>
                    </m:dPr>
                    <m:e>
                      <m:r>
                        <w:rPr>
                          <w:rFonts w:ascii="Cambria Math" w:hAnsi="Cambria Math"/>
                        </w:rPr>
                        <m:t>6</m:t>
                      </m:r>
                    </m:e>
                  </m:d>
                </m:den>
              </m:f>
            </m:e>
          </m:d>
          <m:d>
            <m:dPr>
              <m:begChr m:val="["/>
              <m:endChr m:val="]"/>
              <m:ctrlPr>
                <w:rPr>
                  <w:rFonts w:ascii="Cambria Math" w:hAnsi="Cambria Math"/>
                  <w:i/>
                </w:rPr>
              </m:ctrlPr>
            </m:dPr>
            <m:e>
              <m:r>
                <w:rPr>
                  <w:rFonts w:ascii="Cambria Math" w:hAnsi="Cambria Math"/>
                </w:rPr>
                <m:t>68</m:t>
              </m:r>
            </m:e>
          </m:d>
          <m:d>
            <m:dPr>
              <m:begChr m:val="["/>
              <m:endChr m:val="]"/>
              <m:ctrlPr>
                <w:rPr>
                  <w:rFonts w:ascii="Cambria Math" w:hAnsi="Cambria Math"/>
                  <w:i/>
                </w:rPr>
              </m:ctrlPr>
            </m:dPr>
            <m:e>
              <m:r>
                <w:rPr>
                  <w:rFonts w:ascii="Cambria Math" w:hAnsi="Cambria Math"/>
                </w:rPr>
                <m:t>6</m:t>
              </m:r>
            </m:e>
          </m:d>
          <m:d>
            <m:dPr>
              <m:begChr m:val="["/>
              <m:endChr m:val="]"/>
              <m:ctrlPr>
                <w:rPr>
                  <w:rFonts w:ascii="Cambria Math" w:hAnsi="Cambria Math"/>
                  <w:i/>
                </w:rPr>
              </m:ctrlPr>
            </m:dPr>
            <m:e>
              <m:r>
                <m:rPr>
                  <m:sty m:val="p"/>
                </m:rPr>
                <w:rPr>
                  <w:rFonts w:ascii="Cambria Math" w:hAnsi="Cambria Math"/>
                </w:rPr>
                <m:t>M</m:t>
              </m:r>
            </m:e>
          </m:d>
          <m:r>
            <w:rPr>
              <w:rFonts w:ascii="Cambria Math" w:hAnsi="Cambria Math"/>
            </w:rPr>
            <m:t>=</m:t>
          </m:r>
          <m:sSub>
            <m:sSubPr>
              <m:ctrlPr>
                <w:rPr>
                  <w:rFonts w:ascii="Cambria Math" w:hAnsi="Cambria Math"/>
                </w:rPr>
              </m:ctrlPr>
            </m:sSubPr>
            <m:e>
              <m:r>
                <w:rPr>
                  <w:rFonts w:ascii="Cambria Math" w:hAnsi="Cambria Math"/>
                </w:rPr>
                <m:t>κ</m:t>
              </m:r>
            </m:e>
            <m:sub>
              <m:r>
                <m:rPr>
                  <m:sty m:val="p"/>
                </m:rPr>
                <w:rPr>
                  <w:rFonts w:ascii="Cambria Math" w:hAnsi="Cambria Math"/>
                </w:rPr>
                <m:t>sym</m:t>
              </m:r>
            </m:sub>
          </m:sSub>
          <m:d>
            <m:dPr>
              <m:begChr m:val="["/>
              <m:endChr m:val="]"/>
              <m:ctrlPr>
                <w:rPr>
                  <w:rFonts w:ascii="Cambria Math" w:hAnsi="Cambria Math"/>
                  <w:i/>
                </w:rPr>
              </m:ctrlPr>
            </m:dPr>
            <m:e>
              <m:r>
                <w:rPr>
                  <w:rFonts w:ascii="Cambria Math" w:hAnsi="Cambria Math"/>
                </w:rPr>
                <m:t>68</m:t>
              </m:r>
            </m:e>
          </m:d>
          <m:d>
            <m:dPr>
              <m:begChr m:val="["/>
              <m:endChr m:val="]"/>
              <m:ctrlPr>
                <w:rPr>
                  <w:rFonts w:ascii="Cambria Math" w:hAnsi="Cambria Math"/>
                  <w:i/>
                </w:rPr>
              </m:ctrlPr>
            </m:dPr>
            <m:e>
              <m:r>
                <w:rPr>
                  <w:rFonts w:ascii="Cambria Math" w:hAnsi="Cambria Math"/>
                </w:rPr>
                <m:t>6</m:t>
              </m:r>
            </m:e>
          </m:d>
          <m:d>
            <m:dPr>
              <m:begChr m:val="["/>
              <m:endChr m:val="]"/>
              <m:ctrlPr>
                <w:rPr>
                  <w:rFonts w:ascii="Cambria Math" w:hAnsi="Cambria Math"/>
                  <w:i/>
                </w:rPr>
              </m:ctrlPr>
            </m:dPr>
            <m:e>
              <m:r>
                <m:rPr>
                  <m:sty m:val="p"/>
                </m:rPr>
                <w:rPr>
                  <w:rFonts w:ascii="Cambria Math" w:hAnsi="Cambria Math"/>
                </w:rPr>
                <m:t>M</m:t>
              </m:r>
            </m:e>
          </m:d>
        </m:oMath>
      </m:oMathPara>
    </w:p>
    <w:p w14:paraId="343EB16B" w14:textId="77777777" w:rsidR="00287AF0" w:rsidRPr="00287AF0" w:rsidRDefault="00287AF0" w:rsidP="00287AF0">
      <w:r w:rsidRPr="00287AF0">
        <w:t>(49)</w:t>
      </w:r>
    </w:p>
    <w:p w14:paraId="2B4DE1F6" w14:textId="3FF98E40" w:rsidR="00020DA4" w:rsidRPr="00287AF0" w:rsidRDefault="00702DFE" w:rsidP="00287AF0">
      <m:oMathPara>
        <m:oMath>
          <m:sSub>
            <m:sSubPr>
              <m:ctrlPr>
                <w:rPr>
                  <w:rFonts w:ascii="Cambria Math" w:hAnsi="Cambria Math"/>
                </w:rPr>
              </m:ctrlPr>
            </m:sSubPr>
            <m:e>
              <m:r>
                <w:rPr>
                  <w:rFonts w:ascii="Cambria Math" w:hAnsi="Cambria Math"/>
                </w:rPr>
                <m:t>R</m:t>
              </m:r>
            </m:e>
            <m:sub>
              <m:r>
                <m:rPr>
                  <m:sty m:val="p"/>
                </m:rPr>
                <w:rPr>
                  <w:rFonts w:ascii="Cambria Math" w:hAnsi="Cambria Math"/>
                </w:rPr>
                <m:t>asym</m:t>
              </m:r>
            </m:sub>
          </m:sSub>
          <m:r>
            <w:rPr>
              <w:rFonts w:ascii="Cambria Math" w:hAnsi="Cambria Math"/>
            </w:rPr>
            <m:t>=</m:t>
          </m:r>
          <m:sSub>
            <m:sSubPr>
              <m:ctrlPr>
                <w:rPr>
                  <w:rFonts w:ascii="Cambria Math" w:hAnsi="Cambria Math"/>
                </w:rPr>
              </m:ctrlPr>
            </m:sSubPr>
            <m:e>
              <m:r>
                <w:rPr>
                  <w:rFonts w:ascii="Cambria Math" w:hAnsi="Cambria Math"/>
                </w:rPr>
                <m:t>R</m:t>
              </m:r>
            </m:e>
            <m:sub>
              <m:r>
                <m:rPr>
                  <m:sty m:val="p"/>
                </m:rPr>
                <w:rPr>
                  <w:rFonts w:ascii="Cambria Math" w:hAnsi="Cambria Math"/>
                </w:rPr>
                <m:t>A</m:t>
              </m:r>
            </m:sub>
          </m:sSub>
          <m:r>
            <w:rPr>
              <w:rFonts w:ascii="Cambria Math" w:hAnsi="Cambria Math"/>
            </w:rPr>
            <m:t>+</m:t>
          </m:r>
          <m:sSub>
            <m:sSubPr>
              <m:ctrlPr>
                <w:rPr>
                  <w:rFonts w:ascii="Cambria Math" w:hAnsi="Cambria Math"/>
                </w:rPr>
              </m:ctrlPr>
            </m:sSubPr>
            <m:e>
              <m:r>
                <w:rPr>
                  <w:rFonts w:ascii="Cambria Math" w:hAnsi="Cambria Math"/>
                </w:rPr>
                <m:t>R</m:t>
              </m:r>
            </m:e>
            <m:sub>
              <m:r>
                <m:rPr>
                  <m:sty m:val="p"/>
                </m:rPr>
                <w:rPr>
                  <w:rFonts w:ascii="Cambria Math" w:hAnsi="Cambria Math"/>
                </w:rPr>
                <m:t>B</m:t>
              </m:r>
            </m:sub>
          </m:sSub>
          <m:r>
            <w:rPr>
              <w:rFonts w:ascii="Cambria Math" w:hAnsi="Cambria Math"/>
            </w:rPr>
            <m:t>=</m:t>
          </m:r>
          <m:sSub>
            <m:sSubPr>
              <m:ctrlPr>
                <w:rPr>
                  <w:rFonts w:ascii="Cambria Math" w:hAnsi="Cambria Math"/>
                </w:rPr>
              </m:ctrlPr>
            </m:sSubPr>
            <m:e>
              <m:r>
                <w:rPr>
                  <w:rFonts w:ascii="Cambria Math" w:hAnsi="Cambria Math"/>
                </w:rPr>
                <m:t>κ</m:t>
              </m:r>
            </m:e>
            <m:sub>
              <m:r>
                <m:rPr>
                  <m:sty m:val="p"/>
                </m:rPr>
                <w:rPr>
                  <w:rFonts w:ascii="Cambria Math" w:hAnsi="Cambria Math"/>
                </w:rPr>
                <m:t>A</m:t>
              </m:r>
            </m:sub>
          </m:sSub>
          <m:d>
            <m:dPr>
              <m:begChr m:val="["/>
              <m:endChr m:val="]"/>
              <m:ctrlPr>
                <w:rPr>
                  <w:rFonts w:ascii="Cambria Math" w:hAnsi="Cambria Math"/>
                  <w:i/>
                </w:rPr>
              </m:ctrlPr>
            </m:dPr>
            <m:e>
              <m:r>
                <m:rPr>
                  <m:sty m:val="p"/>
                </m:rPr>
                <w:rPr>
                  <w:rFonts w:ascii="Cambria Math" w:hAnsi="Cambria Math"/>
                </w:rPr>
                <m:t>M</m:t>
              </m:r>
            </m:e>
          </m:d>
          <m:d>
            <m:dPr>
              <m:begChr m:val="["/>
              <m:endChr m:val="]"/>
              <m:ctrlPr>
                <w:rPr>
                  <w:rFonts w:ascii="Cambria Math" w:hAnsi="Cambria Math"/>
                  <w:i/>
                </w:rPr>
              </m:ctrlPr>
            </m:dPr>
            <m:e>
              <m:r>
                <w:rPr>
                  <w:rFonts w:ascii="Cambria Math" w:hAnsi="Cambria Math"/>
                </w:rPr>
                <m:t>68</m:t>
              </m:r>
            </m:e>
          </m:d>
          <m:d>
            <m:dPr>
              <m:begChr m:val="["/>
              <m:endChr m:val="]"/>
              <m:ctrlPr>
                <w:rPr>
                  <w:rFonts w:ascii="Cambria Math" w:hAnsi="Cambria Math"/>
                  <w:i/>
                </w:rPr>
              </m:ctrlPr>
            </m:dPr>
            <m:e>
              <m:r>
                <w:rPr>
                  <w:rFonts w:ascii="Cambria Math" w:hAnsi="Cambria Math"/>
                </w:rPr>
                <m:t>6</m:t>
              </m:r>
            </m:e>
          </m:d>
          <m:r>
            <w:rPr>
              <w:rFonts w:ascii="Cambria Math" w:hAnsi="Cambria Math"/>
            </w:rPr>
            <m:t>+</m:t>
          </m:r>
          <m:sSub>
            <m:sSubPr>
              <m:ctrlPr>
                <w:rPr>
                  <w:rFonts w:ascii="Cambria Math" w:hAnsi="Cambria Math"/>
                </w:rPr>
              </m:ctrlPr>
            </m:sSubPr>
            <m:e>
              <m:r>
                <w:rPr>
                  <w:rFonts w:ascii="Cambria Math" w:hAnsi="Cambria Math"/>
                </w:rPr>
                <m:t>κ</m:t>
              </m:r>
            </m:e>
            <m:sub>
              <m:r>
                <m:rPr>
                  <m:sty m:val="p"/>
                </m:rPr>
                <w:rPr>
                  <w:rFonts w:ascii="Cambria Math" w:hAnsi="Cambria Math"/>
                </w:rPr>
                <m:t>B</m:t>
              </m:r>
            </m:sub>
          </m:sSub>
          <m:d>
            <m:dPr>
              <m:begChr m:val="["/>
              <m:endChr m:val="]"/>
              <m:ctrlPr>
                <w:rPr>
                  <w:rFonts w:ascii="Cambria Math" w:hAnsi="Cambria Math"/>
                  <w:i/>
                </w:rPr>
              </m:ctrlPr>
            </m:dPr>
            <m:e>
              <m:r>
                <m:rPr>
                  <m:sty m:val="p"/>
                </m:rPr>
                <w:rPr>
                  <w:rFonts w:ascii="Cambria Math" w:hAnsi="Cambria Math"/>
                </w:rPr>
                <m:t>M</m:t>
              </m:r>
            </m:e>
          </m:d>
          <m:d>
            <m:dPr>
              <m:begChr m:val="["/>
              <m:endChr m:val="]"/>
              <m:ctrlPr>
                <w:rPr>
                  <w:rFonts w:ascii="Cambria Math" w:hAnsi="Cambria Math"/>
                  <w:i/>
                </w:rPr>
              </m:ctrlPr>
            </m:dPr>
            <m:e>
              <m:r>
                <w:rPr>
                  <w:rFonts w:ascii="Cambria Math" w:hAnsi="Cambria Math"/>
                </w:rPr>
                <m:t>66</m:t>
              </m:r>
            </m:e>
          </m:d>
          <m:d>
            <m:dPr>
              <m:begChr m:val="["/>
              <m:endChr m:val="]"/>
              <m:ctrlPr>
                <w:rPr>
                  <w:rFonts w:ascii="Cambria Math" w:hAnsi="Cambria Math"/>
                  <w:i/>
                </w:rPr>
              </m:ctrlPr>
            </m:dPr>
            <m:e>
              <m:r>
                <w:rPr>
                  <w:rFonts w:ascii="Cambria Math" w:hAnsi="Cambria Math"/>
                </w:rPr>
                <m:t>8</m:t>
              </m:r>
            </m:e>
          </m:d>
          <m:r>
            <w:rPr>
              <w:rFonts w:ascii="Cambria Math" w:hAnsi="Cambria Math"/>
            </w:rPr>
            <m:t>=</m:t>
          </m:r>
          <m:d>
            <m:dPr>
              <m:ctrlPr>
                <w:rPr>
                  <w:rFonts w:ascii="Cambria Math" w:hAnsi="Cambria Math"/>
                  <w:i/>
                </w:rPr>
              </m:ctrlPr>
            </m:dPr>
            <m:e>
              <m:sSub>
                <m:sSubPr>
                  <m:ctrlPr>
                    <w:rPr>
                      <w:rFonts w:ascii="Cambria Math" w:hAnsi="Cambria Math"/>
                    </w:rPr>
                  </m:ctrlPr>
                </m:sSubPr>
                <m:e>
                  <m:r>
                    <w:rPr>
                      <w:rFonts w:ascii="Cambria Math" w:hAnsi="Cambria Math"/>
                    </w:rPr>
                    <m:t>κ</m:t>
                  </m:r>
                </m:e>
                <m:sub>
                  <m:r>
                    <m:rPr>
                      <m:sty m:val="p"/>
                    </m:rPr>
                    <w:rPr>
                      <w:rFonts w:ascii="Cambria Math" w:hAnsi="Cambria Math"/>
                    </w:rPr>
                    <m:t>A</m:t>
                  </m:r>
                </m:sub>
              </m:sSub>
              <m:r>
                <w:rPr>
                  <w:rFonts w:ascii="Cambria Math" w:hAnsi="Cambria Math"/>
                </w:rPr>
                <m:t>+</m:t>
              </m:r>
              <m:sSub>
                <m:sSubPr>
                  <m:ctrlPr>
                    <w:rPr>
                      <w:rFonts w:ascii="Cambria Math" w:hAnsi="Cambria Math"/>
                    </w:rPr>
                  </m:ctrlPr>
                </m:sSubPr>
                <m:e>
                  <m:r>
                    <w:rPr>
                      <w:rFonts w:ascii="Cambria Math" w:hAnsi="Cambria Math"/>
                    </w:rPr>
                    <m:t>κ</m:t>
                  </m:r>
                </m:e>
                <m:sub>
                  <m:r>
                    <m:rPr>
                      <m:sty m:val="p"/>
                    </m:rPr>
                    <w:rPr>
                      <w:rFonts w:ascii="Cambria Math" w:hAnsi="Cambria Math"/>
                    </w:rPr>
                    <m:t>B</m:t>
                  </m:r>
                </m:sub>
              </m:sSub>
              <m:f>
                <m:fPr>
                  <m:ctrlPr>
                    <w:rPr>
                      <w:rFonts w:ascii="Cambria Math" w:hAnsi="Cambria Math"/>
                    </w:rPr>
                  </m:ctrlPr>
                </m:fPr>
                <m:num>
                  <m:d>
                    <m:dPr>
                      <m:begChr m:val="["/>
                      <m:endChr m:val="]"/>
                      <m:ctrlPr>
                        <w:rPr>
                          <w:rFonts w:ascii="Cambria Math" w:hAnsi="Cambria Math"/>
                          <w:i/>
                        </w:rPr>
                      </m:ctrlPr>
                    </m:dPr>
                    <m:e>
                      <m:r>
                        <w:rPr>
                          <w:rFonts w:ascii="Cambria Math" w:hAnsi="Cambria Math"/>
                        </w:rPr>
                        <m:t>66</m:t>
                      </m:r>
                    </m:e>
                  </m:d>
                  <m:d>
                    <m:dPr>
                      <m:begChr m:val="["/>
                      <m:endChr m:val="]"/>
                      <m:ctrlPr>
                        <w:rPr>
                          <w:rFonts w:ascii="Cambria Math" w:hAnsi="Cambria Math"/>
                          <w:i/>
                        </w:rPr>
                      </m:ctrlPr>
                    </m:dPr>
                    <m:e>
                      <m:r>
                        <w:rPr>
                          <w:rFonts w:ascii="Cambria Math" w:hAnsi="Cambria Math"/>
                        </w:rPr>
                        <m:t>8</m:t>
                      </m:r>
                    </m:e>
                  </m:d>
                </m:num>
                <m:den>
                  <m:d>
                    <m:dPr>
                      <m:begChr m:val="["/>
                      <m:endChr m:val="]"/>
                      <m:ctrlPr>
                        <w:rPr>
                          <w:rFonts w:ascii="Cambria Math" w:hAnsi="Cambria Math"/>
                          <w:i/>
                        </w:rPr>
                      </m:ctrlPr>
                    </m:dPr>
                    <m:e>
                      <m:r>
                        <w:rPr>
                          <w:rFonts w:ascii="Cambria Math" w:hAnsi="Cambria Math"/>
                        </w:rPr>
                        <m:t>68</m:t>
                      </m:r>
                    </m:e>
                  </m:d>
                  <m:d>
                    <m:dPr>
                      <m:begChr m:val="["/>
                      <m:endChr m:val="]"/>
                      <m:ctrlPr>
                        <w:rPr>
                          <w:rFonts w:ascii="Cambria Math" w:hAnsi="Cambria Math"/>
                          <w:i/>
                        </w:rPr>
                      </m:ctrlPr>
                    </m:dPr>
                    <m:e>
                      <m:r>
                        <w:rPr>
                          <w:rFonts w:ascii="Cambria Math" w:hAnsi="Cambria Math"/>
                        </w:rPr>
                        <m:t>6</m:t>
                      </m:r>
                    </m:e>
                  </m:d>
                </m:den>
              </m:f>
            </m:e>
          </m:d>
          <m:d>
            <m:dPr>
              <m:begChr m:val="["/>
              <m:endChr m:val="]"/>
              <m:ctrlPr>
                <w:rPr>
                  <w:rFonts w:ascii="Cambria Math" w:hAnsi="Cambria Math"/>
                  <w:i/>
                </w:rPr>
              </m:ctrlPr>
            </m:dPr>
            <m:e>
              <m:r>
                <w:rPr>
                  <w:rFonts w:ascii="Cambria Math" w:hAnsi="Cambria Math"/>
                </w:rPr>
                <m:t>68</m:t>
              </m:r>
            </m:e>
          </m:d>
          <m:d>
            <m:dPr>
              <m:begChr m:val="["/>
              <m:endChr m:val="]"/>
              <m:ctrlPr>
                <w:rPr>
                  <w:rFonts w:ascii="Cambria Math" w:hAnsi="Cambria Math"/>
                  <w:i/>
                </w:rPr>
              </m:ctrlPr>
            </m:dPr>
            <m:e>
              <m:r>
                <w:rPr>
                  <w:rFonts w:ascii="Cambria Math" w:hAnsi="Cambria Math"/>
                </w:rPr>
                <m:t>6</m:t>
              </m:r>
            </m:e>
          </m:d>
          <m:d>
            <m:dPr>
              <m:begChr m:val="["/>
              <m:endChr m:val="]"/>
              <m:ctrlPr>
                <w:rPr>
                  <w:rFonts w:ascii="Cambria Math" w:hAnsi="Cambria Math"/>
                  <w:i/>
                </w:rPr>
              </m:ctrlPr>
            </m:dPr>
            <m:e>
              <m:r>
                <m:rPr>
                  <m:sty m:val="p"/>
                </m:rPr>
                <w:rPr>
                  <w:rFonts w:ascii="Cambria Math" w:hAnsi="Cambria Math"/>
                </w:rPr>
                <m:t>M</m:t>
              </m:r>
            </m:e>
          </m:d>
          <m:r>
            <w:rPr>
              <w:rFonts w:ascii="Cambria Math" w:hAnsi="Cambria Math"/>
            </w:rPr>
            <m:t>=</m:t>
          </m:r>
          <m:sSub>
            <m:sSubPr>
              <m:ctrlPr>
                <w:rPr>
                  <w:rFonts w:ascii="Cambria Math" w:hAnsi="Cambria Math"/>
                </w:rPr>
              </m:ctrlPr>
            </m:sSubPr>
            <m:e>
              <m:r>
                <w:rPr>
                  <w:rFonts w:ascii="Cambria Math" w:hAnsi="Cambria Math"/>
                </w:rPr>
                <m:t>κ</m:t>
              </m:r>
            </m:e>
            <m:sub>
              <m:r>
                <m:rPr>
                  <m:sty m:val="p"/>
                </m:rPr>
                <w:rPr>
                  <w:rFonts w:ascii="Cambria Math" w:hAnsi="Cambria Math"/>
                </w:rPr>
                <m:t>asym</m:t>
              </m:r>
            </m:sub>
          </m:sSub>
          <m:d>
            <m:dPr>
              <m:begChr m:val="["/>
              <m:endChr m:val="]"/>
              <m:ctrlPr>
                <w:rPr>
                  <w:rFonts w:ascii="Cambria Math" w:hAnsi="Cambria Math"/>
                  <w:i/>
                </w:rPr>
              </m:ctrlPr>
            </m:dPr>
            <m:e>
              <m:r>
                <w:rPr>
                  <w:rFonts w:ascii="Cambria Math" w:hAnsi="Cambria Math"/>
                </w:rPr>
                <m:t>68</m:t>
              </m:r>
            </m:e>
          </m:d>
          <m:d>
            <m:dPr>
              <m:begChr m:val="["/>
              <m:endChr m:val="]"/>
              <m:ctrlPr>
                <w:rPr>
                  <w:rFonts w:ascii="Cambria Math" w:hAnsi="Cambria Math"/>
                  <w:i/>
                </w:rPr>
              </m:ctrlPr>
            </m:dPr>
            <m:e>
              <m:r>
                <w:rPr>
                  <w:rFonts w:ascii="Cambria Math" w:hAnsi="Cambria Math"/>
                </w:rPr>
                <m:t>6</m:t>
              </m:r>
            </m:e>
          </m:d>
          <m:d>
            <m:dPr>
              <m:begChr m:val="["/>
              <m:endChr m:val="]"/>
              <m:ctrlPr>
                <w:rPr>
                  <w:rFonts w:ascii="Cambria Math" w:hAnsi="Cambria Math"/>
                  <w:i/>
                </w:rPr>
              </m:ctrlPr>
            </m:dPr>
            <m:e>
              <m:r>
                <m:rPr>
                  <m:sty m:val="p"/>
                </m:rPr>
                <w:rPr>
                  <w:rFonts w:ascii="Cambria Math" w:hAnsi="Cambria Math"/>
                </w:rPr>
                <m:t>M</m:t>
              </m:r>
            </m:e>
          </m:d>
        </m:oMath>
      </m:oMathPara>
    </w:p>
    <w:p w14:paraId="1C4BBCF4" w14:textId="77777777" w:rsidR="00287AF0" w:rsidRPr="00287AF0" w:rsidRDefault="00287AF0" w:rsidP="00287AF0">
      <w:r w:rsidRPr="00287AF0">
        <w:t>(50)</w:t>
      </w:r>
    </w:p>
    <w:p w14:paraId="209CA313" w14:textId="77777777" w:rsidR="00287AF0" w:rsidRPr="00287AF0" w:rsidRDefault="00287AF0" w:rsidP="00287AF0">
      <w:r w:rsidRPr="00287AF0">
        <w:t>In this approach the contributions of two reaction channels are added together, by re-expressing the two rates through the concentrations of reagents in the lowest energy channel (Channel 2 in the singly substituted case).</w:t>
      </w:r>
    </w:p>
    <w:p w14:paraId="3428DFDA" w14:textId="77777777" w:rsidR="00287AF0" w:rsidRPr="00287AF0" w:rsidRDefault="00287AF0" w:rsidP="00287AF0">
      <w:r w:rsidRPr="00287AF0">
        <w:t>Note that the ratio of four concentrations in these expressions represents the equilibrium constant for isotope exchange between the two channels, with forward direction defined to be from Channel 2 to Channel 1:</w:t>
      </w:r>
    </w:p>
    <w:p w14:paraId="4CC2AC0C" w14:textId="426C940E" w:rsidR="00AF29B1" w:rsidRPr="00287AF0" w:rsidRDefault="009F2715" w:rsidP="00287AF0">
      <m:oMathPara>
        <m:oMath>
          <m:r>
            <w:rPr>
              <w:rFonts w:ascii="Cambria Math" w:hAnsi="Cambria Math"/>
            </w:rPr>
            <m:t>68+6⇌66+8</m:t>
          </m:r>
        </m:oMath>
      </m:oMathPara>
    </w:p>
    <w:p w14:paraId="3CF8BF7D" w14:textId="77777777" w:rsidR="00287AF0" w:rsidRPr="00287AF0" w:rsidRDefault="00287AF0" w:rsidP="00287AF0">
      <w:r w:rsidRPr="00287AF0">
        <w:t>(51)</w:t>
      </w:r>
    </w:p>
    <w:p w14:paraId="7032D56D" w14:textId="51CFCC73" w:rsidR="00AF29B1" w:rsidRPr="00287AF0" w:rsidRDefault="008F33B2" w:rsidP="00287AF0">
      <m:oMathPara>
        <m:oMath>
          <m:sSup>
            <m:sSupPr>
              <m:ctrlPr>
                <w:rPr>
                  <w:rFonts w:ascii="Cambria Math" w:hAnsi="Cambria Math"/>
                </w:rPr>
              </m:ctrlPr>
            </m:sSupPr>
            <m:e>
              <m:r>
                <w:rPr>
                  <w:rFonts w:ascii="Cambria Math" w:hAnsi="Cambria Math"/>
                </w:rPr>
                <m:t>K</m:t>
              </m:r>
            </m:e>
            <m:sup>
              <m:r>
                <m:rPr>
                  <m:sty m:val="p"/>
                </m:rPr>
                <w:rPr>
                  <w:rFonts w:ascii="Cambria Math" w:hAnsi="Cambria Math"/>
                </w:rPr>
                <m:t>ex</m:t>
              </m:r>
            </m:sup>
          </m:sSup>
          <m:r>
            <w:rPr>
              <w:rFonts w:ascii="Cambria Math" w:hAnsi="Cambria Math"/>
            </w:rPr>
            <m:t>=</m:t>
          </m:r>
          <m:f>
            <m:fPr>
              <m:ctrlPr>
                <w:rPr>
                  <w:rFonts w:ascii="Cambria Math" w:hAnsi="Cambria Math"/>
                </w:rPr>
              </m:ctrlPr>
            </m:fPr>
            <m:num>
              <m:d>
                <m:dPr>
                  <m:begChr m:val="["/>
                  <m:endChr m:val="]"/>
                  <m:ctrlPr>
                    <w:rPr>
                      <w:rFonts w:ascii="Cambria Math" w:hAnsi="Cambria Math"/>
                      <w:i/>
                    </w:rPr>
                  </m:ctrlPr>
                </m:dPr>
                <m:e>
                  <m:r>
                    <w:rPr>
                      <w:rFonts w:ascii="Cambria Math" w:hAnsi="Cambria Math"/>
                    </w:rPr>
                    <m:t>66</m:t>
                  </m:r>
                </m:e>
              </m:d>
              <m:d>
                <m:dPr>
                  <m:begChr m:val="["/>
                  <m:endChr m:val="]"/>
                  <m:ctrlPr>
                    <w:rPr>
                      <w:rFonts w:ascii="Cambria Math" w:hAnsi="Cambria Math"/>
                      <w:i/>
                    </w:rPr>
                  </m:ctrlPr>
                </m:dPr>
                <m:e>
                  <m:r>
                    <w:rPr>
                      <w:rFonts w:ascii="Cambria Math" w:hAnsi="Cambria Math"/>
                    </w:rPr>
                    <m:t>8</m:t>
                  </m:r>
                </m:e>
              </m:d>
            </m:num>
            <m:den>
              <m:d>
                <m:dPr>
                  <m:begChr m:val="["/>
                  <m:endChr m:val="]"/>
                  <m:ctrlPr>
                    <w:rPr>
                      <w:rFonts w:ascii="Cambria Math" w:hAnsi="Cambria Math"/>
                      <w:i/>
                    </w:rPr>
                  </m:ctrlPr>
                </m:dPr>
                <m:e>
                  <m:r>
                    <w:rPr>
                      <w:rFonts w:ascii="Cambria Math" w:hAnsi="Cambria Math"/>
                    </w:rPr>
                    <m:t>68</m:t>
                  </m:r>
                </m:e>
              </m:d>
              <m:d>
                <m:dPr>
                  <m:begChr m:val="["/>
                  <m:endChr m:val="]"/>
                  <m:ctrlPr>
                    <w:rPr>
                      <w:rFonts w:ascii="Cambria Math" w:hAnsi="Cambria Math"/>
                      <w:i/>
                    </w:rPr>
                  </m:ctrlPr>
                </m:dPr>
                <m:e>
                  <m:r>
                    <w:rPr>
                      <w:rFonts w:ascii="Cambria Math" w:hAnsi="Cambria Math"/>
                    </w:rPr>
                    <m:t>6</m:t>
                  </m:r>
                </m:e>
              </m:d>
            </m:den>
          </m:f>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Q</m:t>
                  </m:r>
                </m:e>
                <m:sub>
                  <m:r>
                    <m:rPr>
                      <m:sty m:val="p"/>
                    </m:rPr>
                    <w:rPr>
                      <w:rFonts w:ascii="Cambria Math" w:hAnsi="Cambria Math"/>
                    </w:rPr>
                    <m:t>ch</m:t>
                  </m:r>
                  <m:r>
                    <w:rPr>
                      <w:rFonts w:ascii="Cambria Math" w:hAnsi="Cambria Math"/>
                    </w:rPr>
                    <m:t>1</m:t>
                  </m:r>
                </m:sub>
              </m:sSub>
              <m:sSup>
                <m:sSupPr>
                  <m:ctrlPr>
                    <w:rPr>
                      <w:rFonts w:ascii="Cambria Math" w:hAnsi="Cambria Math"/>
                    </w:rPr>
                  </m:ctrlPr>
                </m:sSupPr>
                <m:e>
                  <m:r>
                    <w:rPr>
                      <w:rFonts w:ascii="Cambria Math" w:hAnsi="Cambria Math"/>
                    </w:rPr>
                    <m:t>e</m:t>
                  </m:r>
                </m:e>
                <m:sup>
                  <m:r>
                    <w:rPr>
                      <w:rFonts w:ascii="Cambria Math" w:hAnsi="Cambria Math"/>
                    </w:rPr>
                    <m:t>-</m:t>
                  </m:r>
                  <m:f>
                    <m:fPr>
                      <m:ctrlPr>
                        <w:rPr>
                          <w:rFonts w:ascii="Cambria Math" w:hAnsi="Cambria Math"/>
                          <w:i/>
                        </w:rPr>
                      </m:ctrlPr>
                    </m:fPr>
                    <m:num>
                      <m:r>
                        <m:rPr>
                          <m:sty m:val="p"/>
                        </m:rPr>
                        <w:rPr>
                          <w:rFonts w:ascii="Cambria Math" w:hAnsi="Cambria Math"/>
                        </w:rPr>
                        <m:t>ΔZPE</m:t>
                      </m:r>
                    </m:num>
                    <m:den>
                      <m:r>
                        <w:rPr>
                          <w:rFonts w:ascii="Cambria Math" w:hAnsi="Cambria Math"/>
                        </w:rPr>
                        <m:t>kT</m:t>
                      </m:r>
                    </m:den>
                  </m:f>
                </m:sup>
              </m:sSup>
            </m:num>
            <m:den>
              <m:sSub>
                <m:sSubPr>
                  <m:ctrlPr>
                    <w:rPr>
                      <w:rFonts w:ascii="Cambria Math" w:hAnsi="Cambria Math"/>
                    </w:rPr>
                  </m:ctrlPr>
                </m:sSubPr>
                <m:e>
                  <m:r>
                    <w:rPr>
                      <w:rFonts w:ascii="Cambria Math" w:hAnsi="Cambria Math"/>
                    </w:rPr>
                    <m:t>Q</m:t>
                  </m:r>
                </m:e>
                <m:sub>
                  <m:r>
                    <m:rPr>
                      <m:sty m:val="p"/>
                    </m:rPr>
                    <w:rPr>
                      <w:rFonts w:ascii="Cambria Math" w:hAnsi="Cambria Math"/>
                    </w:rPr>
                    <m:t>ch</m:t>
                  </m:r>
                  <m:r>
                    <w:rPr>
                      <w:rFonts w:ascii="Cambria Math" w:hAnsi="Cambria Math"/>
                    </w:rPr>
                    <m:t>2</m:t>
                  </m:r>
                </m:sub>
              </m:sSub>
            </m:den>
          </m:f>
          <m:r>
            <w:rPr>
              <w:rFonts w:ascii="Cambria Math" w:hAnsi="Cambria Math"/>
            </w:rPr>
            <m:t>.</m:t>
          </m:r>
        </m:oMath>
      </m:oMathPara>
    </w:p>
    <w:p w14:paraId="2797881C" w14:textId="77777777" w:rsidR="00287AF0" w:rsidRPr="00287AF0" w:rsidRDefault="00287AF0" w:rsidP="00287AF0">
      <w:r w:rsidRPr="00287AF0">
        <w:t>(52)</w:t>
      </w:r>
    </w:p>
    <w:p w14:paraId="7B4D6240" w14:textId="77777777" w:rsidR="00287AF0" w:rsidRPr="00287AF0" w:rsidRDefault="00287AF0" w:rsidP="00287AF0">
      <w:r w:rsidRPr="00287AF0">
        <w:t>The value of this equilibrium constant is expected to be on the order of 1/2 due to symmetry of the homonuclear diatomic reagent in the Channel 1, in which every other rotational state is forbidden by quantum mechanical selection rules.</w:t>
      </w:r>
    </w:p>
    <w:p w14:paraId="62BF2769" w14:textId="77777777" w:rsidR="00287AF0" w:rsidRPr="00287AF0" w:rsidRDefault="00287AF0" w:rsidP="00287AF0">
      <w:r w:rsidRPr="00287AF0">
        <w:t>With this definition, the expressions for product-specific recombination rate coefficients are:</w:t>
      </w:r>
    </w:p>
    <w:p w14:paraId="42DC02C7" w14:textId="5EEDFD12" w:rsidR="008F33B2" w:rsidRPr="00287AF0" w:rsidRDefault="009466DE" w:rsidP="00287AF0">
      <m:oMathPara>
        <m:oMath>
          <m:sSub>
            <m:sSubPr>
              <m:ctrlPr>
                <w:rPr>
                  <w:rFonts w:ascii="Cambria Math" w:hAnsi="Cambria Math"/>
                </w:rPr>
              </m:ctrlPr>
            </m:sSubPr>
            <m:e>
              <m:r>
                <w:rPr>
                  <w:rFonts w:ascii="Cambria Math" w:hAnsi="Cambria Math"/>
                </w:rPr>
                <m:t>κ</m:t>
              </m:r>
            </m:e>
            <m:sub>
              <m:r>
                <m:rPr>
                  <m:sty m:val="p"/>
                </m:rPr>
                <w:rPr>
                  <w:rFonts w:ascii="Cambria Math" w:hAnsi="Cambria Math"/>
                </w:rPr>
                <m:t>sym</m:t>
              </m:r>
            </m:sub>
          </m:sSub>
          <m:r>
            <w:rPr>
              <w:rFonts w:ascii="Cambria Math" w:hAnsi="Cambria Math"/>
            </w:rPr>
            <m:t>≡</m:t>
          </m:r>
          <m:sSub>
            <m:sSubPr>
              <m:ctrlPr>
                <w:rPr>
                  <w:rFonts w:ascii="Cambria Math" w:hAnsi="Cambria Math"/>
                </w:rPr>
              </m:ctrlPr>
            </m:sSubPr>
            <m:e>
              <m:r>
                <w:rPr>
                  <w:rFonts w:ascii="Cambria Math" w:hAnsi="Cambria Math"/>
                </w:rPr>
                <m:t>κ</m:t>
              </m:r>
            </m:e>
            <m:sub>
              <m:r>
                <m:rPr>
                  <m:sty m:val="p"/>
                </m:rPr>
                <w:rPr>
                  <w:rFonts w:ascii="Cambria Math" w:hAnsi="Cambria Math"/>
                </w:rPr>
                <m:t>S</m:t>
              </m:r>
            </m:sub>
          </m:sSub>
          <m:r>
            <w:rPr>
              <w:rFonts w:ascii="Cambria Math" w:hAnsi="Cambria Math"/>
            </w:rPr>
            <m:t>+</m:t>
          </m:r>
          <m:sSub>
            <m:sSubPr>
              <m:ctrlPr>
                <w:rPr>
                  <w:rFonts w:ascii="Cambria Math" w:hAnsi="Cambria Math"/>
                </w:rPr>
              </m:ctrlPr>
            </m:sSubPr>
            <m:e>
              <m:r>
                <w:rPr>
                  <w:rFonts w:ascii="Cambria Math" w:hAnsi="Cambria Math"/>
                </w:rPr>
                <m:t>κ</m:t>
              </m:r>
            </m:e>
            <m:sub>
              <m:r>
                <m:rPr>
                  <m:sty m:val="p"/>
                </m:rPr>
                <w:rPr>
                  <w:rFonts w:ascii="Cambria Math" w:hAnsi="Cambria Math"/>
                </w:rPr>
                <m:t>I</m:t>
              </m:r>
            </m:sub>
          </m:sSub>
          <m:sSup>
            <m:sSupPr>
              <m:ctrlPr>
                <w:rPr>
                  <w:rFonts w:ascii="Cambria Math" w:hAnsi="Cambria Math"/>
                </w:rPr>
              </m:ctrlPr>
            </m:sSupPr>
            <m:e>
              <m:r>
                <w:rPr>
                  <w:rFonts w:ascii="Cambria Math" w:hAnsi="Cambria Math"/>
                </w:rPr>
                <m:t>K</m:t>
              </m:r>
            </m:e>
            <m:sup>
              <m:r>
                <m:rPr>
                  <m:sty m:val="p"/>
                </m:rPr>
                <w:rPr>
                  <w:rFonts w:ascii="Cambria Math" w:hAnsi="Cambria Math"/>
                </w:rPr>
                <m:t>ex</m:t>
              </m:r>
            </m:sup>
          </m:sSup>
        </m:oMath>
      </m:oMathPara>
    </w:p>
    <w:p w14:paraId="76287779" w14:textId="77777777" w:rsidR="00287AF0" w:rsidRPr="00287AF0" w:rsidRDefault="00287AF0" w:rsidP="00287AF0">
      <w:r w:rsidRPr="00287AF0">
        <w:t>(53)</w:t>
      </w:r>
    </w:p>
    <w:p w14:paraId="39C7D2B9" w14:textId="29A67CD9" w:rsidR="008F33B2" w:rsidRPr="00287AF0" w:rsidRDefault="00A77644" w:rsidP="00287AF0">
      <m:oMathPara>
        <m:oMath>
          <m:sSub>
            <m:sSubPr>
              <m:ctrlPr>
                <w:rPr>
                  <w:rFonts w:ascii="Cambria Math" w:hAnsi="Cambria Math"/>
                </w:rPr>
              </m:ctrlPr>
            </m:sSubPr>
            <m:e>
              <m:r>
                <w:rPr>
                  <w:rFonts w:ascii="Cambria Math" w:hAnsi="Cambria Math"/>
                </w:rPr>
                <m:t>κ</m:t>
              </m:r>
            </m:e>
            <m:sub>
              <m:r>
                <m:rPr>
                  <m:sty m:val="p"/>
                </m:rPr>
                <w:rPr>
                  <w:rFonts w:ascii="Cambria Math" w:hAnsi="Cambria Math"/>
                </w:rPr>
                <m:t>asym</m:t>
              </m:r>
            </m:sub>
          </m:sSub>
          <m:r>
            <w:rPr>
              <w:rFonts w:ascii="Cambria Math" w:hAnsi="Cambria Math"/>
            </w:rPr>
            <m:t>≡</m:t>
          </m:r>
          <m:sSub>
            <m:sSubPr>
              <m:ctrlPr>
                <w:rPr>
                  <w:rFonts w:ascii="Cambria Math" w:hAnsi="Cambria Math"/>
                </w:rPr>
              </m:ctrlPr>
            </m:sSubPr>
            <m:e>
              <m:r>
                <w:rPr>
                  <w:rFonts w:ascii="Cambria Math" w:hAnsi="Cambria Math"/>
                </w:rPr>
                <m:t>κ</m:t>
              </m:r>
            </m:e>
            <m:sub>
              <m:r>
                <m:rPr>
                  <m:sty m:val="p"/>
                </m:rPr>
                <w:rPr>
                  <w:rFonts w:ascii="Cambria Math" w:hAnsi="Cambria Math"/>
                </w:rPr>
                <m:t>A</m:t>
              </m:r>
            </m:sub>
          </m:sSub>
          <m:r>
            <w:rPr>
              <w:rFonts w:ascii="Cambria Math" w:hAnsi="Cambria Math"/>
            </w:rPr>
            <m:t>+</m:t>
          </m:r>
          <m:sSub>
            <m:sSubPr>
              <m:ctrlPr>
                <w:rPr>
                  <w:rFonts w:ascii="Cambria Math" w:hAnsi="Cambria Math"/>
                </w:rPr>
              </m:ctrlPr>
            </m:sSubPr>
            <m:e>
              <m:r>
                <w:rPr>
                  <w:rFonts w:ascii="Cambria Math" w:hAnsi="Cambria Math"/>
                </w:rPr>
                <m:t>κ</m:t>
              </m:r>
            </m:e>
            <m:sub>
              <m:r>
                <m:rPr>
                  <m:sty m:val="p"/>
                </m:rPr>
                <w:rPr>
                  <w:rFonts w:ascii="Cambria Math" w:hAnsi="Cambria Math"/>
                </w:rPr>
                <m:t>B</m:t>
              </m:r>
            </m:sub>
          </m:sSub>
          <m:sSup>
            <m:sSupPr>
              <m:ctrlPr>
                <w:rPr>
                  <w:rFonts w:ascii="Cambria Math" w:hAnsi="Cambria Math"/>
                </w:rPr>
              </m:ctrlPr>
            </m:sSupPr>
            <m:e>
              <m:r>
                <w:rPr>
                  <w:rFonts w:ascii="Cambria Math" w:hAnsi="Cambria Math"/>
                </w:rPr>
                <m:t>K</m:t>
              </m:r>
            </m:e>
            <m:sup>
              <m:r>
                <m:rPr>
                  <m:sty m:val="p"/>
                </m:rPr>
                <w:rPr>
                  <w:rFonts w:ascii="Cambria Math" w:hAnsi="Cambria Math"/>
                </w:rPr>
                <m:t>ex</m:t>
              </m:r>
            </m:sup>
          </m:sSup>
        </m:oMath>
      </m:oMathPara>
    </w:p>
    <w:p w14:paraId="7EECEF3B" w14:textId="77777777" w:rsidR="00287AF0" w:rsidRPr="00287AF0" w:rsidRDefault="00287AF0" w:rsidP="00287AF0">
      <w:r w:rsidRPr="00287AF0">
        <w:t>(54)</w:t>
      </w:r>
    </w:p>
    <w:p w14:paraId="62A29F2C" w14:textId="77777777" w:rsidR="00287AF0" w:rsidRPr="00287AF0" w:rsidRDefault="00287AF0" w:rsidP="00287AF0">
      <w:r w:rsidRPr="00287AF0">
        <w:t>Indeed, neither of these expressions is a simple sum. The isotope exchange constant Kex enters these expressions, multiplying the rate constant for the upper channel.</w:t>
      </w:r>
    </w:p>
    <w:p w14:paraId="13C134D4" w14:textId="77777777" w:rsidR="00287AF0" w:rsidRPr="00287AF0" w:rsidRDefault="00287AF0" w:rsidP="00287AF0">
      <w:r w:rsidRPr="00287AF0">
        <w:t>Substitution of Equations (45)</w:t>
      </w:r>
      <w:proofErr w:type="gramStart"/>
      <w:r w:rsidRPr="00287AF0">
        <w:t>–(</w:t>
      </w:r>
      <w:proofErr w:type="gramEnd"/>
      <w:r w:rsidRPr="00287AF0">
        <w:t>48) for four rate constants into Equations (53) and (54) permits to obtain the following expressions:</w:t>
      </w:r>
    </w:p>
    <w:p w14:paraId="61E2FF73" w14:textId="3C93D984" w:rsidR="00A77644" w:rsidRPr="00287AF0" w:rsidRDefault="0099526E" w:rsidP="00287AF0">
      <m:oMathPara>
        <m:oMath>
          <m:sSub>
            <m:sSubPr>
              <m:ctrlPr>
                <w:rPr>
                  <w:rFonts w:ascii="Cambria Math" w:hAnsi="Cambria Math"/>
                </w:rPr>
              </m:ctrlPr>
            </m:sSubPr>
            <m:e>
              <m:r>
                <w:rPr>
                  <w:rFonts w:ascii="Cambria Math" w:hAnsi="Cambria Math"/>
                </w:rPr>
                <m:t>κ</m:t>
              </m:r>
            </m:e>
            <m:sub>
              <m:r>
                <m:rPr>
                  <m:sty m:val="p"/>
                </m:rPr>
                <w:rPr>
                  <w:rFonts w:ascii="Cambria Math" w:hAnsi="Cambria Math"/>
                </w:rPr>
                <m:t>sym</m:t>
              </m:r>
            </m:sub>
          </m:sSub>
          <m:r>
            <w:rPr>
              <w:rFonts w:ascii="Cambria Math" w:hAnsi="Cambria Math"/>
            </w:rPr>
            <m:t>≡</m:t>
          </m:r>
          <m:sSup>
            <m:sSupPr>
              <m:ctrlPr>
                <w:rPr>
                  <w:rFonts w:ascii="Cambria Math" w:hAnsi="Cambria Math"/>
                </w:rPr>
              </m:ctrlPr>
            </m:sSupPr>
            <m:e>
              <m:r>
                <w:rPr>
                  <w:rFonts w:ascii="Cambria Math" w:hAnsi="Cambria Math"/>
                </w:rPr>
                <m:t>k</m:t>
              </m:r>
            </m:e>
            <m:sup>
              <m:r>
                <m:rPr>
                  <m:sty m:val="p"/>
                </m:rPr>
                <w:rPr>
                  <w:rFonts w:ascii="Cambria Math" w:hAnsi="Cambria Math"/>
                </w:rPr>
                <m:t>stab</m:t>
              </m:r>
            </m:sup>
          </m:sSup>
          <m:f>
            <m:fPr>
              <m:ctrlPr>
                <w:rPr>
                  <w:rFonts w:ascii="Cambria Math" w:hAnsi="Cambria Math"/>
                </w:rPr>
              </m:ctrlPr>
            </m:fPr>
            <m:num>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m:rPr>
                      <m:sty m:val="p"/>
                    </m:rPr>
                    <w:rPr>
                      <w:rFonts w:ascii="Cambria Math" w:hAnsi="Cambria Math"/>
                    </w:rPr>
                    <m:t>sym</m:t>
                  </m:r>
                </m:sub>
              </m:sSub>
            </m:num>
            <m:den>
              <m:sSub>
                <m:sSubPr>
                  <m:ctrlPr>
                    <w:rPr>
                      <w:rFonts w:ascii="Cambria Math" w:hAnsi="Cambria Math"/>
                    </w:rPr>
                  </m:ctrlPr>
                </m:sSubPr>
                <m:e>
                  <m:r>
                    <w:rPr>
                      <w:rFonts w:ascii="Cambria Math" w:hAnsi="Cambria Math"/>
                    </w:rPr>
                    <m:t>Q</m:t>
                  </m:r>
                </m:e>
                <m:sub>
                  <m:r>
                    <m:rPr>
                      <m:sty m:val="p"/>
                    </m:rPr>
                    <w:rPr>
                      <w:rFonts w:ascii="Cambria Math" w:hAnsi="Cambria Math"/>
                    </w:rPr>
                    <m:t>ch</m:t>
                  </m:r>
                  <m:r>
                    <w:rPr>
                      <w:rFonts w:ascii="Cambria Math" w:hAnsi="Cambria Math"/>
                    </w:rPr>
                    <m:t>2</m:t>
                  </m:r>
                </m:sub>
              </m:sSub>
            </m:den>
          </m:f>
        </m:oMath>
      </m:oMathPara>
    </w:p>
    <w:p w14:paraId="04F3CD8C" w14:textId="77777777" w:rsidR="00287AF0" w:rsidRPr="00287AF0" w:rsidRDefault="00287AF0" w:rsidP="00287AF0">
      <w:r w:rsidRPr="00287AF0">
        <w:t>(55)</w:t>
      </w:r>
    </w:p>
    <w:p w14:paraId="5C121F39" w14:textId="41203499" w:rsidR="0099526E" w:rsidRPr="00287AF0" w:rsidRDefault="00BF2584" w:rsidP="00287AF0">
      <m:oMathPara>
        <m:oMath>
          <m:sSub>
            <m:sSubPr>
              <m:ctrlPr>
                <w:rPr>
                  <w:rFonts w:ascii="Cambria Math" w:hAnsi="Cambria Math"/>
                </w:rPr>
              </m:ctrlPr>
            </m:sSubPr>
            <m:e>
              <m:r>
                <w:rPr>
                  <w:rFonts w:ascii="Cambria Math" w:hAnsi="Cambria Math"/>
                </w:rPr>
                <m:t>κ</m:t>
              </m:r>
            </m:e>
            <m:sub>
              <m:r>
                <m:rPr>
                  <m:sty m:val="p"/>
                </m:rPr>
                <w:rPr>
                  <w:rFonts w:ascii="Cambria Math" w:hAnsi="Cambria Math"/>
                </w:rPr>
                <m:t>asym</m:t>
              </m:r>
            </m:sub>
          </m:sSub>
          <m:r>
            <w:rPr>
              <w:rFonts w:ascii="Cambria Math" w:hAnsi="Cambria Math"/>
            </w:rPr>
            <m:t>≡</m:t>
          </m:r>
          <m:sSup>
            <m:sSupPr>
              <m:ctrlPr>
                <w:rPr>
                  <w:rFonts w:ascii="Cambria Math" w:hAnsi="Cambria Math"/>
                </w:rPr>
              </m:ctrlPr>
            </m:sSupPr>
            <m:e>
              <m:r>
                <w:rPr>
                  <w:rFonts w:ascii="Cambria Math" w:hAnsi="Cambria Math"/>
                </w:rPr>
                <m:t>k</m:t>
              </m:r>
            </m:e>
            <m:sup>
              <m:r>
                <m:rPr>
                  <m:sty m:val="p"/>
                </m:rPr>
                <w:rPr>
                  <w:rFonts w:ascii="Cambria Math" w:hAnsi="Cambria Math"/>
                </w:rPr>
                <m:t>stab</m:t>
              </m:r>
            </m:sup>
          </m:sSup>
          <m:f>
            <m:fPr>
              <m:ctrlPr>
                <w:rPr>
                  <w:rFonts w:ascii="Cambria Math" w:hAnsi="Cambria Math"/>
                </w:rPr>
              </m:ctrlPr>
            </m:fPr>
            <m:num>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m:rPr>
                      <m:sty m:val="p"/>
                    </m:rPr>
                    <w:rPr>
                      <w:rFonts w:ascii="Cambria Math" w:hAnsi="Cambria Math"/>
                    </w:rPr>
                    <m:t>asym</m:t>
                  </m:r>
                </m:sub>
              </m:sSub>
            </m:num>
            <m:den>
              <m:sSub>
                <m:sSubPr>
                  <m:ctrlPr>
                    <w:rPr>
                      <w:rFonts w:ascii="Cambria Math" w:hAnsi="Cambria Math"/>
                    </w:rPr>
                  </m:ctrlPr>
                </m:sSubPr>
                <m:e>
                  <m:r>
                    <w:rPr>
                      <w:rFonts w:ascii="Cambria Math" w:hAnsi="Cambria Math"/>
                    </w:rPr>
                    <m:t>Q</m:t>
                  </m:r>
                </m:e>
                <m:sub>
                  <m:r>
                    <m:rPr>
                      <m:sty m:val="p"/>
                    </m:rPr>
                    <w:rPr>
                      <w:rFonts w:ascii="Cambria Math" w:hAnsi="Cambria Math"/>
                    </w:rPr>
                    <m:t>ch</m:t>
                  </m:r>
                  <m:r>
                    <w:rPr>
                      <w:rFonts w:ascii="Cambria Math" w:hAnsi="Cambria Math"/>
                    </w:rPr>
                    <m:t>2</m:t>
                  </m:r>
                </m:sub>
              </m:sSub>
            </m:den>
          </m:f>
        </m:oMath>
      </m:oMathPara>
    </w:p>
    <w:p w14:paraId="493433D4" w14:textId="77777777" w:rsidR="00287AF0" w:rsidRPr="00287AF0" w:rsidRDefault="00287AF0" w:rsidP="00287AF0">
      <w:r w:rsidRPr="00287AF0">
        <w:t>(56)</w:t>
      </w:r>
    </w:p>
    <w:p w14:paraId="72B53A3B" w14:textId="77777777" w:rsidR="00287AF0" w:rsidRPr="00287AF0" w:rsidRDefault="00287AF0" w:rsidP="00287AF0">
      <w:r w:rsidRPr="00287AF0">
        <w:t>where we introduced the dynamical partition functions for the formation of symmetric and asymmetric ozone molecules as:</w:t>
      </w:r>
    </w:p>
    <w:p w14:paraId="6A5B1D59" w14:textId="08614EA9" w:rsidR="0099526E" w:rsidRPr="00287AF0" w:rsidRDefault="008F6A80" w:rsidP="00287AF0">
      <m:oMathPara>
        <m:oMath>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m:rPr>
                  <m:sty m:val="p"/>
                </m:rPr>
                <w:rPr>
                  <w:rFonts w:ascii="Cambria Math" w:hAnsi="Cambria Math"/>
                </w:rPr>
                <m:t>sym</m:t>
              </m:r>
            </m:sub>
          </m:sSub>
          <m:r>
            <w:rPr>
              <w:rFonts w:ascii="Cambria Math" w:hAnsi="Cambria Math"/>
            </w:rPr>
            <m:t>≡</m:t>
          </m:r>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m:rPr>
                  <m:sty m:val="p"/>
                </m:rPr>
                <w:rPr>
                  <w:rFonts w:ascii="Cambria Math" w:hAnsi="Cambria Math"/>
                </w:rPr>
                <m:t>S</m:t>
              </m:r>
            </m:sub>
          </m:sSub>
          <m:r>
            <w:rPr>
              <w:rFonts w:ascii="Cambria Math" w:hAnsi="Cambria Math"/>
            </w:rPr>
            <m:t>+</m:t>
          </m:r>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m:rPr>
                  <m:sty m:val="p"/>
                </m:rPr>
                <w:rPr>
                  <w:rFonts w:ascii="Cambria Math" w:hAnsi="Cambria Math"/>
                </w:rPr>
                <m:t>I</m:t>
              </m:r>
            </m:sub>
          </m:sSub>
          <m:sSup>
            <m:sSupPr>
              <m:ctrlPr>
                <w:rPr>
                  <w:rFonts w:ascii="Cambria Math" w:hAnsi="Cambria Math"/>
                </w:rPr>
              </m:ctrlPr>
            </m:sSupPr>
            <m:e>
              <m:r>
                <w:rPr>
                  <w:rFonts w:ascii="Cambria Math" w:hAnsi="Cambria Math"/>
                </w:rPr>
                <m:t>e</m:t>
              </m:r>
            </m:e>
            <m:sup>
              <m:r>
                <w:rPr>
                  <w:rFonts w:ascii="Cambria Math" w:hAnsi="Cambria Math"/>
                </w:rPr>
                <m:t>-</m:t>
              </m:r>
              <m:f>
                <m:fPr>
                  <m:ctrlPr>
                    <w:rPr>
                      <w:rFonts w:ascii="Cambria Math" w:hAnsi="Cambria Math"/>
                    </w:rPr>
                  </m:ctrlPr>
                </m:fPr>
                <m:num>
                  <m:r>
                    <m:rPr>
                      <m:sty m:val="p"/>
                    </m:rPr>
                    <w:rPr>
                      <w:rFonts w:ascii="Cambria Math" w:hAnsi="Cambria Math"/>
                    </w:rPr>
                    <m:t>ΔZPE</m:t>
                  </m:r>
                </m:num>
                <m:den>
                  <m:r>
                    <w:rPr>
                      <w:rFonts w:ascii="Cambria Math" w:hAnsi="Cambria Math"/>
                    </w:rPr>
                    <m:t>kT</m:t>
                  </m:r>
                </m:den>
              </m:f>
            </m:sup>
          </m:sSup>
        </m:oMath>
      </m:oMathPara>
    </w:p>
    <w:p w14:paraId="5337773C" w14:textId="77777777" w:rsidR="00287AF0" w:rsidRPr="00287AF0" w:rsidRDefault="00287AF0" w:rsidP="00287AF0">
      <w:r w:rsidRPr="00287AF0">
        <w:t>(57)</w:t>
      </w:r>
    </w:p>
    <w:p w14:paraId="4463C836" w14:textId="408885CC" w:rsidR="0099526E" w:rsidRPr="00287AF0" w:rsidRDefault="007765AA" w:rsidP="00287AF0">
      <m:oMathPara>
        <m:oMath>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m:rPr>
                  <m:sty m:val="p"/>
                </m:rPr>
                <w:rPr>
                  <w:rFonts w:ascii="Cambria Math" w:hAnsi="Cambria Math"/>
                </w:rPr>
                <m:t>asym</m:t>
              </m:r>
            </m:sub>
          </m:sSub>
          <m:r>
            <w:rPr>
              <w:rFonts w:ascii="Cambria Math" w:hAnsi="Cambria Math"/>
            </w:rPr>
            <m:t>≡</m:t>
          </m:r>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m:rPr>
                  <m:sty m:val="p"/>
                </m:rPr>
                <w:rPr>
                  <w:rFonts w:ascii="Cambria Math" w:hAnsi="Cambria Math"/>
                </w:rPr>
                <m:t>A</m:t>
              </m:r>
            </m:sub>
          </m:sSub>
          <m:r>
            <w:rPr>
              <w:rFonts w:ascii="Cambria Math" w:hAnsi="Cambria Math"/>
            </w:rPr>
            <m:t>+</m:t>
          </m:r>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m:rPr>
                  <m:sty m:val="p"/>
                </m:rPr>
                <w:rPr>
                  <w:rFonts w:ascii="Cambria Math" w:hAnsi="Cambria Math"/>
                </w:rPr>
                <m:t>B</m:t>
              </m:r>
            </m:sub>
          </m:sSub>
          <m:sSup>
            <m:sSupPr>
              <m:ctrlPr>
                <w:rPr>
                  <w:rFonts w:ascii="Cambria Math" w:hAnsi="Cambria Math"/>
                </w:rPr>
              </m:ctrlPr>
            </m:sSupPr>
            <m:e>
              <m:r>
                <w:rPr>
                  <w:rFonts w:ascii="Cambria Math" w:hAnsi="Cambria Math"/>
                </w:rPr>
                <m:t>e</m:t>
              </m:r>
            </m:e>
            <m:sup>
              <m:r>
                <w:rPr>
                  <w:rFonts w:ascii="Cambria Math" w:hAnsi="Cambria Math"/>
                </w:rPr>
                <m:t>-</m:t>
              </m:r>
              <m:f>
                <m:fPr>
                  <m:ctrlPr>
                    <w:rPr>
                      <w:rFonts w:ascii="Cambria Math" w:hAnsi="Cambria Math"/>
                    </w:rPr>
                  </m:ctrlPr>
                </m:fPr>
                <m:num>
                  <m:r>
                    <m:rPr>
                      <m:sty m:val="p"/>
                    </m:rPr>
                    <w:rPr>
                      <w:rFonts w:ascii="Cambria Math" w:hAnsi="Cambria Math"/>
                    </w:rPr>
                    <m:t>ΔZPE</m:t>
                  </m:r>
                </m:num>
                <m:den>
                  <m:r>
                    <w:rPr>
                      <w:rFonts w:ascii="Cambria Math" w:hAnsi="Cambria Math"/>
                    </w:rPr>
                    <m:t>kT</m:t>
                  </m:r>
                </m:den>
              </m:f>
            </m:sup>
          </m:sSup>
        </m:oMath>
      </m:oMathPara>
    </w:p>
    <w:p w14:paraId="40C4FBA4" w14:textId="77777777" w:rsidR="00287AF0" w:rsidRPr="00287AF0" w:rsidRDefault="00287AF0" w:rsidP="00287AF0">
      <w:r w:rsidRPr="00287AF0">
        <w:t>(58)</w:t>
      </w:r>
    </w:p>
    <w:p w14:paraId="5FF68BB5" w14:textId="4126F04D" w:rsidR="00287AF0" w:rsidRPr="00287AF0" w:rsidRDefault="00287AF0" w:rsidP="00287AF0">
      <w:r w:rsidRPr="00287AF0">
        <w:t>Note that </w:t>
      </w:r>
      <m:oMath>
        <m:sSub>
          <m:sSubPr>
            <m:ctrlPr>
              <w:rPr>
                <w:rFonts w:ascii="Cambria Math" w:hAnsi="Cambria Math"/>
              </w:rPr>
            </m:ctrlPr>
          </m:sSubPr>
          <m:e>
            <m:r>
              <w:rPr>
                <w:rFonts w:ascii="Cambria Math" w:hAnsi="Cambria Math"/>
              </w:rPr>
              <m:t>κ</m:t>
            </m:r>
          </m:e>
          <m:sub>
            <m:r>
              <m:rPr>
                <m:sty m:val="p"/>
              </m:rPr>
              <w:rPr>
                <w:rFonts w:ascii="Cambria Math" w:hAnsi="Cambria Math"/>
              </w:rPr>
              <m:t>sym</m:t>
            </m:r>
          </m:sub>
        </m:sSub>
      </m:oMath>
      <w:r w:rsidRPr="00287AF0">
        <w:t> and </w:t>
      </w:r>
      <m:oMath>
        <m:sSub>
          <m:sSubPr>
            <m:ctrlPr>
              <w:rPr>
                <w:rFonts w:ascii="Cambria Math" w:hAnsi="Cambria Math"/>
              </w:rPr>
            </m:ctrlPr>
          </m:sSubPr>
          <m:e>
            <m:r>
              <w:rPr>
                <w:rFonts w:ascii="Cambria Math" w:hAnsi="Cambria Math"/>
              </w:rPr>
              <m:t>κ</m:t>
            </m:r>
          </m:e>
          <m:sub>
            <m:r>
              <m:rPr>
                <m:sty m:val="p"/>
              </m:rPr>
              <w:rPr>
                <w:rFonts w:ascii="Cambria Math" w:hAnsi="Cambria Math"/>
              </w:rPr>
              <m:t>asym</m:t>
            </m:r>
          </m:sub>
        </m:sSub>
      </m:oMath>
      <w:r w:rsidRPr="00287AF0">
        <w:t> use the same reference channel, namely, the lower energy Channel 2, so the partition function of this channel, </w:t>
      </w:r>
      <m:oMath>
        <m:sSub>
          <m:sSubPr>
            <m:ctrlPr>
              <w:rPr>
                <w:rFonts w:ascii="Cambria Math" w:hAnsi="Cambria Math"/>
              </w:rPr>
            </m:ctrlPr>
          </m:sSubPr>
          <m:e>
            <m:r>
              <w:rPr>
                <w:rFonts w:ascii="Cambria Math" w:hAnsi="Cambria Math"/>
              </w:rPr>
              <m:t>Q</m:t>
            </m:r>
          </m:e>
          <m:sub>
            <m:r>
              <m:rPr>
                <m:sty m:val="p"/>
              </m:rPr>
              <w:rPr>
                <w:rFonts w:ascii="Cambria Math" w:hAnsi="Cambria Math"/>
              </w:rPr>
              <m:t>ch</m:t>
            </m:r>
            <m:r>
              <w:rPr>
                <w:rFonts w:ascii="Cambria Math" w:hAnsi="Cambria Math"/>
              </w:rPr>
              <m:t>2</m:t>
            </m:r>
          </m:sub>
        </m:sSub>
      </m:oMath>
      <w:r w:rsidRPr="00287AF0">
        <w:t>, shows up in the denomin</w:t>
      </w:r>
      <w:proofErr w:type="spellStart"/>
      <w:r w:rsidRPr="00287AF0">
        <w:t>ator</w:t>
      </w:r>
      <w:proofErr w:type="spellEnd"/>
      <w:r w:rsidRPr="00287AF0">
        <w:t xml:space="preserve"> of both expressions. Also note, that in </w:t>
      </w:r>
      <m:oMath>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m:rPr>
                <m:sty m:val="p"/>
              </m:rPr>
              <w:rPr>
                <w:rFonts w:ascii="Cambria Math" w:hAnsi="Cambria Math"/>
              </w:rPr>
              <m:t>sym</m:t>
            </m:r>
          </m:sub>
        </m:sSub>
      </m:oMath>
      <w:r w:rsidRPr="00287AF0">
        <w:t> or </w:t>
      </w:r>
      <m:oMath>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m:rPr>
                <m:sty m:val="p"/>
              </m:rPr>
              <w:rPr>
                <w:rFonts w:ascii="Cambria Math" w:hAnsi="Cambria Math"/>
              </w:rPr>
              <m:t>asym</m:t>
            </m:r>
          </m:sub>
        </m:sSub>
      </m:oMath>
      <w:r w:rsidRPr="00287AF0">
        <w:t> the two contributions come not as a simple sum; the contribution of the upper channel is multiplied by </w:t>
      </w:r>
      <m:oMath>
        <m:sSup>
          <m:sSupPr>
            <m:ctrlPr>
              <w:rPr>
                <w:rFonts w:ascii="Cambria Math" w:hAnsi="Cambria Math"/>
              </w:rPr>
            </m:ctrlPr>
          </m:sSupPr>
          <m:e>
            <m:r>
              <w:rPr>
                <w:rFonts w:ascii="Cambria Math" w:hAnsi="Cambria Math"/>
              </w:rPr>
              <m:t>e</m:t>
            </m:r>
          </m:e>
          <m:sup>
            <m:r>
              <w:rPr>
                <w:rFonts w:ascii="Cambria Math" w:hAnsi="Cambria Math"/>
              </w:rPr>
              <m:t>-</m:t>
            </m:r>
            <m:f>
              <m:fPr>
                <m:ctrlPr>
                  <w:rPr>
                    <w:rFonts w:ascii="Cambria Math" w:hAnsi="Cambria Math"/>
                    <w:i/>
                  </w:rPr>
                </m:ctrlPr>
              </m:fPr>
              <m:num>
                <m:r>
                  <m:rPr>
                    <m:sty m:val="p"/>
                  </m:rPr>
                  <w:rPr>
                    <w:rFonts w:ascii="Cambria Math" w:hAnsi="Cambria Math"/>
                  </w:rPr>
                  <m:t>ΔZPE</m:t>
                </m:r>
              </m:num>
              <m:den>
                <m:r>
                  <w:rPr>
                    <w:rFonts w:ascii="Cambria Math" w:hAnsi="Cambria Math"/>
                  </w:rPr>
                  <m:t>kT</m:t>
                </m:r>
              </m:den>
            </m:f>
          </m:sup>
        </m:sSup>
      </m:oMath>
      <w:r w:rsidRPr="00287AF0">
        <w:t>.</w:t>
      </w:r>
    </w:p>
    <w:p w14:paraId="105A8363" w14:textId="41BD2A73" w:rsidR="00287AF0" w:rsidRPr="00287AF0" w:rsidRDefault="00287AF0" w:rsidP="00287AF0">
      <w:r w:rsidRPr="00287AF0">
        <w:t>It is instructive to express </w:t>
      </w:r>
      <m:oMath>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m:rPr>
                <m:sty m:val="p"/>
              </m:rPr>
              <w:rPr>
                <w:rFonts w:ascii="Cambria Math" w:hAnsi="Cambria Math"/>
              </w:rPr>
              <m:t>sym</m:t>
            </m:r>
          </m:sub>
        </m:sSub>
      </m:oMath>
      <w:r w:rsidRPr="00287AF0">
        <w:t> and </w:t>
      </w:r>
      <m:oMath>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m:rPr>
                <m:sty m:val="p"/>
              </m:rPr>
              <w:rPr>
                <w:rFonts w:ascii="Cambria Math" w:hAnsi="Cambria Math"/>
              </w:rPr>
              <m:t>asym</m:t>
            </m:r>
          </m:sub>
        </m:sSub>
      </m:oMath>
      <w:r w:rsidRPr="00287AF0">
        <w:t> through the properties of individual resonances. Substitution of Equations (41)</w:t>
      </w:r>
      <w:proofErr w:type="gramStart"/>
      <w:r w:rsidRPr="00287AF0">
        <w:t>–(</w:t>
      </w:r>
      <w:proofErr w:type="gramEnd"/>
      <w:r w:rsidRPr="00287AF0">
        <w:t>44) into (57) and (58) gives us:</w:t>
      </w:r>
    </w:p>
    <w:p w14:paraId="0593E5BC" w14:textId="052BF93C" w:rsidR="0053760F" w:rsidRPr="00287AF0" w:rsidRDefault="00DE0875" w:rsidP="00287AF0">
      <m:oMathPara>
        <m:oMath>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m:rPr>
                  <m:sty m:val="p"/>
                </m:rPr>
                <w:rPr>
                  <w:rFonts w:ascii="Cambria Math" w:hAnsi="Cambria Math"/>
                </w:rPr>
                <m:t>sym</m:t>
              </m:r>
            </m:sub>
          </m:sSub>
          <m:r>
            <w:rPr>
              <w:rFonts w:ascii="Cambria Math" w:hAnsi="Cambria Math"/>
            </w:rPr>
            <m:t>=</m:t>
          </m:r>
          <m:nary>
            <m:naryPr>
              <m:chr m:val="∑"/>
              <m:limLoc m:val="undOvr"/>
              <m:grow m:val="1"/>
              <m:supHide m:val="1"/>
              <m:ctrlPr>
                <w:rPr>
                  <w:rFonts w:ascii="Cambria Math" w:hAnsi="Cambria Math"/>
                </w:rPr>
              </m:ctrlPr>
            </m:naryPr>
            <m:sub>
              <m:r>
                <w:rPr>
                  <w:rFonts w:ascii="Cambria Math" w:hAnsi="Cambria Math"/>
                </w:rPr>
                <m:t>i</m:t>
              </m:r>
            </m:sub>
            <m:sup/>
            <m:e>
              <m:d>
                <m:dPr>
                  <m:ctrlPr>
                    <w:rPr>
                      <w:rFonts w:ascii="Cambria Math" w:hAnsi="Cambria Math"/>
                      <w:i/>
                    </w:rPr>
                  </m:ctrlPr>
                </m:dPr>
                <m:e>
                  <m:r>
                    <w:rPr>
                      <w:rFonts w:ascii="Cambria Math" w:hAnsi="Cambria Math"/>
                    </w:rPr>
                    <m:t>2J+1</m:t>
                  </m:r>
                </m:e>
              </m:d>
            </m:e>
          </m:nary>
          <m:sSub>
            <m:sSubPr>
              <m:ctrlPr>
                <w:rPr>
                  <w:rFonts w:ascii="Cambria Math" w:hAnsi="Cambria Math"/>
                </w:rPr>
              </m:ctrlPr>
            </m:sSubPr>
            <m:e>
              <m:r>
                <w:rPr>
                  <w:rFonts w:ascii="Cambria Math" w:hAnsi="Cambria Math"/>
                </w:rPr>
                <m:t>w</m:t>
              </m:r>
            </m:e>
            <m:sub>
              <m:r>
                <w:rPr>
                  <w:rFonts w:ascii="Cambria Math" w:hAnsi="Cambria Math"/>
                </w:rPr>
                <m:t>i</m:t>
              </m:r>
            </m:sub>
          </m:sSub>
          <m:f>
            <m:fPr>
              <m:ctrlPr>
                <w:rPr>
                  <w:rFonts w:ascii="Cambria Math" w:hAnsi="Cambria Math"/>
                </w:rPr>
              </m:ctrlPr>
            </m:fPr>
            <m:num>
              <m:sSubSup>
                <m:sSubSupPr>
                  <m:ctrlPr>
                    <w:rPr>
                      <w:rFonts w:ascii="Cambria Math" w:hAnsi="Cambria Math"/>
                    </w:rPr>
                  </m:ctrlPr>
                </m:sSubSupPr>
                <m:e>
                  <m:r>
                    <m:rPr>
                      <m:sty m:val="p"/>
                    </m:rPr>
                    <w:rPr>
                      <w:rFonts w:ascii="Cambria Math" w:hAnsi="Cambria Math"/>
                    </w:rPr>
                    <m:t>Γ</m:t>
                  </m:r>
                </m:e>
                <m:sub>
                  <m:r>
                    <w:rPr>
                      <w:rFonts w:ascii="Cambria Math" w:hAnsi="Cambria Math"/>
                    </w:rPr>
                    <m:t>i</m:t>
                  </m:r>
                </m:sub>
                <m:sup>
                  <m:r>
                    <m:rPr>
                      <m:sty m:val="p"/>
                    </m:rPr>
                    <w:rPr>
                      <w:rFonts w:ascii="Cambria Math" w:hAnsi="Cambria Math"/>
                    </w:rPr>
                    <m:t>ch</m:t>
                  </m:r>
                  <m:r>
                    <w:rPr>
                      <w:rFonts w:ascii="Cambria Math" w:hAnsi="Cambria Math"/>
                    </w:rPr>
                    <m:t>2</m:t>
                  </m:r>
                </m:sup>
              </m:sSubSup>
            </m:num>
            <m:den>
              <m:sSubSup>
                <m:sSubSupPr>
                  <m:ctrlPr>
                    <w:rPr>
                      <w:rFonts w:ascii="Cambria Math" w:hAnsi="Cambria Math"/>
                    </w:rPr>
                  </m:ctrlPr>
                </m:sSubSupPr>
                <m:e>
                  <m:r>
                    <m:rPr>
                      <m:sty m:val="p"/>
                    </m:rPr>
                    <w:rPr>
                      <w:rFonts w:ascii="Cambria Math" w:hAnsi="Cambria Math"/>
                    </w:rPr>
                    <m:t>Γ</m:t>
                  </m:r>
                </m:e>
                <m:sub>
                  <m:r>
                    <w:rPr>
                      <w:rFonts w:ascii="Cambria Math" w:hAnsi="Cambria Math"/>
                    </w:rPr>
                    <m:t>i</m:t>
                  </m:r>
                </m:sub>
                <m:sup>
                  <m:r>
                    <m:rPr>
                      <m:sty m:val="p"/>
                    </m:rPr>
                    <w:rPr>
                      <w:rFonts w:ascii="Cambria Math" w:hAnsi="Cambria Math"/>
                    </w:rPr>
                    <m:t>tot</m:t>
                  </m:r>
                </m:sup>
              </m:sSubSup>
            </m:den>
          </m:f>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sym</m:t>
              </m:r>
            </m:sup>
          </m:sSubSup>
          <m:sSup>
            <m:sSupPr>
              <m:ctrlPr>
                <w:rPr>
                  <w:rFonts w:ascii="Cambria Math" w:hAnsi="Cambria Math"/>
                </w:rPr>
              </m:ctrlPr>
            </m:sSupPr>
            <m:e>
              <m:r>
                <w:rPr>
                  <w:rFonts w:ascii="Cambria Math" w:hAnsi="Cambria Math"/>
                </w:rPr>
                <m:t>e</m:t>
              </m:r>
            </m:e>
            <m:sup>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E</m:t>
                      </m:r>
                    </m:e>
                    <m:sub>
                      <m:r>
                        <w:rPr>
                          <w:rFonts w:ascii="Cambria Math" w:hAnsi="Cambria Math"/>
                        </w:rPr>
                        <m:t>i</m:t>
                      </m:r>
                    </m:sub>
                  </m:sSub>
                </m:num>
                <m:den>
                  <m:r>
                    <w:rPr>
                      <w:rFonts w:ascii="Cambria Math" w:hAnsi="Cambria Math"/>
                    </w:rPr>
                    <m:t>kT</m:t>
                  </m:r>
                </m:den>
              </m:f>
            </m:sup>
          </m:sSup>
          <m:r>
            <w:rPr>
              <w:rFonts w:ascii="Cambria Math" w:hAnsi="Cambria Math"/>
            </w:rPr>
            <m:t>+</m:t>
          </m:r>
          <m:sSup>
            <m:sSupPr>
              <m:ctrlPr>
                <w:rPr>
                  <w:rFonts w:ascii="Cambria Math" w:hAnsi="Cambria Math"/>
                </w:rPr>
              </m:ctrlPr>
            </m:sSupPr>
            <m:e>
              <m:r>
                <w:rPr>
                  <w:rFonts w:ascii="Cambria Math" w:hAnsi="Cambria Math"/>
                </w:rPr>
                <m:t>e</m:t>
              </m:r>
            </m:e>
            <m:sup>
              <m:r>
                <w:rPr>
                  <w:rFonts w:ascii="Cambria Math" w:hAnsi="Cambria Math"/>
                </w:rPr>
                <m:t>-</m:t>
              </m:r>
              <m:f>
                <m:fPr>
                  <m:ctrlPr>
                    <w:rPr>
                      <w:rFonts w:ascii="Cambria Math" w:hAnsi="Cambria Math"/>
                    </w:rPr>
                  </m:ctrlPr>
                </m:fPr>
                <m:num>
                  <m:r>
                    <m:rPr>
                      <m:sty m:val="p"/>
                    </m:rPr>
                    <w:rPr>
                      <w:rFonts w:ascii="Cambria Math" w:hAnsi="Cambria Math"/>
                    </w:rPr>
                    <m:t>ΔZPE</m:t>
                  </m:r>
                </m:num>
                <m:den>
                  <m:r>
                    <w:rPr>
                      <w:rFonts w:ascii="Cambria Math" w:hAnsi="Cambria Math"/>
                    </w:rPr>
                    <m:t>kT</m:t>
                  </m:r>
                </m:den>
              </m:f>
            </m:sup>
          </m:sSup>
          <m:nary>
            <m:naryPr>
              <m:chr m:val="∑"/>
              <m:limLoc m:val="undOvr"/>
              <m:grow m:val="1"/>
              <m:supHide m:val="1"/>
              <m:ctrlPr>
                <w:rPr>
                  <w:rFonts w:ascii="Cambria Math" w:hAnsi="Cambria Math"/>
                </w:rPr>
              </m:ctrlPr>
            </m:naryPr>
            <m:sub>
              <m:r>
                <w:rPr>
                  <w:rFonts w:ascii="Cambria Math" w:hAnsi="Cambria Math"/>
                </w:rPr>
                <m:t>i</m:t>
              </m:r>
            </m:sub>
            <m:sup/>
            <m:e>
              <m:d>
                <m:dPr>
                  <m:ctrlPr>
                    <w:rPr>
                      <w:rFonts w:ascii="Cambria Math" w:hAnsi="Cambria Math"/>
                      <w:i/>
                    </w:rPr>
                  </m:ctrlPr>
                </m:dPr>
                <m:e>
                  <m:r>
                    <w:rPr>
                      <w:rFonts w:ascii="Cambria Math" w:hAnsi="Cambria Math"/>
                    </w:rPr>
                    <m:t>2J+1</m:t>
                  </m:r>
                </m:e>
              </m:d>
            </m:e>
          </m:nary>
          <m:sSub>
            <m:sSubPr>
              <m:ctrlPr>
                <w:rPr>
                  <w:rFonts w:ascii="Cambria Math" w:hAnsi="Cambria Math"/>
                </w:rPr>
              </m:ctrlPr>
            </m:sSubPr>
            <m:e>
              <m:r>
                <w:rPr>
                  <w:rFonts w:ascii="Cambria Math" w:hAnsi="Cambria Math"/>
                </w:rPr>
                <m:t>w</m:t>
              </m:r>
            </m:e>
            <m:sub>
              <m:r>
                <w:rPr>
                  <w:rFonts w:ascii="Cambria Math" w:hAnsi="Cambria Math"/>
                </w:rPr>
                <m:t>i</m:t>
              </m:r>
            </m:sub>
          </m:sSub>
          <m:f>
            <m:fPr>
              <m:ctrlPr>
                <w:rPr>
                  <w:rFonts w:ascii="Cambria Math" w:hAnsi="Cambria Math"/>
                </w:rPr>
              </m:ctrlPr>
            </m:fPr>
            <m:num>
              <m:sSubSup>
                <m:sSubSupPr>
                  <m:ctrlPr>
                    <w:rPr>
                      <w:rFonts w:ascii="Cambria Math" w:hAnsi="Cambria Math"/>
                    </w:rPr>
                  </m:ctrlPr>
                </m:sSubSupPr>
                <m:e>
                  <m:r>
                    <m:rPr>
                      <m:sty m:val="p"/>
                    </m:rPr>
                    <w:rPr>
                      <w:rFonts w:ascii="Cambria Math" w:hAnsi="Cambria Math"/>
                    </w:rPr>
                    <m:t>Γ</m:t>
                  </m:r>
                </m:e>
                <m:sub>
                  <m:r>
                    <w:rPr>
                      <w:rFonts w:ascii="Cambria Math" w:hAnsi="Cambria Math"/>
                    </w:rPr>
                    <m:t>i</m:t>
                  </m:r>
                </m:sub>
                <m:sup>
                  <m:r>
                    <m:rPr>
                      <m:sty m:val="p"/>
                    </m:rPr>
                    <w:rPr>
                      <w:rFonts w:ascii="Cambria Math" w:hAnsi="Cambria Math"/>
                    </w:rPr>
                    <m:t>ch</m:t>
                  </m:r>
                  <m:r>
                    <w:rPr>
                      <w:rFonts w:ascii="Cambria Math" w:hAnsi="Cambria Math"/>
                    </w:rPr>
                    <m:t>1</m:t>
                  </m:r>
                </m:sup>
              </m:sSubSup>
            </m:num>
            <m:den>
              <m:sSubSup>
                <m:sSubSupPr>
                  <m:ctrlPr>
                    <w:rPr>
                      <w:rFonts w:ascii="Cambria Math" w:hAnsi="Cambria Math"/>
                    </w:rPr>
                  </m:ctrlPr>
                </m:sSubSupPr>
                <m:e>
                  <m:r>
                    <m:rPr>
                      <m:sty m:val="p"/>
                    </m:rPr>
                    <w:rPr>
                      <w:rFonts w:ascii="Cambria Math" w:hAnsi="Cambria Math"/>
                    </w:rPr>
                    <m:t>Γ</m:t>
                  </m:r>
                </m:e>
                <m:sub>
                  <m:r>
                    <w:rPr>
                      <w:rFonts w:ascii="Cambria Math" w:hAnsi="Cambria Math"/>
                    </w:rPr>
                    <m:t>i</m:t>
                  </m:r>
                </m:sub>
                <m:sup>
                  <m:r>
                    <m:rPr>
                      <m:sty m:val="p"/>
                    </m:rPr>
                    <w:rPr>
                      <w:rFonts w:ascii="Cambria Math" w:hAnsi="Cambria Math"/>
                    </w:rPr>
                    <m:t>tot</m:t>
                  </m:r>
                </m:sup>
              </m:sSubSup>
            </m:den>
          </m:f>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sym</m:t>
              </m:r>
            </m:sup>
          </m:sSubSup>
          <m:sSup>
            <m:sSupPr>
              <m:ctrlPr>
                <w:rPr>
                  <w:rFonts w:ascii="Cambria Math" w:hAnsi="Cambria Math"/>
                </w:rPr>
              </m:ctrlPr>
            </m:sSupPr>
            <m:e>
              <m:r>
                <w:rPr>
                  <w:rFonts w:ascii="Cambria Math" w:hAnsi="Cambria Math"/>
                </w:rPr>
                <m:t>e</m:t>
              </m:r>
            </m:e>
            <m:sup>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E</m:t>
                      </m:r>
                    </m:e>
                    <m:sub>
                      <m:r>
                        <w:rPr>
                          <w:rFonts w:ascii="Cambria Math" w:hAnsi="Cambria Math"/>
                        </w:rPr>
                        <m:t>i</m:t>
                      </m:r>
                    </m:sub>
                  </m:sSub>
                  <m:r>
                    <w:rPr>
                      <w:rFonts w:ascii="Cambria Math" w:hAnsi="Cambria Math"/>
                    </w:rPr>
                    <m:t>-</m:t>
                  </m:r>
                  <m:r>
                    <m:rPr>
                      <m:sty m:val="p"/>
                    </m:rPr>
                    <w:rPr>
                      <w:rFonts w:ascii="Cambria Math" w:hAnsi="Cambria Math"/>
                    </w:rPr>
                    <m:t>ΔZPE</m:t>
                  </m:r>
                </m:num>
                <m:den>
                  <m:r>
                    <w:rPr>
                      <w:rFonts w:ascii="Cambria Math" w:hAnsi="Cambria Math"/>
                    </w:rPr>
                    <m:t>kT</m:t>
                  </m:r>
                </m:den>
              </m:f>
            </m:sup>
          </m:sSup>
          <m:r>
            <w:rPr>
              <w:rFonts w:ascii="Cambria Math" w:hAnsi="Cambria Math"/>
            </w:rPr>
            <m:t>=</m:t>
          </m:r>
          <m:nary>
            <m:naryPr>
              <m:chr m:val="∑"/>
              <m:limLoc m:val="undOvr"/>
              <m:grow m:val="1"/>
              <m:supHide m:val="1"/>
              <m:ctrlPr>
                <w:rPr>
                  <w:rFonts w:ascii="Cambria Math" w:hAnsi="Cambria Math"/>
                </w:rPr>
              </m:ctrlPr>
            </m:naryPr>
            <m:sub>
              <m:r>
                <w:rPr>
                  <w:rFonts w:ascii="Cambria Math" w:hAnsi="Cambria Math"/>
                </w:rPr>
                <m:t>i</m:t>
              </m:r>
            </m:sub>
            <m:sup/>
            <m:e>
              <m:d>
                <m:dPr>
                  <m:ctrlPr>
                    <w:rPr>
                      <w:rFonts w:ascii="Cambria Math" w:hAnsi="Cambria Math"/>
                      <w:i/>
                    </w:rPr>
                  </m:ctrlPr>
                </m:dPr>
                <m:e>
                  <m:r>
                    <w:rPr>
                      <w:rFonts w:ascii="Cambria Math" w:hAnsi="Cambria Math"/>
                    </w:rPr>
                    <m:t>2J+1</m:t>
                  </m:r>
                </m:e>
              </m:d>
            </m:e>
          </m:nary>
          <m:sSub>
            <m:sSubPr>
              <m:ctrlPr>
                <w:rPr>
                  <w:rFonts w:ascii="Cambria Math" w:hAnsi="Cambria Math"/>
                </w:rPr>
              </m:ctrlPr>
            </m:sSubPr>
            <m:e>
              <m:r>
                <w:rPr>
                  <w:rFonts w:ascii="Cambria Math" w:hAnsi="Cambria Math"/>
                </w:rPr>
                <m:t>w</m:t>
              </m:r>
            </m:e>
            <m:sub>
              <m:r>
                <w:rPr>
                  <w:rFonts w:ascii="Cambria Math" w:hAnsi="Cambria Math"/>
                </w:rPr>
                <m:t>i</m:t>
              </m:r>
            </m:sub>
          </m:sSub>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sym</m:t>
              </m:r>
            </m:sup>
          </m:sSubSup>
          <m:sSup>
            <m:sSupPr>
              <m:ctrlPr>
                <w:rPr>
                  <w:rFonts w:ascii="Cambria Math" w:hAnsi="Cambria Math"/>
                </w:rPr>
              </m:ctrlPr>
            </m:sSupPr>
            <m:e>
              <m:r>
                <w:rPr>
                  <w:rFonts w:ascii="Cambria Math" w:hAnsi="Cambria Math"/>
                </w:rPr>
                <m:t>e</m:t>
              </m:r>
            </m:e>
            <m:sup>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E</m:t>
                      </m:r>
                    </m:e>
                    <m:sub>
                      <m:r>
                        <w:rPr>
                          <w:rFonts w:ascii="Cambria Math" w:hAnsi="Cambria Math"/>
                        </w:rPr>
                        <m:t>i</m:t>
                      </m:r>
                    </m:sub>
                  </m:sSub>
                </m:num>
                <m:den>
                  <m:r>
                    <w:rPr>
                      <w:rFonts w:ascii="Cambria Math" w:hAnsi="Cambria Math"/>
                    </w:rPr>
                    <m:t>kT</m:t>
                  </m:r>
                </m:den>
              </m:f>
            </m:sup>
          </m:sSup>
          <m:r>
            <w:rPr>
              <w:rFonts w:ascii="Cambria Math" w:hAnsi="Cambria Math"/>
            </w:rPr>
            <m:t>;</m:t>
          </m:r>
        </m:oMath>
      </m:oMathPara>
    </w:p>
    <w:p w14:paraId="70E90478" w14:textId="77777777" w:rsidR="00287AF0" w:rsidRPr="00287AF0" w:rsidRDefault="00287AF0" w:rsidP="00287AF0">
      <w:r w:rsidRPr="00287AF0">
        <w:t>(59)</w:t>
      </w:r>
    </w:p>
    <w:p w14:paraId="75367A25" w14:textId="61EEEEC0" w:rsidR="0053760F" w:rsidRPr="00287AF0" w:rsidRDefault="002711EA" w:rsidP="00287AF0">
      <m:oMathPara>
        <m:oMath>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m:rPr>
                  <m:sty m:val="p"/>
                </m:rPr>
                <w:rPr>
                  <w:rFonts w:ascii="Cambria Math" w:hAnsi="Cambria Math"/>
                </w:rPr>
                <m:t>asym</m:t>
              </m:r>
            </m:sub>
          </m:sSub>
          <m:r>
            <w:rPr>
              <w:rFonts w:ascii="Cambria Math" w:hAnsi="Cambria Math"/>
            </w:rPr>
            <m:t>=</m:t>
          </m:r>
          <m:nary>
            <m:naryPr>
              <m:chr m:val="∑"/>
              <m:limLoc m:val="undOvr"/>
              <m:grow m:val="1"/>
              <m:supHide m:val="1"/>
              <m:ctrlPr>
                <w:rPr>
                  <w:rFonts w:ascii="Cambria Math" w:hAnsi="Cambria Math"/>
                </w:rPr>
              </m:ctrlPr>
            </m:naryPr>
            <m:sub>
              <m:r>
                <w:rPr>
                  <w:rFonts w:ascii="Cambria Math" w:hAnsi="Cambria Math"/>
                </w:rPr>
                <m:t>i</m:t>
              </m:r>
            </m:sub>
            <m:sup/>
            <m:e>
              <m:d>
                <m:dPr>
                  <m:ctrlPr>
                    <w:rPr>
                      <w:rFonts w:ascii="Cambria Math" w:hAnsi="Cambria Math"/>
                      <w:i/>
                    </w:rPr>
                  </m:ctrlPr>
                </m:dPr>
                <m:e>
                  <m:r>
                    <w:rPr>
                      <w:rFonts w:ascii="Cambria Math" w:hAnsi="Cambria Math"/>
                    </w:rPr>
                    <m:t>2J+1</m:t>
                  </m:r>
                </m:e>
              </m:d>
            </m:e>
          </m:nary>
          <m:sSub>
            <m:sSubPr>
              <m:ctrlPr>
                <w:rPr>
                  <w:rFonts w:ascii="Cambria Math" w:hAnsi="Cambria Math"/>
                </w:rPr>
              </m:ctrlPr>
            </m:sSubPr>
            <m:e>
              <m:r>
                <w:rPr>
                  <w:rFonts w:ascii="Cambria Math" w:hAnsi="Cambria Math"/>
                </w:rPr>
                <m:t>w</m:t>
              </m:r>
            </m:e>
            <m:sub>
              <m:r>
                <w:rPr>
                  <w:rFonts w:ascii="Cambria Math" w:hAnsi="Cambria Math"/>
                </w:rPr>
                <m:t>i</m:t>
              </m:r>
            </m:sub>
          </m:sSub>
          <m:f>
            <m:fPr>
              <m:ctrlPr>
                <w:rPr>
                  <w:rFonts w:ascii="Cambria Math" w:hAnsi="Cambria Math"/>
                </w:rPr>
              </m:ctrlPr>
            </m:fPr>
            <m:num>
              <m:sSubSup>
                <m:sSubSupPr>
                  <m:ctrlPr>
                    <w:rPr>
                      <w:rFonts w:ascii="Cambria Math" w:hAnsi="Cambria Math"/>
                    </w:rPr>
                  </m:ctrlPr>
                </m:sSubSupPr>
                <m:e>
                  <m:r>
                    <m:rPr>
                      <m:sty m:val="p"/>
                    </m:rPr>
                    <w:rPr>
                      <w:rFonts w:ascii="Cambria Math" w:hAnsi="Cambria Math"/>
                    </w:rPr>
                    <m:t>Γ</m:t>
                  </m:r>
                </m:e>
                <m:sub>
                  <m:r>
                    <w:rPr>
                      <w:rFonts w:ascii="Cambria Math" w:hAnsi="Cambria Math"/>
                    </w:rPr>
                    <m:t>i</m:t>
                  </m:r>
                </m:sub>
                <m:sup>
                  <m:r>
                    <m:rPr>
                      <m:sty m:val="p"/>
                    </m:rPr>
                    <w:rPr>
                      <w:rFonts w:ascii="Cambria Math" w:hAnsi="Cambria Math"/>
                    </w:rPr>
                    <m:t>ch</m:t>
                  </m:r>
                  <m:r>
                    <w:rPr>
                      <w:rFonts w:ascii="Cambria Math" w:hAnsi="Cambria Math"/>
                    </w:rPr>
                    <m:t>2</m:t>
                  </m:r>
                </m:sup>
              </m:sSubSup>
            </m:num>
            <m:den>
              <m:sSubSup>
                <m:sSubSupPr>
                  <m:ctrlPr>
                    <w:rPr>
                      <w:rFonts w:ascii="Cambria Math" w:hAnsi="Cambria Math"/>
                    </w:rPr>
                  </m:ctrlPr>
                </m:sSubSupPr>
                <m:e>
                  <m:r>
                    <m:rPr>
                      <m:sty m:val="p"/>
                    </m:rPr>
                    <w:rPr>
                      <w:rFonts w:ascii="Cambria Math" w:hAnsi="Cambria Math"/>
                    </w:rPr>
                    <m:t>Γ</m:t>
                  </m:r>
                </m:e>
                <m:sub>
                  <m:r>
                    <w:rPr>
                      <w:rFonts w:ascii="Cambria Math" w:hAnsi="Cambria Math"/>
                    </w:rPr>
                    <m:t>i</m:t>
                  </m:r>
                </m:sub>
                <m:sup>
                  <m:r>
                    <m:rPr>
                      <m:sty m:val="p"/>
                    </m:rPr>
                    <w:rPr>
                      <w:rFonts w:ascii="Cambria Math" w:hAnsi="Cambria Math"/>
                    </w:rPr>
                    <m:t>tot</m:t>
                  </m:r>
                </m:sup>
              </m:sSubSup>
            </m:den>
          </m:f>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asym</m:t>
              </m:r>
            </m:sup>
          </m:sSubSup>
          <m:sSup>
            <m:sSupPr>
              <m:ctrlPr>
                <w:rPr>
                  <w:rFonts w:ascii="Cambria Math" w:hAnsi="Cambria Math"/>
                </w:rPr>
              </m:ctrlPr>
            </m:sSupPr>
            <m:e>
              <m:r>
                <w:rPr>
                  <w:rFonts w:ascii="Cambria Math" w:hAnsi="Cambria Math"/>
                </w:rPr>
                <m:t>e</m:t>
              </m:r>
            </m:e>
            <m:sup>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E</m:t>
                      </m:r>
                    </m:e>
                    <m:sub>
                      <m:r>
                        <w:rPr>
                          <w:rFonts w:ascii="Cambria Math" w:hAnsi="Cambria Math"/>
                        </w:rPr>
                        <m:t>i</m:t>
                      </m:r>
                    </m:sub>
                  </m:sSub>
                </m:num>
                <m:den>
                  <m:r>
                    <w:rPr>
                      <w:rFonts w:ascii="Cambria Math" w:hAnsi="Cambria Math"/>
                    </w:rPr>
                    <m:t>kT</m:t>
                  </m:r>
                </m:den>
              </m:f>
            </m:sup>
          </m:sSup>
          <m:r>
            <w:rPr>
              <w:rFonts w:ascii="Cambria Math" w:hAnsi="Cambria Math"/>
            </w:rPr>
            <m:t>+</m:t>
          </m:r>
          <m:sSup>
            <m:sSupPr>
              <m:ctrlPr>
                <w:rPr>
                  <w:rFonts w:ascii="Cambria Math" w:hAnsi="Cambria Math"/>
                </w:rPr>
              </m:ctrlPr>
            </m:sSupPr>
            <m:e>
              <m:r>
                <w:rPr>
                  <w:rFonts w:ascii="Cambria Math" w:hAnsi="Cambria Math"/>
                </w:rPr>
                <m:t>e</m:t>
              </m:r>
            </m:e>
            <m:sup>
              <m:r>
                <w:rPr>
                  <w:rFonts w:ascii="Cambria Math" w:hAnsi="Cambria Math"/>
                </w:rPr>
                <m:t>-</m:t>
              </m:r>
              <m:f>
                <m:fPr>
                  <m:ctrlPr>
                    <w:rPr>
                      <w:rFonts w:ascii="Cambria Math" w:hAnsi="Cambria Math"/>
                    </w:rPr>
                  </m:ctrlPr>
                </m:fPr>
                <m:num>
                  <m:r>
                    <m:rPr>
                      <m:sty m:val="p"/>
                    </m:rPr>
                    <w:rPr>
                      <w:rFonts w:ascii="Cambria Math" w:hAnsi="Cambria Math"/>
                    </w:rPr>
                    <m:t>ΔZPE</m:t>
                  </m:r>
                </m:num>
                <m:den>
                  <m:r>
                    <w:rPr>
                      <w:rFonts w:ascii="Cambria Math" w:hAnsi="Cambria Math"/>
                    </w:rPr>
                    <m:t>kT</m:t>
                  </m:r>
                </m:den>
              </m:f>
            </m:sup>
          </m:sSup>
          <m:nary>
            <m:naryPr>
              <m:chr m:val="∑"/>
              <m:limLoc m:val="undOvr"/>
              <m:grow m:val="1"/>
              <m:supHide m:val="1"/>
              <m:ctrlPr>
                <w:rPr>
                  <w:rFonts w:ascii="Cambria Math" w:hAnsi="Cambria Math"/>
                </w:rPr>
              </m:ctrlPr>
            </m:naryPr>
            <m:sub>
              <m:r>
                <w:rPr>
                  <w:rFonts w:ascii="Cambria Math" w:hAnsi="Cambria Math"/>
                </w:rPr>
                <m:t>i</m:t>
              </m:r>
            </m:sub>
            <m:sup/>
            <m:e>
              <m:d>
                <m:dPr>
                  <m:ctrlPr>
                    <w:rPr>
                      <w:rFonts w:ascii="Cambria Math" w:hAnsi="Cambria Math"/>
                      <w:i/>
                    </w:rPr>
                  </m:ctrlPr>
                </m:dPr>
                <m:e>
                  <m:r>
                    <w:rPr>
                      <w:rFonts w:ascii="Cambria Math" w:hAnsi="Cambria Math"/>
                    </w:rPr>
                    <m:t>2J+1</m:t>
                  </m:r>
                </m:e>
              </m:d>
            </m:e>
          </m:nary>
          <m:sSub>
            <m:sSubPr>
              <m:ctrlPr>
                <w:rPr>
                  <w:rFonts w:ascii="Cambria Math" w:hAnsi="Cambria Math"/>
                </w:rPr>
              </m:ctrlPr>
            </m:sSubPr>
            <m:e>
              <m:r>
                <w:rPr>
                  <w:rFonts w:ascii="Cambria Math" w:hAnsi="Cambria Math"/>
                </w:rPr>
                <m:t>w</m:t>
              </m:r>
            </m:e>
            <m:sub>
              <m:r>
                <w:rPr>
                  <w:rFonts w:ascii="Cambria Math" w:hAnsi="Cambria Math"/>
                </w:rPr>
                <m:t>i</m:t>
              </m:r>
            </m:sub>
          </m:sSub>
          <m:f>
            <m:fPr>
              <m:ctrlPr>
                <w:rPr>
                  <w:rFonts w:ascii="Cambria Math" w:hAnsi="Cambria Math"/>
                </w:rPr>
              </m:ctrlPr>
            </m:fPr>
            <m:num>
              <m:sSubSup>
                <m:sSubSupPr>
                  <m:ctrlPr>
                    <w:rPr>
                      <w:rFonts w:ascii="Cambria Math" w:hAnsi="Cambria Math"/>
                    </w:rPr>
                  </m:ctrlPr>
                </m:sSubSupPr>
                <m:e>
                  <m:r>
                    <m:rPr>
                      <m:sty m:val="p"/>
                    </m:rPr>
                    <w:rPr>
                      <w:rFonts w:ascii="Cambria Math" w:hAnsi="Cambria Math"/>
                    </w:rPr>
                    <m:t>Γ</m:t>
                  </m:r>
                </m:e>
                <m:sub>
                  <m:r>
                    <w:rPr>
                      <w:rFonts w:ascii="Cambria Math" w:hAnsi="Cambria Math"/>
                    </w:rPr>
                    <m:t>i</m:t>
                  </m:r>
                </m:sub>
                <m:sup>
                  <m:r>
                    <m:rPr>
                      <m:sty m:val="p"/>
                    </m:rPr>
                    <w:rPr>
                      <w:rFonts w:ascii="Cambria Math" w:hAnsi="Cambria Math"/>
                    </w:rPr>
                    <m:t>ch</m:t>
                  </m:r>
                  <m:r>
                    <w:rPr>
                      <w:rFonts w:ascii="Cambria Math" w:hAnsi="Cambria Math"/>
                    </w:rPr>
                    <m:t>1</m:t>
                  </m:r>
                </m:sup>
              </m:sSubSup>
            </m:num>
            <m:den>
              <m:sSubSup>
                <m:sSubSupPr>
                  <m:ctrlPr>
                    <w:rPr>
                      <w:rFonts w:ascii="Cambria Math" w:hAnsi="Cambria Math"/>
                    </w:rPr>
                  </m:ctrlPr>
                </m:sSubSupPr>
                <m:e>
                  <m:r>
                    <m:rPr>
                      <m:sty m:val="p"/>
                    </m:rPr>
                    <w:rPr>
                      <w:rFonts w:ascii="Cambria Math" w:hAnsi="Cambria Math"/>
                    </w:rPr>
                    <m:t>Γ</m:t>
                  </m:r>
                </m:e>
                <m:sub>
                  <m:r>
                    <w:rPr>
                      <w:rFonts w:ascii="Cambria Math" w:hAnsi="Cambria Math"/>
                    </w:rPr>
                    <m:t>i</m:t>
                  </m:r>
                </m:sub>
                <m:sup>
                  <m:r>
                    <m:rPr>
                      <m:sty m:val="p"/>
                    </m:rPr>
                    <w:rPr>
                      <w:rFonts w:ascii="Cambria Math" w:hAnsi="Cambria Math"/>
                    </w:rPr>
                    <m:t>tot</m:t>
                  </m:r>
                </m:sup>
              </m:sSubSup>
            </m:den>
          </m:f>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asym</m:t>
              </m:r>
            </m:sup>
          </m:sSubSup>
          <m:sSup>
            <m:sSupPr>
              <m:ctrlPr>
                <w:rPr>
                  <w:rFonts w:ascii="Cambria Math" w:hAnsi="Cambria Math"/>
                </w:rPr>
              </m:ctrlPr>
            </m:sSupPr>
            <m:e>
              <m:r>
                <w:rPr>
                  <w:rFonts w:ascii="Cambria Math" w:hAnsi="Cambria Math"/>
                </w:rPr>
                <m:t>e</m:t>
              </m:r>
            </m:e>
            <m:sup>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E</m:t>
                      </m:r>
                    </m:e>
                    <m:sub>
                      <m:r>
                        <w:rPr>
                          <w:rFonts w:ascii="Cambria Math" w:hAnsi="Cambria Math"/>
                        </w:rPr>
                        <m:t>i</m:t>
                      </m:r>
                    </m:sub>
                  </m:sSub>
                  <m:r>
                    <w:rPr>
                      <w:rFonts w:ascii="Cambria Math" w:hAnsi="Cambria Math"/>
                    </w:rPr>
                    <m:t>-</m:t>
                  </m:r>
                  <m:r>
                    <m:rPr>
                      <m:sty m:val="p"/>
                    </m:rPr>
                    <w:rPr>
                      <w:rFonts w:ascii="Cambria Math" w:hAnsi="Cambria Math"/>
                    </w:rPr>
                    <m:t>ΔZPE</m:t>
                  </m:r>
                </m:num>
                <m:den>
                  <m:r>
                    <w:rPr>
                      <w:rFonts w:ascii="Cambria Math" w:hAnsi="Cambria Math"/>
                    </w:rPr>
                    <m:t>kT</m:t>
                  </m:r>
                </m:den>
              </m:f>
            </m:sup>
          </m:sSup>
          <m:r>
            <w:rPr>
              <w:rFonts w:ascii="Cambria Math" w:hAnsi="Cambria Math"/>
            </w:rPr>
            <m:t>=</m:t>
          </m:r>
          <m:nary>
            <m:naryPr>
              <m:chr m:val="∑"/>
              <m:limLoc m:val="undOvr"/>
              <m:grow m:val="1"/>
              <m:supHide m:val="1"/>
              <m:ctrlPr>
                <w:rPr>
                  <w:rFonts w:ascii="Cambria Math" w:hAnsi="Cambria Math"/>
                </w:rPr>
              </m:ctrlPr>
            </m:naryPr>
            <m:sub>
              <m:r>
                <w:rPr>
                  <w:rFonts w:ascii="Cambria Math" w:hAnsi="Cambria Math"/>
                </w:rPr>
                <m:t>i</m:t>
              </m:r>
            </m:sub>
            <m:sup/>
            <m:e>
              <m:d>
                <m:dPr>
                  <m:ctrlPr>
                    <w:rPr>
                      <w:rFonts w:ascii="Cambria Math" w:hAnsi="Cambria Math"/>
                      <w:i/>
                    </w:rPr>
                  </m:ctrlPr>
                </m:dPr>
                <m:e>
                  <m:r>
                    <w:rPr>
                      <w:rFonts w:ascii="Cambria Math" w:hAnsi="Cambria Math"/>
                    </w:rPr>
                    <m:t>2J+1</m:t>
                  </m:r>
                </m:e>
              </m:d>
            </m:e>
          </m:nary>
          <m:sSub>
            <m:sSubPr>
              <m:ctrlPr>
                <w:rPr>
                  <w:rFonts w:ascii="Cambria Math" w:hAnsi="Cambria Math"/>
                </w:rPr>
              </m:ctrlPr>
            </m:sSubPr>
            <m:e>
              <m:r>
                <w:rPr>
                  <w:rFonts w:ascii="Cambria Math" w:hAnsi="Cambria Math"/>
                </w:rPr>
                <m:t>w</m:t>
              </m:r>
            </m:e>
            <m:sub>
              <m:r>
                <w:rPr>
                  <w:rFonts w:ascii="Cambria Math" w:hAnsi="Cambria Math"/>
                </w:rPr>
                <m:t>i</m:t>
              </m:r>
            </m:sub>
          </m:sSub>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asym</m:t>
              </m:r>
            </m:sup>
          </m:sSubSup>
          <m:sSup>
            <m:sSupPr>
              <m:ctrlPr>
                <w:rPr>
                  <w:rFonts w:ascii="Cambria Math" w:hAnsi="Cambria Math"/>
                </w:rPr>
              </m:ctrlPr>
            </m:sSupPr>
            <m:e>
              <m:r>
                <w:rPr>
                  <w:rFonts w:ascii="Cambria Math" w:hAnsi="Cambria Math"/>
                </w:rPr>
                <m:t>e</m:t>
              </m:r>
            </m:e>
            <m:sup>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E</m:t>
                      </m:r>
                    </m:e>
                    <m:sub>
                      <m:r>
                        <w:rPr>
                          <w:rFonts w:ascii="Cambria Math" w:hAnsi="Cambria Math"/>
                        </w:rPr>
                        <m:t>i</m:t>
                      </m:r>
                    </m:sub>
                  </m:sSub>
                </m:num>
                <m:den>
                  <m:r>
                    <w:rPr>
                      <w:rFonts w:ascii="Cambria Math" w:hAnsi="Cambria Math"/>
                    </w:rPr>
                    <m:t>kT</m:t>
                  </m:r>
                </m:den>
              </m:f>
            </m:sup>
          </m:sSup>
          <m:r>
            <w:rPr>
              <w:rFonts w:ascii="Cambria Math" w:hAnsi="Cambria Math"/>
            </w:rPr>
            <m:t>.</m:t>
          </m:r>
        </m:oMath>
      </m:oMathPara>
    </w:p>
    <w:p w14:paraId="3A31EFE0" w14:textId="77777777" w:rsidR="00287AF0" w:rsidRPr="00287AF0" w:rsidRDefault="00287AF0" w:rsidP="00287AF0">
      <w:r w:rsidRPr="00287AF0">
        <w:t>(60)</w:t>
      </w:r>
    </w:p>
    <w:p w14:paraId="28CC2604" w14:textId="0DDB7726" w:rsidR="00287AF0" w:rsidRPr="00287AF0" w:rsidRDefault="00287AF0" w:rsidP="00287AF0">
      <w:r w:rsidRPr="00287AF0">
        <w:t>This result is very interesting, since several moieties disappeared in the final expressions for </w:t>
      </w:r>
      <m:oMath>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m:rPr>
                <m:sty m:val="p"/>
              </m:rPr>
              <w:rPr>
                <w:rFonts w:ascii="Cambria Math" w:hAnsi="Cambria Math"/>
              </w:rPr>
              <m:t>sym</m:t>
            </m:r>
          </m:sub>
        </m:sSub>
      </m:oMath>
      <w:r w:rsidRPr="00287AF0">
        <w:t> and </w:t>
      </w:r>
      <m:oMath>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m:rPr>
                <m:sty m:val="p"/>
              </m:rPr>
              <w:rPr>
                <w:rFonts w:ascii="Cambria Math" w:hAnsi="Cambria Math"/>
              </w:rPr>
              <m:t>asym</m:t>
            </m:r>
          </m:sub>
        </m:sSub>
      </m:oMath>
      <w:r w:rsidRPr="00287AF0">
        <w:t>. First, all </w:t>
      </w:r>
      <m:oMath>
        <m:r>
          <m:rPr>
            <m:sty m:val="p"/>
          </m:rPr>
          <w:rPr>
            <w:rFonts w:ascii="Cambria Math" w:hAnsi="Cambria Math"/>
          </w:rPr>
          <m:t>ΔZPE</m:t>
        </m:r>
      </m:oMath>
      <w:r w:rsidRPr="00287AF0">
        <w:t> factors canceled analytically, which me</w:t>
      </w:r>
      <w:proofErr w:type="spellStart"/>
      <w:r w:rsidRPr="00287AF0">
        <w:t>ans</w:t>
      </w:r>
      <w:proofErr w:type="spellEnd"/>
      <w:r w:rsidRPr="00287AF0">
        <w:t xml:space="preserve"> that quantum zero-point energies are unlikely to cause any isotope effect related to symmetric vs. asymmetric ozone molecules (at least not directly). Then, two contributions to the total resonance width, </w:t>
      </w:r>
      <m:oMath>
        <m:sSubSup>
          <m:sSubSupPr>
            <m:ctrlPr>
              <w:rPr>
                <w:rFonts w:ascii="Cambria Math" w:hAnsi="Cambria Math"/>
              </w:rPr>
            </m:ctrlPr>
          </m:sSubSupPr>
          <m:e>
            <m:r>
              <m:rPr>
                <m:sty m:val="p"/>
              </m:rPr>
              <w:rPr>
                <w:rFonts w:ascii="Cambria Math" w:hAnsi="Cambria Math"/>
              </w:rPr>
              <m:t>Γ</m:t>
            </m:r>
          </m:e>
          <m:sub>
            <m:r>
              <w:rPr>
                <w:rFonts w:ascii="Cambria Math" w:hAnsi="Cambria Math"/>
              </w:rPr>
              <m:t>i</m:t>
            </m:r>
          </m:sub>
          <m:sup>
            <m:r>
              <m:rPr>
                <m:sty m:val="p"/>
              </m:rPr>
              <w:rPr>
                <w:rFonts w:ascii="Cambria Math" w:hAnsi="Cambria Math"/>
              </w:rPr>
              <m:t>ch</m:t>
            </m:r>
            <m:r>
              <w:rPr>
                <w:rFonts w:ascii="Cambria Math" w:hAnsi="Cambria Math"/>
              </w:rPr>
              <m:t>1</m:t>
            </m:r>
          </m:sup>
        </m:sSubSup>
      </m:oMath>
      <w:r w:rsidRPr="00287AF0">
        <w:t> and </w:t>
      </w:r>
      <m:oMath>
        <m:sSubSup>
          <m:sSubSupPr>
            <m:ctrlPr>
              <w:rPr>
                <w:rFonts w:ascii="Cambria Math" w:hAnsi="Cambria Math"/>
              </w:rPr>
            </m:ctrlPr>
          </m:sSubSupPr>
          <m:e>
            <m:r>
              <m:rPr>
                <m:sty m:val="p"/>
              </m:rPr>
              <w:rPr>
                <w:rFonts w:ascii="Cambria Math" w:hAnsi="Cambria Math"/>
              </w:rPr>
              <m:t>Γ</m:t>
            </m:r>
          </m:e>
          <m:sub>
            <m:r>
              <w:rPr>
                <w:rFonts w:ascii="Cambria Math" w:hAnsi="Cambria Math"/>
              </w:rPr>
              <m:t>i</m:t>
            </m:r>
          </m:sub>
          <m:sup>
            <m:r>
              <m:rPr>
                <m:sty m:val="p"/>
              </m:rPr>
              <w:rPr>
                <w:rFonts w:ascii="Cambria Math" w:hAnsi="Cambria Math"/>
              </w:rPr>
              <m:t>ch</m:t>
            </m:r>
            <m:r>
              <w:rPr>
                <w:rFonts w:ascii="Cambria Math" w:hAnsi="Cambria Math"/>
              </w:rPr>
              <m:t>2</m:t>
            </m:r>
          </m:sup>
        </m:sSubSup>
      </m:oMath>
      <w:r w:rsidRPr="00287AF0">
        <w:t>, added up and cancelled with </w:t>
      </w:r>
      <m:oMath>
        <m:sSubSup>
          <m:sSubSupPr>
            <m:ctrlPr>
              <w:rPr>
                <w:rFonts w:ascii="Cambria Math" w:hAnsi="Cambria Math"/>
              </w:rPr>
            </m:ctrlPr>
          </m:sSubSupPr>
          <m:e>
            <m:r>
              <m:rPr>
                <m:sty m:val="p"/>
              </m:rPr>
              <w:rPr>
                <w:rFonts w:ascii="Cambria Math" w:hAnsi="Cambria Math"/>
              </w:rPr>
              <m:t>Γ</m:t>
            </m:r>
          </m:e>
          <m:sub>
            <m:r>
              <w:rPr>
                <w:rFonts w:ascii="Cambria Math" w:hAnsi="Cambria Math"/>
              </w:rPr>
              <m:t>i</m:t>
            </m:r>
          </m:sub>
          <m:sup>
            <m:r>
              <m:rPr>
                <m:sty m:val="p"/>
              </m:rPr>
              <w:rPr>
                <w:rFonts w:ascii="Cambria Math" w:hAnsi="Cambria Math"/>
              </w:rPr>
              <m:t>tot</m:t>
            </m:r>
          </m:sup>
        </m:sSubSup>
      </m:oMath>
      <w:r w:rsidRPr="00287AF0">
        <w:t>. This means that, for the description of symmetry driven isotope effects, the widths of scattering resonances, or lifetimes of the metastable states, may not be important either (again, not directly). They still enter the weights </w:t>
      </w:r>
      <m:oMath>
        <m:sSub>
          <m:sSubPr>
            <m:ctrlPr>
              <w:rPr>
                <w:rFonts w:ascii="Cambria Math" w:hAnsi="Cambria Math"/>
              </w:rPr>
            </m:ctrlPr>
          </m:sSubPr>
          <m:e>
            <m:r>
              <w:rPr>
                <w:rFonts w:ascii="Cambria Math" w:hAnsi="Cambria Math"/>
              </w:rPr>
              <m:t>w</m:t>
            </m:r>
          </m:e>
          <m:sub>
            <m:r>
              <w:rPr>
                <w:rFonts w:ascii="Cambria Math" w:hAnsi="Cambria Math"/>
              </w:rPr>
              <m:t>i</m:t>
            </m:r>
          </m:sub>
        </m:sSub>
      </m:oMath>
      <w:r w:rsidRPr="00287AF0">
        <w:t>, but the same weigh</w:t>
      </w:r>
      <w:proofErr w:type="spellStart"/>
      <w:r w:rsidRPr="00287AF0">
        <w:t>ts</w:t>
      </w:r>
      <w:proofErr w:type="spellEnd"/>
      <w:r w:rsidRPr="00287AF0">
        <w:t xml:space="preserve"> enter </w:t>
      </w:r>
      <m:oMath>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m:rPr>
                <m:sty m:val="p"/>
              </m:rPr>
              <w:rPr>
                <w:rFonts w:ascii="Cambria Math" w:hAnsi="Cambria Math"/>
              </w:rPr>
              <m:t>sym</m:t>
            </m:r>
          </m:sub>
        </m:sSub>
      </m:oMath>
      <w:r w:rsidRPr="00287AF0">
        <w:t> and </w:t>
      </w:r>
      <m:oMath>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m:rPr>
                <m:sty m:val="p"/>
              </m:rPr>
              <w:rPr>
                <w:rFonts w:ascii="Cambria Math" w:hAnsi="Cambria Math"/>
              </w:rPr>
              <m:t>asym</m:t>
            </m:r>
          </m:sub>
        </m:sSub>
      </m:oMath>
      <w:r w:rsidRPr="00287AF0">
        <w:t>. The only difference between </w:t>
      </w:r>
      <m:oMath>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m:rPr>
                <m:sty m:val="p"/>
              </m:rPr>
              <w:rPr>
                <w:rFonts w:ascii="Cambria Math" w:hAnsi="Cambria Math"/>
              </w:rPr>
              <m:t>sym</m:t>
            </m:r>
          </m:sub>
        </m:sSub>
      </m:oMath>
      <w:r w:rsidRPr="00287AF0">
        <w:t> and </w:t>
      </w:r>
      <m:oMath>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m:rPr>
                <m:sty m:val="p"/>
              </m:rPr>
              <w:rPr>
                <w:rFonts w:ascii="Cambria Math" w:hAnsi="Cambria Math"/>
              </w:rPr>
              <m:t>asym</m:t>
            </m:r>
          </m:sub>
        </m:sSub>
      </m:oMath>
      <w:r w:rsidRPr="00287AF0">
        <w:t> comes from the stabilization probabilities,  </w:t>
      </w:r>
      <m:oMath>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sym</m:t>
            </m:r>
          </m:sup>
        </m:sSubSup>
      </m:oMath>
      <w:r w:rsidRPr="00287AF0">
        <w:t> vs.  </w:t>
      </w:r>
      <m:oMath>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asym</m:t>
            </m:r>
          </m:sup>
        </m:sSubSup>
      </m:oMath>
      <w:r w:rsidRPr="00287AF0">
        <w:t>. Importantly, in the case of double isotopic substitution the formulae identical to Equations (59) and (60) are obtained, as we show in the </w:t>
      </w:r>
      <w:r w:rsidRPr="00AD482D">
        <w:rPr>
          <w:b/>
          <w:bCs/>
        </w:rPr>
        <w:t>Supplementary Materials</w:t>
      </w:r>
      <w:r w:rsidRPr="00287AF0">
        <w:t>.</w:t>
      </w:r>
    </w:p>
    <w:p w14:paraId="3ADB1F6D" w14:textId="77777777" w:rsidR="00287AF0" w:rsidRPr="00287AF0" w:rsidRDefault="00287AF0" w:rsidP="00C54BD3">
      <w:pPr>
        <w:pStyle w:val="Heading1"/>
      </w:pPr>
      <w:r w:rsidRPr="00287AF0">
        <w:t>3. Results and Discussion</w:t>
      </w:r>
    </w:p>
    <w:p w14:paraId="03516661" w14:textId="77777777" w:rsidR="00287AF0" w:rsidRPr="00287AF0" w:rsidRDefault="00287AF0" w:rsidP="00C54BD3">
      <w:pPr>
        <w:pStyle w:val="Heading2"/>
      </w:pPr>
      <w:r w:rsidRPr="00287AF0">
        <w:t>3.1. Pathway-Specific Rate Coefficients</w:t>
      </w:r>
    </w:p>
    <w:p w14:paraId="64D1392E" w14:textId="77A03AFF" w:rsidR="00287AF0" w:rsidRPr="00287AF0" w:rsidRDefault="00287AF0" w:rsidP="00287AF0">
      <w:r w:rsidRPr="00287AF0">
        <w:t>Our database of the rovibrational states of ozone [</w:t>
      </w:r>
      <w:r w:rsidRPr="00AD482D">
        <w:rPr>
          <w:b/>
          <w:bCs/>
        </w:rPr>
        <w:t>22</w:t>
      </w:r>
      <w:r w:rsidRPr="00287AF0">
        <w:t xml:space="preserve">] includes 380,434 states of singly substituted </w:t>
      </w:r>
      <w:proofErr w:type="spellStart"/>
      <w:r w:rsidRPr="00287AF0">
        <w:t>isotopologue</w:t>
      </w:r>
      <w:proofErr w:type="spellEnd"/>
      <w:r w:rsidRPr="00287AF0">
        <w:t xml:space="preserve"> and 400,183 states of doubly substituted </w:t>
      </w:r>
      <w:proofErr w:type="spellStart"/>
      <w:r w:rsidRPr="00287AF0">
        <w:t>isotopologue</w:t>
      </w:r>
      <w:proofErr w:type="spellEnd"/>
      <w:r w:rsidRPr="00287AF0">
        <w:t>, at energies up to 800 cm</w:t>
      </w:r>
      <w:r w:rsidRPr="00287AF0">
        <w:rPr>
          <w:vertAlign w:val="superscript"/>
        </w:rPr>
        <w:t>−1</w:t>
      </w:r>
      <w:r w:rsidRPr="00287AF0">
        <w:t> above dissociation threshold, computed for the values of total angular momentum of the molecule from </w:t>
      </w:r>
      <w:r w:rsidRPr="00287AF0">
        <w:rPr>
          <w:i/>
          <w:iCs/>
        </w:rPr>
        <w:t>J</w:t>
      </w:r>
      <w:r w:rsidRPr="00287AF0">
        <w:t> = 4 to </w:t>
      </w:r>
      <w:r w:rsidRPr="00287AF0">
        <w:rPr>
          <w:i/>
          <w:iCs/>
        </w:rPr>
        <w:t>J</w:t>
      </w:r>
      <w:r w:rsidRPr="00287AF0">
        <w:t> = 56 with a step of 4, within the symmetric-top rotor approximation for the values of </w:t>
      </w:r>
      <w:r w:rsidRPr="00287AF0">
        <w:rPr>
          <w:i/>
          <w:iCs/>
        </w:rPr>
        <w:t>K</w:t>
      </w:r>
      <w:r w:rsidRPr="00287AF0">
        <w:t> from zero to </w:t>
      </w:r>
      <w:r w:rsidRPr="00287AF0">
        <w:rPr>
          <w:i/>
          <w:iCs/>
        </w:rPr>
        <w:t>K = J</w:t>
      </w:r>
      <w:r w:rsidRPr="00287AF0">
        <w:t xml:space="preserve">, with a step of 2. Out of these states, about 520,000 states are the bound states below dissociation threshold of singly and doubly substituted </w:t>
      </w:r>
      <w:proofErr w:type="spellStart"/>
      <w:r w:rsidRPr="00287AF0">
        <w:t>isotopologues</w:t>
      </w:r>
      <w:proofErr w:type="spellEnd"/>
      <w:r w:rsidRPr="00287AF0">
        <w:t>, whereas the remaining 260,000 states are scattering resonances above threshold. The approach developed above uses properties of all these scattering resonances as input parameters (</w:t>
      </w:r>
      <m:oMath>
        <m:sSub>
          <m:sSubPr>
            <m:ctrlPr>
              <w:rPr>
                <w:rFonts w:ascii="Cambria Math" w:hAnsi="Cambria Math"/>
              </w:rPr>
            </m:ctrlPr>
          </m:sSubPr>
          <m:e>
            <m:r>
              <w:rPr>
                <w:rFonts w:ascii="Cambria Math" w:hAnsi="Cambria Math"/>
              </w:rPr>
              <m:t>E</m:t>
            </m:r>
          </m:e>
          <m:sub>
            <m:r>
              <w:rPr>
                <w:rFonts w:ascii="Cambria Math" w:hAnsi="Cambria Math"/>
              </w:rPr>
              <m:t>i</m:t>
            </m:r>
          </m:sub>
        </m:sSub>
      </m:oMath>
      <w:r w:rsidRPr="00287AF0">
        <w:t>, </w:t>
      </w:r>
      <m:oMath>
        <m:sSubSup>
          <m:sSubSupPr>
            <m:ctrlPr>
              <w:rPr>
                <w:rFonts w:ascii="Cambria Math" w:hAnsi="Cambria Math"/>
              </w:rPr>
            </m:ctrlPr>
          </m:sSubSupPr>
          <m:e>
            <m:r>
              <m:rPr>
                <m:sty m:val="p"/>
              </m:rPr>
              <w:rPr>
                <w:rFonts w:ascii="Cambria Math" w:hAnsi="Cambria Math"/>
              </w:rPr>
              <m:t>Γ</m:t>
            </m:r>
          </m:e>
          <m:sub>
            <m:r>
              <w:rPr>
                <w:rFonts w:ascii="Cambria Math" w:hAnsi="Cambria Math"/>
              </w:rPr>
              <m:t>i</m:t>
            </m:r>
          </m:sub>
          <m:sup>
            <m:r>
              <m:rPr>
                <m:sty m:val="p"/>
              </m:rPr>
              <w:rPr>
                <w:rFonts w:ascii="Cambria Math" w:hAnsi="Cambria Math"/>
              </w:rPr>
              <m:t>ch</m:t>
            </m:r>
            <m:r>
              <w:rPr>
                <w:rFonts w:ascii="Cambria Math" w:hAnsi="Cambria Math"/>
              </w:rPr>
              <m:t>1</m:t>
            </m:r>
          </m:sup>
        </m:sSubSup>
      </m:oMath>
      <w:r w:rsidRPr="00287AF0">
        <w:t>, </w:t>
      </w:r>
      <m:oMath>
        <m:sSubSup>
          <m:sSubSupPr>
            <m:ctrlPr>
              <w:rPr>
                <w:rFonts w:ascii="Cambria Math" w:hAnsi="Cambria Math"/>
              </w:rPr>
            </m:ctrlPr>
          </m:sSubSupPr>
          <m:e>
            <m:r>
              <m:rPr>
                <m:sty m:val="p"/>
              </m:rPr>
              <w:rPr>
                <w:rFonts w:ascii="Cambria Math" w:hAnsi="Cambria Math"/>
              </w:rPr>
              <m:t>Γ</m:t>
            </m:r>
          </m:e>
          <m:sub>
            <m:r>
              <w:rPr>
                <w:rFonts w:ascii="Cambria Math" w:hAnsi="Cambria Math"/>
              </w:rPr>
              <m:t>i</m:t>
            </m:r>
          </m:sub>
          <m:sup>
            <m:r>
              <m:rPr>
                <m:sty m:val="p"/>
              </m:rPr>
              <w:rPr>
                <w:rFonts w:ascii="Cambria Math" w:hAnsi="Cambria Math"/>
              </w:rPr>
              <m:t>ch</m:t>
            </m:r>
            <m:r>
              <w:rPr>
                <w:rFonts w:ascii="Cambria Math" w:hAnsi="Cambria Math"/>
              </w:rPr>
              <m:t>2</m:t>
            </m:r>
          </m:sup>
        </m:sSubSup>
      </m:oMath>
      <w:r w:rsidRPr="00287AF0">
        <w:t>, </w:t>
      </w:r>
      <m:oMath>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sym</m:t>
            </m:r>
          </m:sup>
        </m:sSubSup>
      </m:oMath>
      <w:r w:rsidRPr="00287AF0">
        <w:t>, </w:t>
      </w:r>
      <m:oMath>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asym</m:t>
            </m:r>
          </m:sup>
        </m:sSubSup>
      </m:oMath>
      <w:r w:rsidRPr="00287AF0">
        <w:t> for each state), to compute the relevant dynamical partition functions (Q˜A</w:t>
      </w:r>
      <w:r w:rsidRPr="00287AF0">
        <w:rPr>
          <w:i/>
          <w:iCs/>
        </w:rPr>
        <w:t>,</w:t>
      </w:r>
      <w:r w:rsidRPr="00287AF0">
        <w:t> Q˜B</w:t>
      </w:r>
      <w:r w:rsidRPr="00287AF0">
        <w:rPr>
          <w:i/>
          <w:iCs/>
        </w:rPr>
        <w:t>,</w:t>
      </w:r>
      <w:r w:rsidRPr="00287AF0">
        <w:t> Q˜S, Q˜I) by summation over these states, see Equations (41)–(44), and to predict the corresponding recombination rate coefficients (</w:t>
      </w:r>
      <m:oMath>
        <m:sSub>
          <m:sSubPr>
            <m:ctrlPr>
              <w:rPr>
                <w:rFonts w:ascii="Cambria Math" w:hAnsi="Cambria Math"/>
                <w:i/>
                <w:iCs/>
              </w:rPr>
            </m:ctrlPr>
          </m:sSubPr>
          <m:e>
            <m:r>
              <w:rPr>
                <w:rFonts w:ascii="Cambria Math" w:hAnsi="Cambria Math"/>
              </w:rPr>
              <m:t>κ</m:t>
            </m:r>
          </m:e>
          <m:sub>
            <m:r>
              <w:rPr>
                <w:rFonts w:ascii="Cambria Math" w:hAnsi="Cambria Math"/>
                <w:vertAlign w:val="subscript"/>
              </w:rPr>
              <m:t>A</m:t>
            </m:r>
          </m:sub>
        </m:sSub>
      </m:oMath>
      <w:r w:rsidRPr="00287AF0">
        <w:rPr>
          <w:i/>
          <w:iCs/>
        </w:rPr>
        <w:t>,</w:t>
      </w:r>
      <w:r w:rsidRPr="00287AF0">
        <w:t> </w:t>
      </w:r>
      <m:oMath>
        <m:sSub>
          <m:sSubPr>
            <m:ctrlPr>
              <w:rPr>
                <w:rFonts w:ascii="Cambria Math" w:hAnsi="Cambria Math"/>
                <w:i/>
                <w:iCs/>
              </w:rPr>
            </m:ctrlPr>
          </m:sSubPr>
          <m:e>
            <m:r>
              <w:rPr>
                <w:rFonts w:ascii="Cambria Math" w:hAnsi="Cambria Math"/>
              </w:rPr>
              <m:t>κ</m:t>
            </m:r>
          </m:e>
          <m:sub>
            <m:r>
              <w:rPr>
                <w:rFonts w:ascii="Cambria Math" w:hAnsi="Cambria Math"/>
                <w:vertAlign w:val="subscript"/>
              </w:rPr>
              <m:t>B</m:t>
            </m:r>
          </m:sub>
        </m:sSub>
      </m:oMath>
      <w:r w:rsidRPr="00287AF0">
        <w:rPr>
          <w:i/>
          <w:iCs/>
        </w:rPr>
        <w:t>,</w:t>
      </w:r>
      <w:r w:rsidRPr="00287AF0">
        <w:t> </w:t>
      </w:r>
      <m:oMath>
        <m:sSub>
          <m:sSubPr>
            <m:ctrlPr>
              <w:rPr>
                <w:rFonts w:ascii="Cambria Math" w:hAnsi="Cambria Math"/>
                <w:i/>
                <w:iCs/>
              </w:rPr>
            </m:ctrlPr>
          </m:sSubPr>
          <m:e>
            <m:r>
              <w:rPr>
                <w:rFonts w:ascii="Cambria Math" w:hAnsi="Cambria Math"/>
              </w:rPr>
              <m:t>κ</m:t>
            </m:r>
          </m:e>
          <m:sub>
            <m:r>
              <w:rPr>
                <w:rFonts w:ascii="Cambria Math" w:hAnsi="Cambria Math"/>
                <w:vertAlign w:val="subscript"/>
              </w:rPr>
              <m:t>S</m:t>
            </m:r>
          </m:sub>
        </m:sSub>
      </m:oMath>
      <w:r w:rsidRPr="00287AF0">
        <w:t>, </w:t>
      </w:r>
      <m:oMath>
        <m:sSub>
          <m:sSubPr>
            <m:ctrlPr>
              <w:rPr>
                <w:rFonts w:ascii="Cambria Math" w:eastAsia="Times New Roman" w:hAnsi="Cambria Math" w:cs="Arial"/>
                <w:i/>
                <w:color w:val="222222"/>
                <w:sz w:val="23"/>
                <w:szCs w:val="23"/>
                <w:bdr w:val="none" w:sz="0" w:space="0" w:color="auto" w:frame="1"/>
              </w:rPr>
            </m:ctrlPr>
          </m:sSubPr>
          <m:e>
            <m:r>
              <w:rPr>
                <w:rFonts w:ascii="Cambria Math" w:eastAsia="Times New Roman" w:hAnsi="Cambria Math" w:cs="Arial"/>
                <w:color w:val="222222"/>
                <w:sz w:val="23"/>
                <w:szCs w:val="23"/>
                <w:bdr w:val="none" w:sz="0" w:space="0" w:color="auto" w:frame="1"/>
              </w:rPr>
              <m:t>κ</m:t>
            </m:r>
          </m:e>
          <m:sub>
            <m:r>
              <w:rPr>
                <w:rFonts w:ascii="Cambria Math" w:eastAsia="Times New Roman" w:hAnsi="Cambria Math" w:cs="Arial"/>
                <w:color w:val="222222"/>
                <w:sz w:val="23"/>
                <w:szCs w:val="23"/>
                <w:bdr w:val="none" w:sz="0" w:space="0" w:color="auto" w:frame="1"/>
              </w:rPr>
              <m:t>I</m:t>
            </m:r>
          </m:sub>
        </m:sSub>
      </m:oMath>
      <w:r w:rsidRPr="00287AF0">
        <w:t>) using Equations (45)–(48).</w:t>
      </w:r>
    </w:p>
    <w:p w14:paraId="498B7E6B" w14:textId="5175B5F8" w:rsidR="00287AF0" w:rsidRPr="00287AF0" w:rsidRDefault="00287AF0" w:rsidP="00287AF0">
      <w:r w:rsidRPr="00287AF0">
        <w:t>Theoretically predicted rate coefficients for the four pathways in singly and doubly substituted ozone molecules are added to the </w:t>
      </w:r>
      <w:r w:rsidRPr="00AD482D">
        <w:rPr>
          <w:b/>
          <w:bCs/>
        </w:rPr>
        <w:t>Table 1</w:t>
      </w:r>
      <w:r w:rsidRPr="00287AF0">
        <w:t>. The most significant new addition to the previous work is theoretical prediction of rate coefficients for the insertion pathways, </w:t>
      </w:r>
      <m:oMath>
        <m:sSub>
          <m:sSubPr>
            <m:ctrlPr>
              <w:rPr>
                <w:rFonts w:ascii="Cambria Math" w:eastAsia="Times New Roman" w:hAnsi="Cambria Math" w:cs="Arial"/>
                <w:i/>
                <w:color w:val="222222"/>
                <w:sz w:val="23"/>
                <w:szCs w:val="23"/>
                <w:bdr w:val="none" w:sz="0" w:space="0" w:color="auto" w:frame="1"/>
              </w:rPr>
            </m:ctrlPr>
          </m:sSubPr>
          <m:e>
            <m:r>
              <w:rPr>
                <w:rFonts w:ascii="Cambria Math" w:eastAsia="Times New Roman" w:hAnsi="Cambria Math" w:cs="Arial"/>
                <w:color w:val="222222"/>
                <w:sz w:val="23"/>
                <w:szCs w:val="23"/>
                <w:bdr w:val="none" w:sz="0" w:space="0" w:color="auto" w:frame="1"/>
              </w:rPr>
              <m:t>κ</m:t>
            </m:r>
          </m:e>
          <m:sub>
            <m:r>
              <w:rPr>
                <w:rFonts w:ascii="Cambria Math" w:eastAsia="Times New Roman" w:hAnsi="Cambria Math" w:cs="Arial"/>
                <w:color w:val="222222"/>
                <w:sz w:val="23"/>
                <w:szCs w:val="23"/>
                <w:bdr w:val="none" w:sz="0" w:space="0" w:color="auto" w:frame="1"/>
              </w:rPr>
              <m:t>I</m:t>
            </m:r>
          </m:sub>
        </m:sSub>
      </m:oMath>
      <w:r w:rsidRPr="00287AF0">
        <w:t>, never computed before by anyone else. Experimental information for the insertion pathway in ozone is also rather limited and consists of only two values of rate coefficient </w:t>
      </w:r>
      <m:oMath>
        <m:sSub>
          <m:sSubPr>
            <m:ctrlPr>
              <w:rPr>
                <w:rFonts w:ascii="Cambria Math" w:eastAsia="Times New Roman" w:hAnsi="Cambria Math" w:cs="Arial"/>
                <w:i/>
                <w:color w:val="222222"/>
                <w:sz w:val="23"/>
                <w:szCs w:val="23"/>
                <w:bdr w:val="none" w:sz="0" w:space="0" w:color="auto" w:frame="1"/>
              </w:rPr>
            </m:ctrlPr>
          </m:sSubPr>
          <m:e>
            <m:r>
              <w:rPr>
                <w:rFonts w:ascii="Cambria Math" w:eastAsia="Times New Roman" w:hAnsi="Cambria Math" w:cs="Arial"/>
                <w:color w:val="222222"/>
                <w:sz w:val="23"/>
                <w:szCs w:val="23"/>
                <w:bdr w:val="none" w:sz="0" w:space="0" w:color="auto" w:frame="1"/>
              </w:rPr>
              <m:t>κ</m:t>
            </m:r>
          </m:e>
          <m:sub>
            <m:r>
              <w:rPr>
                <w:rFonts w:ascii="Cambria Math" w:eastAsia="Times New Roman" w:hAnsi="Cambria Math" w:cs="Arial"/>
                <w:color w:val="222222"/>
                <w:sz w:val="23"/>
                <w:szCs w:val="23"/>
                <w:bdr w:val="none" w:sz="0" w:space="0" w:color="auto" w:frame="1"/>
              </w:rPr>
              <m:t>I</m:t>
            </m:r>
          </m:sub>
        </m:sSub>
      </m:oMath>
      <w:r w:rsidRPr="00287AF0">
        <w:t> cited in </w:t>
      </w:r>
      <w:r w:rsidRPr="00AD482D">
        <w:rPr>
          <w:b/>
          <w:bCs/>
        </w:rPr>
        <w:t>Table 1</w:t>
      </w:r>
      <w:r w:rsidRPr="00287AF0">
        <w:t>, both at room temperature, one for the insertion of 6 into 88, and the other for the insertion of 8 into 66. In agreement with experiment, our theory predicts very small rate coefficients for the insertion pathway, in the range of two orders of magnitude smaller than rate coefficients for the other three pathways (</w:t>
      </w:r>
      <w:proofErr w:type="gramStart"/>
      <w:r w:rsidRPr="00287AF0">
        <w:t>compare</w:t>
      </w:r>
      <w:proofErr w:type="gramEnd"/>
      <w:r w:rsidRPr="00287AF0">
        <w:t xml:space="preserve"> to </w:t>
      </w:r>
      <m:oMath>
        <m:sSub>
          <m:sSubPr>
            <m:ctrlPr>
              <w:rPr>
                <w:rFonts w:ascii="Cambria Math" w:hAnsi="Cambria Math"/>
                <w:i/>
                <w:iCs/>
              </w:rPr>
            </m:ctrlPr>
          </m:sSubPr>
          <m:e>
            <m:r>
              <w:rPr>
                <w:rFonts w:ascii="Cambria Math" w:hAnsi="Cambria Math"/>
              </w:rPr>
              <m:t>κ</m:t>
            </m:r>
          </m:e>
          <m:sub>
            <m:r>
              <w:rPr>
                <w:rFonts w:ascii="Cambria Math" w:hAnsi="Cambria Math"/>
                <w:vertAlign w:val="subscript"/>
              </w:rPr>
              <m:t>A</m:t>
            </m:r>
          </m:sub>
        </m:sSub>
      </m:oMath>
      <w:r w:rsidRPr="00287AF0">
        <w:rPr>
          <w:i/>
          <w:iCs/>
        </w:rPr>
        <w:t>,</w:t>
      </w:r>
      <w:r w:rsidRPr="00287AF0">
        <w:t> </w:t>
      </w:r>
      <m:oMath>
        <m:sSub>
          <m:sSubPr>
            <m:ctrlPr>
              <w:rPr>
                <w:rFonts w:ascii="Cambria Math" w:hAnsi="Cambria Math"/>
                <w:i/>
                <w:iCs/>
              </w:rPr>
            </m:ctrlPr>
          </m:sSubPr>
          <m:e>
            <m:r>
              <w:rPr>
                <w:rFonts w:ascii="Cambria Math" w:hAnsi="Cambria Math"/>
              </w:rPr>
              <m:t>κ</m:t>
            </m:r>
          </m:e>
          <m:sub>
            <m:r>
              <w:rPr>
                <w:rFonts w:ascii="Cambria Math" w:hAnsi="Cambria Math"/>
                <w:vertAlign w:val="subscript"/>
              </w:rPr>
              <m:t>B</m:t>
            </m:r>
          </m:sub>
        </m:sSub>
      </m:oMath>
      <w:r w:rsidRPr="00287AF0">
        <w:t> and </w:t>
      </w:r>
      <m:oMath>
        <m:sSub>
          <m:sSubPr>
            <m:ctrlPr>
              <w:rPr>
                <w:rFonts w:ascii="Cambria Math" w:hAnsi="Cambria Math"/>
                <w:i/>
                <w:iCs/>
              </w:rPr>
            </m:ctrlPr>
          </m:sSubPr>
          <m:e>
            <m:r>
              <w:rPr>
                <w:rFonts w:ascii="Cambria Math" w:hAnsi="Cambria Math"/>
              </w:rPr>
              <m:t>κ</m:t>
            </m:r>
          </m:e>
          <m:sub>
            <m:r>
              <w:rPr>
                <w:rFonts w:ascii="Cambria Math" w:hAnsi="Cambria Math"/>
                <w:vertAlign w:val="subscript"/>
              </w:rPr>
              <m:t>S</m:t>
            </m:r>
          </m:sub>
        </m:sSub>
      </m:oMath>
      <w:r w:rsidRPr="00287AF0">
        <w:t> in </w:t>
      </w:r>
      <w:r w:rsidRPr="00AD482D">
        <w:rPr>
          <w:b/>
          <w:bCs/>
        </w:rPr>
        <w:t>Table 1</w:t>
      </w:r>
      <w:r w:rsidRPr="00287AF0">
        <w:t>). This is consistent with an </w:t>
      </w:r>
      <w:r w:rsidRPr="00287AF0">
        <w:rPr>
          <w:i/>
          <w:iCs/>
        </w:rPr>
        <w:t>indirect</w:t>
      </w:r>
      <w:r w:rsidRPr="00287AF0">
        <w:t> reaction path, that must circle the origin in </w:t>
      </w:r>
      <w:r w:rsidRPr="00AD482D">
        <w:rPr>
          <w:b/>
          <w:bCs/>
        </w:rPr>
        <w:t>Figure 1</w:t>
      </w:r>
      <w:r w:rsidRPr="00287AF0">
        <w:t>, going from the reagent channel at the bottom of the figure (Channel 1 with a homonuclear diatomic) into the product well at the top of the figure (to form a symmetric ozone molecule). A schematic of this process is provided in the </w:t>
      </w:r>
      <w:r w:rsidRPr="00AD482D">
        <w:rPr>
          <w:b/>
          <w:bCs/>
        </w:rPr>
        <w:t>Supplementary Materials</w:t>
      </w:r>
      <w:r w:rsidRPr="00287AF0">
        <w:t>, </w:t>
      </w:r>
      <w:r w:rsidRPr="00AD482D">
        <w:rPr>
          <w:b/>
          <w:bCs/>
        </w:rPr>
        <w:t>Figure S2</w:t>
      </w:r>
      <w:r w:rsidRPr="00287AF0">
        <w:t>. Absolute value of theoretically predicted </w:t>
      </w:r>
      <m:oMath>
        <m:sSub>
          <m:sSubPr>
            <m:ctrlPr>
              <w:rPr>
                <w:rFonts w:ascii="Cambria Math" w:eastAsia="Times New Roman" w:hAnsi="Cambria Math" w:cs="Arial"/>
                <w:i/>
                <w:color w:val="222222"/>
                <w:sz w:val="23"/>
                <w:szCs w:val="23"/>
                <w:bdr w:val="none" w:sz="0" w:space="0" w:color="auto" w:frame="1"/>
              </w:rPr>
            </m:ctrlPr>
          </m:sSubPr>
          <m:e>
            <m:r>
              <w:rPr>
                <w:rFonts w:ascii="Cambria Math" w:eastAsia="Times New Roman" w:hAnsi="Cambria Math" w:cs="Arial"/>
                <w:color w:val="222222"/>
                <w:sz w:val="23"/>
                <w:szCs w:val="23"/>
                <w:bdr w:val="none" w:sz="0" w:space="0" w:color="auto" w:frame="1"/>
              </w:rPr>
              <m:t>κ</m:t>
            </m:r>
          </m:e>
          <m:sub>
            <m:r>
              <w:rPr>
                <w:rFonts w:ascii="Cambria Math" w:eastAsia="Times New Roman" w:hAnsi="Cambria Math" w:cs="Arial"/>
                <w:color w:val="222222"/>
                <w:sz w:val="23"/>
                <w:szCs w:val="23"/>
                <w:bdr w:val="none" w:sz="0" w:space="0" w:color="auto" w:frame="1"/>
              </w:rPr>
              <m:t>I</m:t>
            </m:r>
          </m:sub>
        </m:sSub>
      </m:oMath>
      <w:r w:rsidRPr="00287AF0">
        <w:t> is quite close to the experimental value in the case of double isotopic substitution (see </w:t>
      </w:r>
      <w:r w:rsidRPr="00AD482D">
        <w:rPr>
          <w:b/>
          <w:bCs/>
        </w:rPr>
        <w:t>Table 1</w:t>
      </w:r>
      <w:r w:rsidRPr="00287AF0">
        <w:t>), whereas it deviates more in the case of single isotopic substitution. One must remember, however, that dealing with the insertion pathway we look at the relatively small rate coefficients influenced by both theoretical assumptions and experimental limitations.</w:t>
      </w:r>
    </w:p>
    <w:p w14:paraId="077D9E26" w14:textId="77777777" w:rsidR="00287AF0" w:rsidRPr="00287AF0" w:rsidRDefault="00287AF0" w:rsidP="00287AF0">
      <w:r w:rsidRPr="00287AF0">
        <w:t xml:space="preserve">Also, in agreement with experiment, our results indicate that insertion is much slower in the singly substituted case, Equation (11), compared to the doubly substituted case, Equation (12). </w:t>
      </w:r>
      <w:proofErr w:type="gramStart"/>
      <w:r w:rsidRPr="00287AF0">
        <w:t>In order to</w:t>
      </w:r>
      <w:proofErr w:type="gramEnd"/>
      <w:r w:rsidRPr="00287AF0">
        <w:t xml:space="preserve"> quantify this phenomenon, we propose to introduce the ratio of corresponding rate coefficients, namely:</w:t>
      </w:r>
    </w:p>
    <w:p w14:paraId="610B39ED" w14:textId="4872F8CC" w:rsidR="00CD7F14" w:rsidRPr="00287AF0" w:rsidRDefault="00CD7F14" w:rsidP="00287AF0">
      <m:oMathPara>
        <m:oMath>
          <m:r>
            <w:rPr>
              <w:rFonts w:ascii="Cambria Math" w:hAnsi="Cambria Math"/>
            </w:rPr>
            <m:t>ξ=</m:t>
          </m:r>
          <m:f>
            <m:fPr>
              <m:ctrlPr>
                <w:rPr>
                  <w:rFonts w:ascii="Cambria Math" w:hAnsi="Cambria Math"/>
                </w:rPr>
              </m:ctrlPr>
            </m:fPr>
            <m:num>
              <m:sSubSup>
                <m:sSubSupPr>
                  <m:ctrlPr>
                    <w:rPr>
                      <w:rFonts w:ascii="Cambria Math" w:hAnsi="Cambria Math"/>
                    </w:rPr>
                  </m:ctrlPr>
                </m:sSubSupPr>
                <m:e>
                  <m:r>
                    <w:rPr>
                      <w:rFonts w:ascii="Cambria Math" w:hAnsi="Cambria Math"/>
                    </w:rPr>
                    <m:t>κ</m:t>
                  </m:r>
                </m:e>
                <m:sub>
                  <m:r>
                    <m:rPr>
                      <m:sty m:val="p"/>
                    </m:rPr>
                    <w:rPr>
                      <w:rFonts w:ascii="Cambria Math" w:hAnsi="Cambria Math"/>
                    </w:rPr>
                    <m:t>I</m:t>
                  </m:r>
                </m:sub>
                <m:sup>
                  <m:d>
                    <m:dPr>
                      <m:ctrlPr>
                        <w:rPr>
                          <w:rFonts w:ascii="Cambria Math" w:hAnsi="Cambria Math"/>
                          <w:i/>
                        </w:rPr>
                      </m:ctrlPr>
                    </m:dPr>
                    <m:e>
                      <m:r>
                        <m:rPr>
                          <m:sty m:val="p"/>
                        </m:rPr>
                        <w:rPr>
                          <w:rFonts w:ascii="Cambria Math" w:hAnsi="Cambria Math"/>
                        </w:rPr>
                        <m:t>d</m:t>
                      </m:r>
                    </m:e>
                  </m:d>
                </m:sup>
              </m:sSubSup>
            </m:num>
            <m:den>
              <m:sSubSup>
                <m:sSubSupPr>
                  <m:ctrlPr>
                    <w:rPr>
                      <w:rFonts w:ascii="Cambria Math" w:hAnsi="Cambria Math"/>
                    </w:rPr>
                  </m:ctrlPr>
                </m:sSubSupPr>
                <m:e>
                  <m:r>
                    <w:rPr>
                      <w:rFonts w:ascii="Cambria Math" w:hAnsi="Cambria Math"/>
                    </w:rPr>
                    <m:t>κ</m:t>
                  </m:r>
                </m:e>
                <m:sub>
                  <m:r>
                    <m:rPr>
                      <m:sty m:val="p"/>
                    </m:rPr>
                    <w:rPr>
                      <w:rFonts w:ascii="Cambria Math" w:hAnsi="Cambria Math"/>
                    </w:rPr>
                    <m:t>I</m:t>
                  </m:r>
                </m:sub>
                <m:sup>
                  <m:d>
                    <m:dPr>
                      <m:ctrlPr>
                        <w:rPr>
                          <w:rFonts w:ascii="Cambria Math" w:hAnsi="Cambria Math"/>
                          <w:i/>
                        </w:rPr>
                      </m:ctrlPr>
                    </m:dPr>
                    <m:e>
                      <m:r>
                        <m:rPr>
                          <m:sty m:val="p"/>
                        </m:rPr>
                        <w:rPr>
                          <w:rFonts w:ascii="Cambria Math" w:hAnsi="Cambria Math"/>
                        </w:rPr>
                        <m:t>s</m:t>
                      </m:r>
                    </m:e>
                  </m:d>
                </m:sup>
              </m:sSubSup>
            </m:den>
          </m:f>
        </m:oMath>
      </m:oMathPara>
    </w:p>
    <w:p w14:paraId="2E0E0F31" w14:textId="77777777" w:rsidR="00287AF0" w:rsidRPr="00287AF0" w:rsidRDefault="00287AF0" w:rsidP="00287AF0">
      <w:r w:rsidRPr="00287AF0">
        <w:t>(61)</w:t>
      </w:r>
    </w:p>
    <w:p w14:paraId="6C698A90" w14:textId="691479E6" w:rsidR="00287AF0" w:rsidRPr="00287AF0" w:rsidRDefault="00287AF0" w:rsidP="00287AF0">
      <w:r w:rsidRPr="00287AF0">
        <w:t>where indexes (s) and (d) stand for single and double isotopic substitutions, respectively. In the experiment this ratio is larger than one, close to the factor of five, ξ = 4.8. Importantly, our theory shows the same effect (ξ &gt; 1) with even larger magnitude, ξ = 7.9 (see </w:t>
      </w:r>
      <w:r w:rsidRPr="00AD482D">
        <w:rPr>
          <w:b/>
          <w:bCs/>
        </w:rPr>
        <w:t>Table 1</w:t>
      </w:r>
      <w:r w:rsidRPr="00287AF0">
        <w:t>).</w:t>
      </w:r>
    </w:p>
    <w:p w14:paraId="27F5A642" w14:textId="77777777" w:rsidR="00287AF0" w:rsidRPr="00287AF0" w:rsidRDefault="00287AF0" w:rsidP="00287AF0">
      <w:r w:rsidRPr="00287AF0">
        <w:t>The difference of experimental and theoretical absolute values of ξ-effect may originate in the approximate theoretical treatment of stabilization step (since we assume the same value of stabilization cross section for single and double isotopic substitutions, while they may be different in reality), or in the details of potential energy surface (since this indirect reaction path crosses several transition states, and thus is expected to be sensitive to the reaction landscape), or in the difficulties of experimental measurements (since this is a minor pathway with very small rate coefficient). Despite of these multiple uncertainties, a semiquantitative agreement of theory with experiment is obtained, which is already a successful first step.</w:t>
      </w:r>
    </w:p>
    <w:p w14:paraId="15F7F3D7" w14:textId="10D5D19F" w:rsidR="00287AF0" w:rsidRPr="00287AF0" w:rsidRDefault="00287AF0" w:rsidP="00287AF0">
      <w:r w:rsidRPr="00287AF0">
        <w:t>An important qualitative question is why the insertion is much faster in the doubly substituted case, </w:t>
      </w:r>
      <m:oMath>
        <m:r>
          <w:rPr>
            <w:rFonts w:ascii="Cambria Math" w:hAnsi="Cambria Math"/>
          </w:rPr>
          <m:t>6+88</m:t>
        </m:r>
        <m:limUpp>
          <m:limUppPr>
            <m:ctrlPr>
              <w:rPr>
                <w:rFonts w:ascii="Cambria Math" w:hAnsi="Cambria Math"/>
              </w:rPr>
            </m:ctrlPr>
          </m:limUppPr>
          <m:e>
            <m:r>
              <w:rPr>
                <w:rFonts w:ascii="Cambria Math" w:hAnsi="Cambria Math"/>
              </w:rPr>
              <m:t>→</m:t>
            </m:r>
          </m:e>
          <m:lim>
            <m:sSub>
              <m:sSubPr>
                <m:ctrlPr>
                  <w:rPr>
                    <w:rFonts w:ascii="Cambria Math" w:hAnsi="Cambria Math"/>
                  </w:rPr>
                </m:ctrlPr>
              </m:sSubPr>
              <m:e>
                <m:r>
                  <w:rPr>
                    <w:rFonts w:ascii="Cambria Math" w:hAnsi="Cambria Math"/>
                  </w:rPr>
                  <m:t>κ</m:t>
                </m:r>
              </m:e>
              <m:sub>
                <m:r>
                  <m:rPr>
                    <m:sty m:val="p"/>
                  </m:rPr>
                  <w:rPr>
                    <w:rFonts w:ascii="Cambria Math" w:hAnsi="Cambria Math"/>
                  </w:rPr>
                  <m:t>I</m:t>
                </m:r>
              </m:sub>
            </m:sSub>
          </m:lim>
        </m:limUpp>
        <m:r>
          <w:rPr>
            <w:rFonts w:ascii="Cambria Math" w:hAnsi="Cambria Math"/>
          </w:rPr>
          <m:t>868</m:t>
        </m:r>
      </m:oMath>
      <w:r w:rsidRPr="00287AF0">
        <w:t>, compared to the singly substituted case, </w:t>
      </w:r>
      <m:oMath>
        <m:r>
          <w:rPr>
            <w:rFonts w:ascii="Cambria Math" w:hAnsi="Cambria Math"/>
          </w:rPr>
          <m:t>8+66</m:t>
        </m:r>
        <m:limUpp>
          <m:limUppPr>
            <m:ctrlPr>
              <w:rPr>
                <w:rFonts w:ascii="Cambria Math" w:hAnsi="Cambria Math"/>
              </w:rPr>
            </m:ctrlPr>
          </m:limUppPr>
          <m:e>
            <m:r>
              <w:rPr>
                <w:rFonts w:ascii="Cambria Math" w:hAnsi="Cambria Math"/>
              </w:rPr>
              <m:t>→</m:t>
            </m:r>
          </m:e>
          <m:lim>
            <m:sSub>
              <m:sSubPr>
                <m:ctrlPr>
                  <w:rPr>
                    <w:rFonts w:ascii="Cambria Math" w:hAnsi="Cambria Math"/>
                  </w:rPr>
                </m:ctrlPr>
              </m:sSubPr>
              <m:e>
                <m:r>
                  <w:rPr>
                    <w:rFonts w:ascii="Cambria Math" w:hAnsi="Cambria Math"/>
                  </w:rPr>
                  <m:t>κ</m:t>
                </m:r>
              </m:e>
              <m:sub>
                <m:r>
                  <m:rPr>
                    <m:sty m:val="p"/>
                  </m:rPr>
                  <w:rPr>
                    <w:rFonts w:ascii="Cambria Math" w:hAnsi="Cambria Math"/>
                  </w:rPr>
                  <m:t>I</m:t>
                </m:r>
              </m:sub>
            </m:sSub>
          </m:lim>
        </m:limUpp>
        <m:r>
          <w:rPr>
            <w:rFonts w:ascii="Cambria Math" w:hAnsi="Cambria Math"/>
          </w:rPr>
          <m:t>686</m:t>
        </m:r>
      </m:oMath>
      <w:r w:rsidRPr="00287AF0">
        <w:t>. For this, let’s consider the effective mass of reagents in these two processes. It may be counterintuitive at first, but it appears that the reduced mass of reagents in the doubly substituted case:</w:t>
      </w:r>
    </w:p>
    <w:p w14:paraId="03D710CB" w14:textId="2270CD5D" w:rsidR="00143EE9" w:rsidRPr="00287AF0" w:rsidRDefault="00702DFE" w:rsidP="00287AF0">
      <m:oMathPara>
        <m:oMath>
          <m:sSup>
            <m:sSupPr>
              <m:ctrlPr>
                <w:rPr>
                  <w:rFonts w:ascii="Cambria Math" w:hAnsi="Cambria Math"/>
                </w:rPr>
              </m:ctrlPr>
            </m:sSupPr>
            <m:e>
              <m:r>
                <w:rPr>
                  <w:rFonts w:ascii="Cambria Math" w:hAnsi="Cambria Math"/>
                </w:rPr>
                <m:t>μ</m:t>
              </m:r>
            </m:e>
            <m:sup>
              <m:d>
                <m:dPr>
                  <m:ctrlPr>
                    <w:rPr>
                      <w:rFonts w:ascii="Cambria Math" w:hAnsi="Cambria Math"/>
                      <w:i/>
                    </w:rPr>
                  </m:ctrlPr>
                </m:dPr>
                <m:e>
                  <m:r>
                    <m:rPr>
                      <m:sty m:val="p"/>
                    </m:rPr>
                    <w:rPr>
                      <w:rFonts w:ascii="Cambria Math" w:hAnsi="Cambria Math"/>
                    </w:rPr>
                    <m:t>d</m:t>
                  </m:r>
                </m:e>
              </m:d>
            </m:sup>
          </m:sSup>
          <m:r>
            <w:rPr>
              <w:rFonts w:ascii="Cambria Math" w:hAnsi="Cambria Math"/>
            </w:rPr>
            <m:t>=</m:t>
          </m:r>
          <m:f>
            <m:fPr>
              <m:ctrlPr>
                <w:rPr>
                  <w:rFonts w:ascii="Cambria Math" w:hAnsi="Cambria Math"/>
                </w:rPr>
              </m:ctrlPr>
            </m:fPr>
            <m:num>
              <m:r>
                <w:rPr>
                  <w:rFonts w:ascii="Cambria Math" w:hAnsi="Cambria Math"/>
                </w:rPr>
                <m:t>16×36</m:t>
              </m:r>
            </m:num>
            <m:den>
              <m:r>
                <w:rPr>
                  <w:rFonts w:ascii="Cambria Math" w:hAnsi="Cambria Math"/>
                </w:rPr>
                <m:t>16+36</m:t>
              </m:r>
            </m:den>
          </m:f>
          <m:r>
            <w:rPr>
              <w:rFonts w:ascii="Cambria Math" w:hAnsi="Cambria Math"/>
            </w:rPr>
            <m:t>≈11.07</m:t>
          </m:r>
          <m:d>
            <m:dPr>
              <m:ctrlPr>
                <w:rPr>
                  <w:rFonts w:ascii="Cambria Math" w:hAnsi="Cambria Math"/>
                  <w:i/>
                </w:rPr>
              </m:ctrlPr>
            </m:dPr>
            <m:e>
              <m:r>
                <m:rPr>
                  <m:sty m:val="p"/>
                </m:rPr>
                <w:rPr>
                  <w:rFonts w:ascii="Cambria Math" w:hAnsi="Cambria Math"/>
                </w:rPr>
                <m:t>amu</m:t>
              </m:r>
            </m:e>
          </m:d>
        </m:oMath>
      </m:oMathPara>
    </w:p>
    <w:p w14:paraId="4439C3F6" w14:textId="77777777" w:rsidR="00287AF0" w:rsidRPr="00287AF0" w:rsidRDefault="00287AF0" w:rsidP="00287AF0">
      <w:r w:rsidRPr="00287AF0">
        <w:t>(62)</w:t>
      </w:r>
    </w:p>
    <w:p w14:paraId="771F7DCB" w14:textId="77777777" w:rsidR="00287AF0" w:rsidRPr="00287AF0" w:rsidRDefault="00287AF0" w:rsidP="00287AF0">
      <w:r w:rsidRPr="00287AF0">
        <w:t>is appreciably smaller than in the singly substituted case:</w:t>
      </w:r>
    </w:p>
    <w:p w14:paraId="48A24836" w14:textId="44897CED" w:rsidR="00906BA8" w:rsidRPr="00287AF0" w:rsidRDefault="00702DFE" w:rsidP="00287AF0">
      <m:oMathPara>
        <m:oMath>
          <m:sSup>
            <m:sSupPr>
              <m:ctrlPr>
                <w:rPr>
                  <w:rFonts w:ascii="Cambria Math" w:hAnsi="Cambria Math"/>
                </w:rPr>
              </m:ctrlPr>
            </m:sSupPr>
            <m:e>
              <m:r>
                <w:rPr>
                  <w:rFonts w:ascii="Cambria Math" w:hAnsi="Cambria Math"/>
                </w:rPr>
                <m:t>μ</m:t>
              </m:r>
            </m:e>
            <m:sup>
              <m:d>
                <m:dPr>
                  <m:ctrlPr>
                    <w:rPr>
                      <w:rFonts w:ascii="Cambria Math" w:hAnsi="Cambria Math"/>
                      <w:i/>
                    </w:rPr>
                  </m:ctrlPr>
                </m:dPr>
                <m:e>
                  <m:r>
                    <m:rPr>
                      <m:sty m:val="p"/>
                    </m:rPr>
                    <w:rPr>
                      <w:rFonts w:ascii="Cambria Math" w:hAnsi="Cambria Math"/>
                    </w:rPr>
                    <m:t>s</m:t>
                  </m:r>
                </m:e>
              </m:d>
            </m:sup>
          </m:sSup>
          <m:r>
            <w:rPr>
              <w:rFonts w:ascii="Cambria Math" w:hAnsi="Cambria Math"/>
            </w:rPr>
            <m:t>=</m:t>
          </m:r>
          <m:f>
            <m:fPr>
              <m:ctrlPr>
                <w:rPr>
                  <w:rFonts w:ascii="Cambria Math" w:hAnsi="Cambria Math"/>
                </w:rPr>
              </m:ctrlPr>
            </m:fPr>
            <m:num>
              <m:r>
                <w:rPr>
                  <w:rFonts w:ascii="Cambria Math" w:hAnsi="Cambria Math"/>
                </w:rPr>
                <m:t>18×32</m:t>
              </m:r>
            </m:num>
            <m:den>
              <m:r>
                <w:rPr>
                  <w:rFonts w:ascii="Cambria Math" w:hAnsi="Cambria Math"/>
                </w:rPr>
                <m:t>18+32</m:t>
              </m:r>
            </m:den>
          </m:f>
          <m:r>
            <w:rPr>
              <w:rFonts w:ascii="Cambria Math" w:hAnsi="Cambria Math"/>
            </w:rPr>
            <m:t>≈11.52</m:t>
          </m:r>
          <m:d>
            <m:dPr>
              <m:ctrlPr>
                <w:rPr>
                  <w:rFonts w:ascii="Cambria Math" w:hAnsi="Cambria Math"/>
                  <w:i/>
                </w:rPr>
              </m:ctrlPr>
            </m:dPr>
            <m:e>
              <m:r>
                <m:rPr>
                  <m:sty m:val="p"/>
                </m:rPr>
                <w:rPr>
                  <w:rFonts w:ascii="Cambria Math" w:hAnsi="Cambria Math"/>
                </w:rPr>
                <m:t>amu</m:t>
              </m:r>
            </m:e>
          </m:d>
        </m:oMath>
      </m:oMathPara>
    </w:p>
    <w:p w14:paraId="75E6BF81" w14:textId="77777777" w:rsidR="00287AF0" w:rsidRPr="00287AF0" w:rsidRDefault="00287AF0" w:rsidP="00287AF0">
      <w:r w:rsidRPr="00287AF0">
        <w:t>(63)</w:t>
      </w:r>
    </w:p>
    <w:p w14:paraId="304DAE1A" w14:textId="0636451E" w:rsidR="00287AF0" w:rsidRPr="00287AF0" w:rsidRDefault="00287AF0" w:rsidP="00287AF0">
      <w:r w:rsidRPr="00287AF0">
        <w:t>Smaller effective mass is associated with faster motion and thus larger rate coefficients at the same temperature, but also with more efficient tunneling. Since the rate coefficients are small for the insertion, the effect of tunneling becomes comparable [</w:t>
      </w:r>
      <w:r w:rsidRPr="00AD482D">
        <w:rPr>
          <w:b/>
          <w:bCs/>
        </w:rPr>
        <w:t>22</w:t>
      </w:r>
      <w:r w:rsidRPr="00287AF0">
        <w:t xml:space="preserve">]. The “shape-type” resonances are populated by tunneling, which is exponentially sensitive to the masses of isotopes. It should also be stressed that, in the case of single substitution, Channel 1 (where the insertion process starts) is the upper channel, but in the case of double substitution Channel 1 is the lower channel. All experimental data indicate that lower channels exhibit higher recombination rates than upper channels (see discussion of the </w:t>
      </w:r>
      <m:oMath>
        <m:r>
          <m:rPr>
            <m:sty m:val="p"/>
          </m:rPr>
          <w:rPr>
            <w:rFonts w:ascii="Cambria Math" w:hAnsi="Cambria Math"/>
          </w:rPr>
          <m:t>ΔZPE</m:t>
        </m:r>
      </m:oMath>
      <w:r w:rsidRPr="00287AF0">
        <w:t xml:space="preserve"> effect below), and it looks like the insertion pathway follows the same rule.</w:t>
      </w:r>
    </w:p>
    <w:p w14:paraId="2F1CE733" w14:textId="4E86A5C2" w:rsidR="00287AF0" w:rsidRPr="00287AF0" w:rsidRDefault="00287AF0" w:rsidP="00287AF0">
      <w:r w:rsidRPr="00287AF0">
        <w:t>As for other three recombination pathways included in </w:t>
      </w:r>
      <w:r w:rsidRPr="00AD482D">
        <w:rPr>
          <w:b/>
          <w:bCs/>
        </w:rPr>
        <w:t>Table 1</w:t>
      </w:r>
      <w:r w:rsidRPr="00287AF0">
        <w:t>, the values of rate coefficients </w:t>
      </w:r>
      <m:oMath>
        <m:sSub>
          <m:sSubPr>
            <m:ctrlPr>
              <w:rPr>
                <w:rFonts w:ascii="Cambria Math" w:hAnsi="Cambria Math"/>
                <w:i/>
                <w:iCs/>
              </w:rPr>
            </m:ctrlPr>
          </m:sSubPr>
          <m:e>
            <m:r>
              <w:rPr>
                <w:rFonts w:ascii="Cambria Math" w:hAnsi="Cambria Math"/>
              </w:rPr>
              <m:t>κ</m:t>
            </m:r>
          </m:e>
          <m:sub>
            <m:r>
              <w:rPr>
                <w:rFonts w:ascii="Cambria Math" w:hAnsi="Cambria Math"/>
                <w:vertAlign w:val="subscript"/>
              </w:rPr>
              <m:t>A</m:t>
            </m:r>
          </m:sub>
        </m:sSub>
      </m:oMath>
      <w:r w:rsidRPr="00287AF0">
        <w:t> and </w:t>
      </w:r>
      <m:oMath>
        <m:sSub>
          <m:sSubPr>
            <m:ctrlPr>
              <w:rPr>
                <w:rFonts w:ascii="Cambria Math" w:hAnsi="Cambria Math"/>
                <w:i/>
                <w:iCs/>
              </w:rPr>
            </m:ctrlPr>
          </m:sSubPr>
          <m:e>
            <m:r>
              <w:rPr>
                <w:rFonts w:ascii="Cambria Math" w:hAnsi="Cambria Math"/>
              </w:rPr>
              <m:t>κ</m:t>
            </m:r>
          </m:e>
          <m:sub>
            <m:r>
              <w:rPr>
                <w:rFonts w:ascii="Cambria Math" w:hAnsi="Cambria Math"/>
                <w:vertAlign w:val="subscript"/>
              </w:rPr>
              <m:t>S</m:t>
            </m:r>
          </m:sub>
        </m:sSub>
      </m:oMath>
      <w:r w:rsidRPr="00287AF0">
        <w:t> obtained here are very similar to those reported in the earlier work by Teplukhin et al. [</w:t>
      </w:r>
      <w:r w:rsidRPr="00AD482D">
        <w:rPr>
          <w:b/>
          <w:bCs/>
        </w:rPr>
        <w:t>22</w:t>
      </w:r>
      <w:r w:rsidRPr="00287AF0">
        <w:t>], while the value of </w:t>
      </w:r>
      <m:oMath>
        <m:sSub>
          <m:sSubPr>
            <m:ctrlPr>
              <w:rPr>
                <w:rFonts w:ascii="Cambria Math" w:hAnsi="Cambria Math"/>
                <w:i/>
                <w:iCs/>
              </w:rPr>
            </m:ctrlPr>
          </m:sSubPr>
          <m:e>
            <m:r>
              <w:rPr>
                <w:rFonts w:ascii="Cambria Math" w:hAnsi="Cambria Math"/>
              </w:rPr>
              <m:t>κ</m:t>
            </m:r>
          </m:e>
          <m:sub>
            <m:r>
              <w:rPr>
                <w:rFonts w:ascii="Cambria Math" w:hAnsi="Cambria Math"/>
                <w:vertAlign w:val="subscript"/>
              </w:rPr>
              <m:t>B</m:t>
            </m:r>
          </m:sub>
        </m:sSub>
      </m:oMath>
      <w:r w:rsidRPr="00287AF0">
        <w:t> is different. This is because a bug was discovered in the original version of the code, due to which the reduced mass of </w:t>
      </w:r>
      <w:r w:rsidRPr="00287AF0">
        <w:rPr>
          <w:vertAlign w:val="superscript"/>
        </w:rPr>
        <w:t>16</w:t>
      </w:r>
      <w:r w:rsidRPr="00287AF0">
        <w:t>O</w:t>
      </w:r>
      <w:r w:rsidRPr="00287AF0">
        <w:rPr>
          <w:vertAlign w:val="superscript"/>
        </w:rPr>
        <w:t>16</w:t>
      </w:r>
      <w:r w:rsidRPr="00287AF0">
        <w:t>O (instead of </w:t>
      </w:r>
      <w:r w:rsidRPr="00287AF0">
        <w:rPr>
          <w:vertAlign w:val="superscript"/>
        </w:rPr>
        <w:t>18</w:t>
      </w:r>
      <w:r w:rsidRPr="00287AF0">
        <w:t>O</w:t>
      </w:r>
      <w:r w:rsidRPr="00287AF0">
        <w:rPr>
          <w:vertAlign w:val="superscript"/>
        </w:rPr>
        <w:t>18</w:t>
      </w:r>
      <w:r w:rsidRPr="00287AF0">
        <w:t xml:space="preserve">O) was used erroneously for the calculations of the reagent partition function for Channel 1 in the doubly substituted case. This problem was corrected in the updated version of the </w:t>
      </w:r>
      <w:proofErr w:type="gramStart"/>
      <w:r w:rsidRPr="00287AF0">
        <w:t>code, and</w:t>
      </w:r>
      <w:proofErr w:type="gramEnd"/>
      <w:r w:rsidRPr="00287AF0">
        <w:t xml:space="preserve"> resulted in a significant change of </w:t>
      </w:r>
      <m:oMath>
        <m:sSub>
          <m:sSubPr>
            <m:ctrlPr>
              <w:rPr>
                <w:rFonts w:ascii="Cambria Math" w:hAnsi="Cambria Math"/>
                <w:i/>
                <w:iCs/>
              </w:rPr>
            </m:ctrlPr>
          </m:sSubPr>
          <m:e>
            <m:r>
              <w:rPr>
                <w:rFonts w:ascii="Cambria Math" w:hAnsi="Cambria Math"/>
              </w:rPr>
              <m:t>κ</m:t>
            </m:r>
          </m:e>
          <m:sub>
            <m:r>
              <w:rPr>
                <w:rFonts w:ascii="Cambria Math" w:hAnsi="Cambria Math"/>
                <w:vertAlign w:val="subscript"/>
              </w:rPr>
              <m:t>B</m:t>
            </m:r>
          </m:sub>
        </m:sSub>
      </m:oMath>
      <w:r w:rsidRPr="00287AF0">
        <w:t> and </w:t>
      </w:r>
      <m:oMath>
        <m:sSup>
          <m:sSupPr>
            <m:ctrlPr>
              <w:rPr>
                <w:rFonts w:ascii="Cambria Math" w:hAnsi="Cambria Math"/>
              </w:rPr>
            </m:ctrlPr>
          </m:sSupPr>
          <m:e>
            <m:r>
              <w:rPr>
                <w:rFonts w:ascii="Cambria Math" w:hAnsi="Cambria Math"/>
              </w:rPr>
              <m:t>K</m:t>
            </m:r>
          </m:e>
          <m:sup>
            <m:r>
              <m:rPr>
                <m:sty m:val="p"/>
              </m:rPr>
              <w:rPr>
                <w:rFonts w:ascii="Cambria Math" w:hAnsi="Cambria Math"/>
              </w:rPr>
              <m:t>ex</m:t>
            </m:r>
          </m:sup>
        </m:sSup>
      </m:oMath>
      <w:r w:rsidRPr="00287AF0">
        <w:t> for the doubly substituted case (but no significant change in the i</w:t>
      </w:r>
      <w:proofErr w:type="spellStart"/>
      <w:r w:rsidRPr="00287AF0">
        <w:t>sotope</w:t>
      </w:r>
      <w:proofErr w:type="spellEnd"/>
      <w:r w:rsidRPr="00287AF0">
        <w:t xml:space="preserve"> effects, where these two moieties enter together and the effect of diatomic mass cancels, see below).</w:t>
      </w:r>
    </w:p>
    <w:p w14:paraId="02DE5B82" w14:textId="5AF5D457" w:rsidR="00287AF0" w:rsidRPr="00287AF0" w:rsidRDefault="00287AF0" w:rsidP="00287AF0">
      <w:r w:rsidRPr="00287AF0">
        <w:t>Overall, the trends we see for the values of </w:t>
      </w:r>
      <m:oMath>
        <m:sSub>
          <m:sSubPr>
            <m:ctrlPr>
              <w:rPr>
                <w:rFonts w:ascii="Cambria Math" w:hAnsi="Cambria Math"/>
                <w:i/>
                <w:iCs/>
              </w:rPr>
            </m:ctrlPr>
          </m:sSubPr>
          <m:e>
            <m:r>
              <w:rPr>
                <w:rFonts w:ascii="Cambria Math" w:hAnsi="Cambria Math"/>
              </w:rPr>
              <m:t>κ</m:t>
            </m:r>
          </m:e>
          <m:sub>
            <m:r>
              <w:rPr>
                <w:rFonts w:ascii="Cambria Math" w:hAnsi="Cambria Math"/>
                <w:vertAlign w:val="subscript"/>
              </w:rPr>
              <m:t>A</m:t>
            </m:r>
          </m:sub>
        </m:sSub>
      </m:oMath>
      <w:r w:rsidRPr="00287AF0">
        <w:rPr>
          <w:i/>
          <w:iCs/>
        </w:rPr>
        <w:t>,</w:t>
      </w:r>
      <w:r w:rsidRPr="00287AF0">
        <w:t> </w:t>
      </w:r>
      <m:oMath>
        <m:sSub>
          <m:sSubPr>
            <m:ctrlPr>
              <w:rPr>
                <w:rFonts w:ascii="Cambria Math" w:hAnsi="Cambria Math"/>
                <w:i/>
                <w:iCs/>
              </w:rPr>
            </m:ctrlPr>
          </m:sSubPr>
          <m:e>
            <m:r>
              <w:rPr>
                <w:rFonts w:ascii="Cambria Math" w:hAnsi="Cambria Math"/>
              </w:rPr>
              <m:t>κ</m:t>
            </m:r>
          </m:e>
          <m:sub>
            <m:r>
              <w:rPr>
                <w:rFonts w:ascii="Cambria Math" w:hAnsi="Cambria Math"/>
                <w:vertAlign w:val="subscript"/>
              </w:rPr>
              <m:t>B</m:t>
            </m:r>
          </m:sub>
        </m:sSub>
      </m:oMath>
      <w:r w:rsidRPr="00287AF0">
        <w:rPr>
          <w:i/>
          <w:iCs/>
        </w:rPr>
        <w:t>,</w:t>
      </w:r>
      <w:r w:rsidRPr="00287AF0">
        <w:t> </w:t>
      </w:r>
      <m:oMath>
        <m:sSub>
          <m:sSubPr>
            <m:ctrlPr>
              <w:rPr>
                <w:rFonts w:ascii="Cambria Math" w:hAnsi="Cambria Math"/>
                <w:i/>
                <w:iCs/>
              </w:rPr>
            </m:ctrlPr>
          </m:sSubPr>
          <m:e>
            <m:r>
              <w:rPr>
                <w:rFonts w:ascii="Cambria Math" w:hAnsi="Cambria Math"/>
              </w:rPr>
              <m:t>κ</m:t>
            </m:r>
          </m:e>
          <m:sub>
            <m:r>
              <w:rPr>
                <w:rFonts w:ascii="Cambria Math" w:hAnsi="Cambria Math"/>
                <w:vertAlign w:val="subscript"/>
              </w:rPr>
              <m:t>S</m:t>
            </m:r>
          </m:sub>
        </m:sSub>
      </m:oMath>
      <w:r w:rsidRPr="00287AF0">
        <w:t> and </w:t>
      </w:r>
      <m:oMath>
        <m:sSub>
          <m:sSubPr>
            <m:ctrlPr>
              <w:rPr>
                <w:rFonts w:ascii="Cambria Math" w:eastAsia="Times New Roman" w:hAnsi="Cambria Math" w:cs="Arial"/>
                <w:i/>
                <w:color w:val="222222"/>
                <w:sz w:val="23"/>
                <w:szCs w:val="23"/>
                <w:bdr w:val="none" w:sz="0" w:space="0" w:color="auto" w:frame="1"/>
              </w:rPr>
            </m:ctrlPr>
          </m:sSubPr>
          <m:e>
            <m:r>
              <w:rPr>
                <w:rFonts w:ascii="Cambria Math" w:eastAsia="Times New Roman" w:hAnsi="Cambria Math" w:cs="Arial"/>
                <w:color w:val="222222"/>
                <w:sz w:val="23"/>
                <w:szCs w:val="23"/>
                <w:bdr w:val="none" w:sz="0" w:space="0" w:color="auto" w:frame="1"/>
              </w:rPr>
              <m:t>κ</m:t>
            </m:r>
          </m:e>
          <m:sub>
            <m:r>
              <w:rPr>
                <w:rFonts w:ascii="Cambria Math" w:eastAsia="Times New Roman" w:hAnsi="Cambria Math" w:cs="Arial"/>
                <w:color w:val="222222"/>
                <w:sz w:val="23"/>
                <w:szCs w:val="23"/>
                <w:bdr w:val="none" w:sz="0" w:space="0" w:color="auto" w:frame="1"/>
              </w:rPr>
              <m:t>I</m:t>
            </m:r>
          </m:sub>
        </m:sSub>
      </m:oMath>
      <w:r w:rsidRPr="00287AF0">
        <w:t> computed theoretically for single and double substitutions of </w:t>
      </w:r>
      <w:r w:rsidRPr="00287AF0">
        <w:rPr>
          <w:vertAlign w:val="superscript"/>
        </w:rPr>
        <w:t>18</w:t>
      </w:r>
      <w:r w:rsidRPr="00287AF0">
        <w:t xml:space="preserve">O in ozone follow experimental results reasonably well. Namely, the values of </w:t>
      </w:r>
      <m:oMath>
        <m:sSub>
          <m:sSubPr>
            <m:ctrlPr>
              <w:rPr>
                <w:rFonts w:ascii="Cambria Math" w:hAnsi="Cambria Math"/>
                <w:i/>
              </w:rPr>
            </m:ctrlPr>
          </m:sSubPr>
          <m:e>
            <m:r>
              <w:rPr>
                <w:rFonts w:ascii="Cambria Math" w:hAnsi="Cambria Math"/>
              </w:rPr>
              <m:t>2</m:t>
            </m:r>
            <m:r>
              <w:rPr>
                <w:rFonts w:ascii="Cambria Math" w:hAnsi="Cambria Math"/>
              </w:rPr>
              <m:t>κ</m:t>
            </m:r>
          </m:e>
          <m:sub>
            <m:r>
              <w:rPr>
                <w:rFonts w:ascii="Cambria Math" w:hAnsi="Cambria Math"/>
                <w:vertAlign w:val="subscript"/>
              </w:rPr>
              <m:t>S</m:t>
            </m:r>
          </m:sub>
        </m:sSub>
      </m:oMath>
      <w:r w:rsidRPr="00287AF0">
        <w:t xml:space="preserve"> are very similar in the singly and doubly substituted cases, and their magnitudes are always in between of those for </w:t>
      </w:r>
      <m:oMath>
        <m:sSub>
          <m:sSubPr>
            <m:ctrlPr>
              <w:rPr>
                <w:rFonts w:ascii="Cambria Math" w:hAnsi="Cambria Math"/>
                <w:i/>
              </w:rPr>
            </m:ctrlPr>
          </m:sSubPr>
          <m:e>
            <m:r>
              <w:rPr>
                <w:rFonts w:ascii="Cambria Math" w:hAnsi="Cambria Math"/>
              </w:rPr>
              <m:t>2</m:t>
            </m:r>
            <m:r>
              <w:rPr>
                <w:rFonts w:ascii="Cambria Math" w:hAnsi="Cambria Math"/>
              </w:rPr>
              <m:t>κ</m:t>
            </m:r>
          </m:e>
          <m:sub>
            <m:r>
              <w:rPr>
                <w:rFonts w:ascii="Cambria Math" w:hAnsi="Cambria Math"/>
                <w:vertAlign w:val="subscript"/>
              </w:rPr>
              <m:t>A</m:t>
            </m:r>
          </m:sub>
        </m:sSub>
      </m:oMath>
      <w:r w:rsidRPr="00287AF0">
        <w:t> and </w:t>
      </w:r>
      <m:oMath>
        <m:sSub>
          <m:sSubPr>
            <m:ctrlPr>
              <w:rPr>
                <w:rFonts w:ascii="Cambria Math" w:hAnsi="Cambria Math"/>
                <w:i/>
                <w:iCs/>
              </w:rPr>
            </m:ctrlPr>
          </m:sSubPr>
          <m:e>
            <m:r>
              <w:rPr>
                <w:rFonts w:ascii="Cambria Math" w:hAnsi="Cambria Math"/>
              </w:rPr>
              <m:t>κ</m:t>
            </m:r>
          </m:e>
          <m:sub>
            <m:r>
              <w:rPr>
                <w:rFonts w:ascii="Cambria Math" w:hAnsi="Cambria Math"/>
                <w:vertAlign w:val="subscript"/>
              </w:rPr>
              <m:t>B</m:t>
            </m:r>
          </m:sub>
        </m:sSub>
      </m:oMath>
      <w:r w:rsidRPr="00287AF0">
        <w:t xml:space="preserve">, whereas the order of </w:t>
      </w:r>
      <m:oMath>
        <m:sSub>
          <m:sSubPr>
            <m:ctrlPr>
              <w:rPr>
                <w:rFonts w:ascii="Cambria Math" w:hAnsi="Cambria Math"/>
                <w:i/>
              </w:rPr>
            </m:ctrlPr>
          </m:sSubPr>
          <m:e>
            <m:r>
              <w:rPr>
                <w:rFonts w:ascii="Cambria Math" w:hAnsi="Cambria Math"/>
              </w:rPr>
              <m:t>2</m:t>
            </m:r>
            <m:r>
              <w:rPr>
                <w:rFonts w:ascii="Cambria Math" w:hAnsi="Cambria Math"/>
              </w:rPr>
              <m:t>κ</m:t>
            </m:r>
          </m:e>
          <m:sub>
            <m:r>
              <w:rPr>
                <w:rFonts w:ascii="Cambria Math" w:hAnsi="Cambria Math"/>
                <w:vertAlign w:val="subscript"/>
              </w:rPr>
              <m:t>A</m:t>
            </m:r>
          </m:sub>
        </m:sSub>
      </m:oMath>
      <w:r w:rsidRPr="00287AF0">
        <w:t> and </w:t>
      </w:r>
      <m:oMath>
        <m:sSub>
          <m:sSubPr>
            <m:ctrlPr>
              <w:rPr>
                <w:rFonts w:ascii="Cambria Math" w:hAnsi="Cambria Math"/>
                <w:i/>
                <w:iCs/>
              </w:rPr>
            </m:ctrlPr>
          </m:sSubPr>
          <m:e>
            <m:r>
              <w:rPr>
                <w:rFonts w:ascii="Cambria Math" w:hAnsi="Cambria Math"/>
              </w:rPr>
              <m:t>κ</m:t>
            </m:r>
          </m:e>
          <m:sub>
            <m:r>
              <w:rPr>
                <w:rFonts w:ascii="Cambria Math" w:hAnsi="Cambria Math"/>
                <w:vertAlign w:val="subscript"/>
              </w:rPr>
              <m:t>B</m:t>
            </m:r>
          </m:sub>
        </m:sSub>
      </m:oMath>
      <w:r w:rsidRPr="00287AF0">
        <w:t xml:space="preserve"> is opposite in the singly and doubly substituted cases. Namely, in the singly substituted case </w:t>
      </w:r>
      <m:oMath>
        <m:sSub>
          <m:sSubPr>
            <m:ctrlPr>
              <w:rPr>
                <w:rFonts w:ascii="Cambria Math" w:hAnsi="Cambria Math"/>
                <w:i/>
              </w:rPr>
            </m:ctrlPr>
          </m:sSubPr>
          <m:e>
            <m:r>
              <w:rPr>
                <w:rFonts w:ascii="Cambria Math" w:hAnsi="Cambria Math"/>
              </w:rPr>
              <m:t>2</m:t>
            </m:r>
            <m:r>
              <w:rPr>
                <w:rFonts w:ascii="Cambria Math" w:hAnsi="Cambria Math"/>
              </w:rPr>
              <m:t>κ</m:t>
            </m:r>
          </m:e>
          <m:sub>
            <m:r>
              <w:rPr>
                <w:rFonts w:ascii="Cambria Math" w:hAnsi="Cambria Math"/>
                <w:vertAlign w:val="subscript"/>
              </w:rPr>
              <m:t>A</m:t>
            </m:r>
          </m:sub>
        </m:sSub>
        <m:r>
          <w:rPr>
            <w:rFonts w:ascii="Cambria Math" w:hAnsi="Cambria Math"/>
          </w:rPr>
          <m:t> &gt; </m:t>
        </m:r>
        <m:sSub>
          <m:sSubPr>
            <m:ctrlPr>
              <w:rPr>
                <w:rFonts w:ascii="Cambria Math" w:hAnsi="Cambria Math"/>
                <w:i/>
                <w:iCs/>
              </w:rPr>
            </m:ctrlPr>
          </m:sSubPr>
          <m:e>
            <m:r>
              <w:rPr>
                <w:rFonts w:ascii="Cambria Math" w:hAnsi="Cambria Math"/>
              </w:rPr>
              <m:t>κ</m:t>
            </m:r>
          </m:e>
          <m:sub>
            <m:r>
              <w:rPr>
                <w:rFonts w:ascii="Cambria Math" w:hAnsi="Cambria Math"/>
                <w:vertAlign w:val="subscript"/>
              </w:rPr>
              <m:t>B</m:t>
            </m:r>
          </m:sub>
        </m:sSub>
      </m:oMath>
      <w:r w:rsidRPr="00287AF0">
        <w:t xml:space="preserve"> whereas in the doubly substituted case </w:t>
      </w:r>
      <m:oMath>
        <m:sSub>
          <m:sSubPr>
            <m:ctrlPr>
              <w:rPr>
                <w:rFonts w:ascii="Cambria Math" w:hAnsi="Cambria Math"/>
                <w:i/>
              </w:rPr>
            </m:ctrlPr>
          </m:sSubPr>
          <m:e>
            <m:r>
              <w:rPr>
                <w:rFonts w:ascii="Cambria Math" w:hAnsi="Cambria Math"/>
              </w:rPr>
              <m:t>2</m:t>
            </m:r>
            <m:r>
              <w:rPr>
                <w:rFonts w:ascii="Cambria Math" w:hAnsi="Cambria Math"/>
              </w:rPr>
              <m:t>κ</m:t>
            </m:r>
          </m:e>
          <m:sub>
            <m:r>
              <w:rPr>
                <w:rFonts w:ascii="Cambria Math" w:hAnsi="Cambria Math"/>
                <w:vertAlign w:val="subscript"/>
              </w:rPr>
              <m:t>A</m:t>
            </m:r>
          </m:sub>
        </m:sSub>
        <m:r>
          <w:rPr>
            <w:rFonts w:ascii="Cambria Math" w:hAnsi="Cambria Math"/>
          </w:rPr>
          <m:t> &lt; </m:t>
        </m:r>
        <m:sSub>
          <m:sSubPr>
            <m:ctrlPr>
              <w:rPr>
                <w:rFonts w:ascii="Cambria Math" w:hAnsi="Cambria Math"/>
                <w:i/>
                <w:iCs/>
              </w:rPr>
            </m:ctrlPr>
          </m:sSubPr>
          <m:e>
            <m:r>
              <w:rPr>
                <w:rFonts w:ascii="Cambria Math" w:hAnsi="Cambria Math"/>
              </w:rPr>
              <m:t>κ</m:t>
            </m:r>
          </m:e>
          <m:sub>
            <m:r>
              <w:rPr>
                <w:rFonts w:ascii="Cambria Math" w:hAnsi="Cambria Math"/>
                <w:vertAlign w:val="subscript"/>
              </w:rPr>
              <m:t>B</m:t>
            </m:r>
          </m:sub>
        </m:sSub>
      </m:oMath>
      <w:r w:rsidRPr="00287AF0">
        <w:t>. This is explained by the fact that in the singly substituted case the lower energy pathway is </w:t>
      </w:r>
      <w:r w:rsidRPr="00287AF0">
        <w:rPr>
          <w:i/>
          <w:iCs/>
        </w:rPr>
        <w:t>A</w:t>
      </w:r>
      <w:r w:rsidRPr="00287AF0">
        <w:t> (since ZPE of </w:t>
      </w:r>
      <w:r w:rsidRPr="00287AF0">
        <w:rPr>
          <w:vertAlign w:val="superscript"/>
        </w:rPr>
        <w:t>16</w:t>
      </w:r>
      <w:r w:rsidRPr="00287AF0">
        <w:t>O</w:t>
      </w:r>
      <w:r w:rsidRPr="00287AF0">
        <w:rPr>
          <w:vertAlign w:val="superscript"/>
        </w:rPr>
        <w:t>18</w:t>
      </w:r>
      <w:r w:rsidRPr="00287AF0">
        <w:t>O is smaller than that of </w:t>
      </w:r>
      <w:r w:rsidRPr="00287AF0">
        <w:rPr>
          <w:vertAlign w:val="superscript"/>
        </w:rPr>
        <w:t>16</w:t>
      </w:r>
      <w:r w:rsidRPr="00287AF0">
        <w:t>O</w:t>
      </w:r>
      <w:r w:rsidRPr="00287AF0">
        <w:rPr>
          <w:vertAlign w:val="superscript"/>
        </w:rPr>
        <w:t>16</w:t>
      </w:r>
      <w:r w:rsidRPr="00287AF0">
        <w:t>O, see </w:t>
      </w:r>
      <w:r w:rsidRPr="00AD482D">
        <w:rPr>
          <w:b/>
          <w:bCs/>
        </w:rPr>
        <w:t>Figure 2</w:t>
      </w:r>
      <w:r w:rsidRPr="00287AF0">
        <w:t> above), but in the doubly substituted case the lower energy pathway is </w:t>
      </w:r>
      <w:r w:rsidRPr="00287AF0">
        <w:rPr>
          <w:i/>
          <w:iCs/>
        </w:rPr>
        <w:t>B</w:t>
      </w:r>
      <w:r w:rsidRPr="00287AF0">
        <w:t> (since ZPE of </w:t>
      </w:r>
      <w:r w:rsidRPr="00287AF0">
        <w:rPr>
          <w:vertAlign w:val="superscript"/>
        </w:rPr>
        <w:t>16</w:t>
      </w:r>
      <w:r w:rsidRPr="00287AF0">
        <w:t>O</w:t>
      </w:r>
      <w:r w:rsidRPr="00287AF0">
        <w:rPr>
          <w:vertAlign w:val="superscript"/>
        </w:rPr>
        <w:t>18</w:t>
      </w:r>
      <w:r w:rsidRPr="00287AF0">
        <w:t>O is larger than that of </w:t>
      </w:r>
      <w:r w:rsidRPr="00287AF0">
        <w:rPr>
          <w:vertAlign w:val="superscript"/>
        </w:rPr>
        <w:t>18</w:t>
      </w:r>
      <w:r w:rsidRPr="00287AF0">
        <w:t>O</w:t>
      </w:r>
      <w:r w:rsidRPr="00287AF0">
        <w:rPr>
          <w:vertAlign w:val="superscript"/>
        </w:rPr>
        <w:t>18</w:t>
      </w:r>
      <w:r w:rsidRPr="00287AF0">
        <w:t>O, see </w:t>
      </w:r>
      <w:r w:rsidRPr="00AD482D">
        <w:rPr>
          <w:b/>
          <w:bCs/>
        </w:rPr>
        <w:t>Figure S1 in the Supplementary Materials</w:t>
      </w:r>
      <w:r w:rsidRPr="00287AF0">
        <w:t xml:space="preserve">). The mechanism of this </w:t>
      </w:r>
      <m:oMath>
        <m:r>
          <m:rPr>
            <m:sty m:val="p"/>
          </m:rPr>
          <w:rPr>
            <w:rFonts w:ascii="Cambria Math" w:hAnsi="Cambria Math"/>
          </w:rPr>
          <m:t>ΔZPE</m:t>
        </m:r>
      </m:oMath>
      <w:r w:rsidRPr="00287AF0">
        <w:t xml:space="preserve"> phenomenon was discussed in detail in the literature [</w:t>
      </w:r>
      <w:r w:rsidRPr="00AD482D">
        <w:rPr>
          <w:b/>
          <w:bCs/>
        </w:rPr>
        <w:t>14</w:t>
      </w:r>
      <w:r w:rsidRPr="00287AF0">
        <w:t>,</w:t>
      </w:r>
      <w:r w:rsidRPr="00AD482D">
        <w:rPr>
          <w:b/>
          <w:bCs/>
        </w:rPr>
        <w:t>15</w:t>
      </w:r>
      <w:r w:rsidRPr="00287AF0">
        <w:t>,</w:t>
      </w:r>
      <w:r w:rsidRPr="00AD482D">
        <w:rPr>
          <w:b/>
          <w:bCs/>
        </w:rPr>
        <w:t>16</w:t>
      </w:r>
      <w:r w:rsidRPr="00287AF0">
        <w:t>,</w:t>
      </w:r>
      <w:r w:rsidRPr="00AD482D">
        <w:rPr>
          <w:b/>
          <w:bCs/>
        </w:rPr>
        <w:t>17</w:t>
      </w:r>
      <w:r w:rsidRPr="00287AF0">
        <w:t>,</w:t>
      </w:r>
      <w:r w:rsidRPr="00AD482D">
        <w:rPr>
          <w:b/>
          <w:bCs/>
        </w:rPr>
        <w:t>20</w:t>
      </w:r>
      <w:r w:rsidRPr="00287AF0">
        <w:t>,</w:t>
      </w:r>
      <w:r w:rsidRPr="00AD482D">
        <w:rPr>
          <w:b/>
          <w:bCs/>
        </w:rPr>
        <w:t>21</w:t>
      </w:r>
      <w:r w:rsidRPr="00287AF0">
        <w:t>,</w:t>
      </w:r>
      <w:r w:rsidRPr="00AD482D">
        <w:rPr>
          <w:b/>
          <w:bCs/>
        </w:rPr>
        <w:t>22</w:t>
      </w:r>
      <w:r w:rsidRPr="00287AF0">
        <w:t>], and will not be reiterated here.</w:t>
      </w:r>
    </w:p>
    <w:p w14:paraId="276944BF" w14:textId="77777777" w:rsidR="00287AF0" w:rsidRPr="00287AF0" w:rsidRDefault="00287AF0" w:rsidP="005A52DF">
      <w:pPr>
        <w:pStyle w:val="Heading2"/>
      </w:pPr>
      <w:r w:rsidRPr="00287AF0">
        <w:t>3.2. Isotope Effects</w:t>
      </w:r>
    </w:p>
    <w:p w14:paraId="0C7F27E9" w14:textId="0D229639" w:rsidR="00287AF0" w:rsidRPr="00287AF0" w:rsidRDefault="00287AF0" w:rsidP="00287AF0">
      <w:r w:rsidRPr="00287AF0">
        <w:t>The most convenient and reliable characteristic of ozone formation process is the value of isotope effect computed as a </w:t>
      </w:r>
      <w:r w:rsidRPr="00287AF0">
        <w:rPr>
          <w:i/>
          <w:iCs/>
        </w:rPr>
        <w:t>ratio</w:t>
      </w:r>
      <w:r w:rsidRPr="00287AF0">
        <w:t> of pathway-specific rate coefficients, since in the ratio some of uncertain parameters cancel. This was the case in the experimental studies of ozone [</w:t>
      </w:r>
      <w:r w:rsidRPr="00AD482D">
        <w:rPr>
          <w:b/>
          <w:bCs/>
        </w:rPr>
        <w:t>1</w:t>
      </w:r>
      <w:r w:rsidRPr="00287AF0">
        <w:t>,</w:t>
      </w:r>
      <w:r w:rsidRPr="00AD482D">
        <w:rPr>
          <w:b/>
          <w:bCs/>
        </w:rPr>
        <w:t>3</w:t>
      </w:r>
      <w:r w:rsidRPr="00287AF0">
        <w:t>,</w:t>
      </w:r>
      <w:r w:rsidRPr="00AD482D">
        <w:rPr>
          <w:b/>
          <w:bCs/>
        </w:rPr>
        <w:t>4</w:t>
      </w:r>
      <w:r w:rsidRPr="00287AF0">
        <w:t>,</w:t>
      </w:r>
      <w:r w:rsidRPr="00AD482D">
        <w:rPr>
          <w:b/>
          <w:bCs/>
        </w:rPr>
        <w:t>6</w:t>
      </w:r>
      <w:r w:rsidRPr="00287AF0">
        <w:t xml:space="preserve">], and is also true for our theory. Namely, the theory developed above relies on a simple empirical stabilization model with one value of stabilization cross section </w:t>
      </w:r>
      <m:oMath>
        <m:sSub>
          <m:sSubPr>
            <m:ctrlPr>
              <w:rPr>
                <w:rFonts w:ascii="Cambria Math" w:hAnsi="Cambria Math"/>
                <w:i/>
              </w:rPr>
            </m:ctrlPr>
          </m:sSubPr>
          <m:e>
            <m:r>
              <w:rPr>
                <w:rFonts w:ascii="Cambria Math" w:hAnsi="Cambria Math"/>
              </w:rPr>
              <m:t>σ</m:t>
            </m:r>
          </m:e>
          <m:sub>
            <m:r>
              <m:rPr>
                <m:sty m:val="p"/>
              </m:rPr>
              <w:rPr>
                <w:rFonts w:ascii="Cambria Math" w:hAnsi="Cambria Math"/>
                <w:vertAlign w:val="subscript"/>
              </w:rPr>
              <m:t>stab</m:t>
            </m:r>
          </m:sub>
        </m:sSub>
      </m:oMath>
      <w:r w:rsidRPr="00287AF0">
        <w:t> determined approximately in a simplified semiclassical study [</w:t>
      </w:r>
      <w:r w:rsidRPr="00AD482D">
        <w:rPr>
          <w:b/>
          <w:bCs/>
        </w:rPr>
        <w:t>30</w:t>
      </w:r>
      <w:r w:rsidRPr="00287AF0">
        <w:t>]. But, if one considers the ratio of rate coefficients, then the values of stabilization rate coefficients cancel, enabling more reliable predictions and more straightforward comparison with experiment.</w:t>
      </w:r>
    </w:p>
    <w:p w14:paraId="052ADBEE" w14:textId="77777777" w:rsidR="00287AF0" w:rsidRPr="00287AF0" w:rsidRDefault="00287AF0" w:rsidP="00287AF0">
      <w:r w:rsidRPr="00287AF0">
        <w:t>Thus, the symmetry-driven </w:t>
      </w:r>
      <w:r w:rsidRPr="00287AF0">
        <w:rPr>
          <w:i/>
          <w:iCs/>
        </w:rPr>
        <w:t>η</w:t>
      </w:r>
      <w:r w:rsidRPr="00287AF0">
        <w:t>-effect in the singly substituted case can be characterized by the ratio:</w:t>
      </w:r>
    </w:p>
    <w:p w14:paraId="5CCC3EC6" w14:textId="6F5B399E" w:rsidR="005A52DF" w:rsidRPr="00287AF0" w:rsidRDefault="00536547" w:rsidP="00287AF0">
      <m:oMathPara>
        <m:oMath>
          <m:sSup>
            <m:sSupPr>
              <m:ctrlPr>
                <w:rPr>
                  <w:rFonts w:ascii="Cambria Math" w:hAnsi="Cambria Math"/>
                </w:rPr>
              </m:ctrlPr>
            </m:sSupPr>
            <m:e>
              <m:r>
                <w:rPr>
                  <w:rFonts w:ascii="Cambria Math" w:hAnsi="Cambria Math"/>
                </w:rPr>
                <m:t>η</m:t>
              </m:r>
            </m:e>
            <m:sup>
              <m:d>
                <m:dPr>
                  <m:ctrlPr>
                    <w:rPr>
                      <w:rFonts w:ascii="Cambria Math" w:hAnsi="Cambria Math"/>
                      <w:i/>
                    </w:rPr>
                  </m:ctrlPr>
                </m:dPr>
                <m:e>
                  <m:r>
                    <m:rPr>
                      <m:sty m:val="p"/>
                    </m:rPr>
                    <w:rPr>
                      <w:rFonts w:ascii="Cambria Math" w:hAnsi="Cambria Math"/>
                    </w:rPr>
                    <m:t>s</m:t>
                  </m:r>
                </m:e>
              </m:d>
            </m:sup>
          </m:sSup>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κ</m:t>
                  </m:r>
                </m:e>
                <m:sub>
                  <m:r>
                    <m:rPr>
                      <m:sty m:val="p"/>
                    </m:rPr>
                    <w:rPr>
                      <w:rFonts w:ascii="Cambria Math" w:hAnsi="Cambria Math"/>
                    </w:rPr>
                    <m:t>asym</m:t>
                  </m:r>
                </m:sub>
              </m:sSub>
            </m:num>
            <m:den>
              <m:r>
                <w:rPr>
                  <w:rFonts w:ascii="Cambria Math" w:hAnsi="Cambria Math"/>
                </w:rPr>
                <m:t>2</m:t>
              </m:r>
              <m:sSub>
                <m:sSubPr>
                  <m:ctrlPr>
                    <w:rPr>
                      <w:rFonts w:ascii="Cambria Math" w:hAnsi="Cambria Math"/>
                    </w:rPr>
                  </m:ctrlPr>
                </m:sSubPr>
                <m:e>
                  <m:r>
                    <w:rPr>
                      <w:rFonts w:ascii="Cambria Math" w:hAnsi="Cambria Math"/>
                    </w:rPr>
                    <m:t>κ</m:t>
                  </m:r>
                </m:e>
                <m:sub>
                  <m:r>
                    <m:rPr>
                      <m:sty m:val="p"/>
                    </m:rPr>
                    <w:rPr>
                      <w:rFonts w:ascii="Cambria Math" w:hAnsi="Cambria Math"/>
                    </w:rPr>
                    <m:t>sym</m:t>
                  </m:r>
                </m:sub>
              </m:sSub>
            </m:den>
          </m:f>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κ</m:t>
                  </m:r>
                </m:e>
                <m:sub>
                  <m:r>
                    <m:rPr>
                      <m:sty m:val="p"/>
                    </m:rPr>
                    <w:rPr>
                      <w:rFonts w:ascii="Cambria Math" w:hAnsi="Cambria Math"/>
                    </w:rPr>
                    <m:t>A</m:t>
                  </m:r>
                </m:sub>
              </m:sSub>
              <m:r>
                <w:rPr>
                  <w:rFonts w:ascii="Cambria Math" w:hAnsi="Cambria Math"/>
                </w:rPr>
                <m:t>+</m:t>
              </m:r>
              <m:sSub>
                <m:sSubPr>
                  <m:ctrlPr>
                    <w:rPr>
                      <w:rFonts w:ascii="Cambria Math" w:hAnsi="Cambria Math"/>
                    </w:rPr>
                  </m:ctrlPr>
                </m:sSubPr>
                <m:e>
                  <m:r>
                    <w:rPr>
                      <w:rFonts w:ascii="Cambria Math" w:hAnsi="Cambria Math"/>
                    </w:rPr>
                    <m:t>κ</m:t>
                  </m:r>
                </m:e>
                <m:sub>
                  <m:r>
                    <m:rPr>
                      <m:sty m:val="p"/>
                    </m:rPr>
                    <w:rPr>
                      <w:rFonts w:ascii="Cambria Math" w:hAnsi="Cambria Math"/>
                    </w:rPr>
                    <m:t>B</m:t>
                  </m:r>
                </m:sub>
              </m:sSub>
              <m:sSup>
                <m:sSupPr>
                  <m:ctrlPr>
                    <w:rPr>
                      <w:rFonts w:ascii="Cambria Math" w:hAnsi="Cambria Math"/>
                    </w:rPr>
                  </m:ctrlPr>
                </m:sSupPr>
                <m:e>
                  <m:r>
                    <w:rPr>
                      <w:rFonts w:ascii="Cambria Math" w:hAnsi="Cambria Math"/>
                    </w:rPr>
                    <m:t>K</m:t>
                  </m:r>
                </m:e>
                <m:sup>
                  <m:r>
                    <m:rPr>
                      <m:sty m:val="p"/>
                    </m:rPr>
                    <w:rPr>
                      <w:rFonts w:ascii="Cambria Math" w:hAnsi="Cambria Math"/>
                    </w:rPr>
                    <m:t>ex</m:t>
                  </m:r>
                </m:sup>
              </m:sSup>
            </m:num>
            <m:den>
              <m:r>
                <w:rPr>
                  <w:rFonts w:ascii="Cambria Math" w:hAnsi="Cambria Math"/>
                </w:rPr>
                <m:t>2</m:t>
              </m:r>
              <m:d>
                <m:dPr>
                  <m:ctrlPr>
                    <w:rPr>
                      <w:rFonts w:ascii="Cambria Math" w:hAnsi="Cambria Math"/>
                      <w:i/>
                    </w:rPr>
                  </m:ctrlPr>
                </m:dPr>
                <m:e>
                  <m:sSub>
                    <m:sSubPr>
                      <m:ctrlPr>
                        <w:rPr>
                          <w:rFonts w:ascii="Cambria Math" w:hAnsi="Cambria Math"/>
                        </w:rPr>
                      </m:ctrlPr>
                    </m:sSubPr>
                    <m:e>
                      <m:r>
                        <w:rPr>
                          <w:rFonts w:ascii="Cambria Math" w:hAnsi="Cambria Math"/>
                        </w:rPr>
                        <m:t>κ</m:t>
                      </m:r>
                    </m:e>
                    <m:sub>
                      <m:r>
                        <m:rPr>
                          <m:sty m:val="p"/>
                        </m:rPr>
                        <w:rPr>
                          <w:rFonts w:ascii="Cambria Math" w:hAnsi="Cambria Math"/>
                        </w:rPr>
                        <m:t>S</m:t>
                      </m:r>
                    </m:sub>
                  </m:sSub>
                  <m:r>
                    <w:rPr>
                      <w:rFonts w:ascii="Cambria Math" w:hAnsi="Cambria Math"/>
                    </w:rPr>
                    <m:t>+</m:t>
                  </m:r>
                  <m:sSub>
                    <m:sSubPr>
                      <m:ctrlPr>
                        <w:rPr>
                          <w:rFonts w:ascii="Cambria Math" w:hAnsi="Cambria Math"/>
                        </w:rPr>
                      </m:ctrlPr>
                    </m:sSubPr>
                    <m:e>
                      <m:r>
                        <w:rPr>
                          <w:rFonts w:ascii="Cambria Math" w:hAnsi="Cambria Math"/>
                        </w:rPr>
                        <m:t>κ</m:t>
                      </m:r>
                    </m:e>
                    <m:sub>
                      <m:r>
                        <m:rPr>
                          <m:sty m:val="p"/>
                        </m:rPr>
                        <w:rPr>
                          <w:rFonts w:ascii="Cambria Math" w:hAnsi="Cambria Math"/>
                        </w:rPr>
                        <m:t>I</m:t>
                      </m:r>
                    </m:sub>
                  </m:sSub>
                  <m:sSup>
                    <m:sSupPr>
                      <m:ctrlPr>
                        <w:rPr>
                          <w:rFonts w:ascii="Cambria Math" w:hAnsi="Cambria Math"/>
                        </w:rPr>
                      </m:ctrlPr>
                    </m:sSupPr>
                    <m:e>
                      <m:r>
                        <w:rPr>
                          <w:rFonts w:ascii="Cambria Math" w:hAnsi="Cambria Math"/>
                        </w:rPr>
                        <m:t>K</m:t>
                      </m:r>
                    </m:e>
                    <m:sup>
                      <m:r>
                        <m:rPr>
                          <m:sty m:val="p"/>
                        </m:rPr>
                        <w:rPr>
                          <w:rFonts w:ascii="Cambria Math" w:hAnsi="Cambria Math"/>
                        </w:rPr>
                        <m:t>ex</m:t>
                      </m:r>
                    </m:sup>
                  </m:sSup>
                </m:e>
              </m:d>
            </m:den>
          </m:f>
          <m:r>
            <w:rPr>
              <w:rFonts w:ascii="Cambria Math" w:hAnsi="Cambria Math"/>
            </w:rPr>
            <m:t>=</m:t>
          </m:r>
          <m:f>
            <m:fPr>
              <m:ctrlPr>
                <w:rPr>
                  <w:rFonts w:ascii="Cambria Math" w:hAnsi="Cambria Math"/>
                </w:rPr>
              </m:ctrlPr>
            </m:fPr>
            <m:num>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m:rPr>
                      <m:sty m:val="p"/>
                    </m:rPr>
                    <w:rPr>
                      <w:rFonts w:ascii="Cambria Math" w:hAnsi="Cambria Math"/>
                    </w:rPr>
                    <m:t>A</m:t>
                  </m:r>
                </m:sub>
              </m:sSub>
              <m:r>
                <w:rPr>
                  <w:rFonts w:ascii="Cambria Math" w:hAnsi="Cambria Math"/>
                </w:rPr>
                <m:t>+</m:t>
              </m:r>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m:rPr>
                      <m:sty m:val="p"/>
                    </m:rPr>
                    <w:rPr>
                      <w:rFonts w:ascii="Cambria Math" w:hAnsi="Cambria Math"/>
                    </w:rPr>
                    <m:t>B</m:t>
                  </m:r>
                </m:sub>
              </m:sSub>
              <m:sSup>
                <m:sSupPr>
                  <m:ctrlPr>
                    <w:rPr>
                      <w:rFonts w:ascii="Cambria Math" w:hAnsi="Cambria Math"/>
                    </w:rPr>
                  </m:ctrlPr>
                </m:sSupPr>
                <m:e>
                  <m:r>
                    <w:rPr>
                      <w:rFonts w:ascii="Cambria Math" w:hAnsi="Cambria Math"/>
                    </w:rPr>
                    <m:t>e</m:t>
                  </m:r>
                </m:e>
                <m:sup>
                  <m:r>
                    <w:rPr>
                      <w:rFonts w:ascii="Cambria Math" w:hAnsi="Cambria Math"/>
                    </w:rPr>
                    <m:t>-</m:t>
                  </m:r>
                  <m:f>
                    <m:fPr>
                      <m:ctrlPr>
                        <w:rPr>
                          <w:rFonts w:ascii="Cambria Math" w:hAnsi="Cambria Math"/>
                        </w:rPr>
                      </m:ctrlPr>
                    </m:fPr>
                    <m:num>
                      <m:r>
                        <w:rPr>
                          <w:rFonts w:ascii="Cambria Math" w:hAnsi="Cambria Math"/>
                        </w:rPr>
                        <m:t>Δ</m:t>
                      </m:r>
                      <m:r>
                        <m:rPr>
                          <m:sty m:val="p"/>
                        </m:rPr>
                        <w:rPr>
                          <w:rFonts w:ascii="Cambria Math" w:hAnsi="Cambria Math"/>
                        </w:rPr>
                        <m:t>ZPE</m:t>
                      </m:r>
                    </m:num>
                    <m:den>
                      <m:r>
                        <w:rPr>
                          <w:rFonts w:ascii="Cambria Math" w:hAnsi="Cambria Math"/>
                        </w:rPr>
                        <m:t>kT</m:t>
                      </m:r>
                    </m:den>
                  </m:f>
                </m:sup>
              </m:sSup>
            </m:num>
            <m:den>
              <m:r>
                <w:rPr>
                  <w:rFonts w:ascii="Cambria Math" w:hAnsi="Cambria Math"/>
                </w:rPr>
                <m:t>2</m:t>
              </m:r>
              <m:d>
                <m:dPr>
                  <m:ctrlPr>
                    <w:rPr>
                      <w:rFonts w:ascii="Cambria Math" w:hAnsi="Cambria Math"/>
                      <w:i/>
                    </w:rPr>
                  </m:ctrlPr>
                </m:dPr>
                <m:e>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m:rPr>
                          <m:sty m:val="p"/>
                        </m:rPr>
                        <w:rPr>
                          <w:rFonts w:ascii="Cambria Math" w:hAnsi="Cambria Math"/>
                        </w:rPr>
                        <m:t>S</m:t>
                      </m:r>
                    </m:sub>
                  </m:sSub>
                  <m:r>
                    <w:rPr>
                      <w:rFonts w:ascii="Cambria Math" w:hAnsi="Cambria Math"/>
                    </w:rPr>
                    <m:t>+</m:t>
                  </m:r>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m:rPr>
                          <m:sty m:val="p"/>
                        </m:rPr>
                        <w:rPr>
                          <w:rFonts w:ascii="Cambria Math" w:hAnsi="Cambria Math"/>
                        </w:rPr>
                        <m:t>I</m:t>
                      </m:r>
                    </m:sub>
                  </m:sSub>
                  <m:sSup>
                    <m:sSupPr>
                      <m:ctrlPr>
                        <w:rPr>
                          <w:rFonts w:ascii="Cambria Math" w:hAnsi="Cambria Math"/>
                        </w:rPr>
                      </m:ctrlPr>
                    </m:sSupPr>
                    <m:e>
                      <m:r>
                        <w:rPr>
                          <w:rFonts w:ascii="Cambria Math" w:hAnsi="Cambria Math"/>
                        </w:rPr>
                        <m:t>e</m:t>
                      </m:r>
                    </m:e>
                    <m:sup>
                      <m:r>
                        <w:rPr>
                          <w:rFonts w:ascii="Cambria Math" w:hAnsi="Cambria Math"/>
                        </w:rPr>
                        <m:t>-</m:t>
                      </m:r>
                      <m:f>
                        <m:fPr>
                          <m:ctrlPr>
                            <w:rPr>
                              <w:rFonts w:ascii="Cambria Math" w:hAnsi="Cambria Math"/>
                            </w:rPr>
                          </m:ctrlPr>
                        </m:fPr>
                        <m:num>
                          <m:r>
                            <w:rPr>
                              <w:rFonts w:ascii="Cambria Math" w:hAnsi="Cambria Math"/>
                            </w:rPr>
                            <m:t>Δ</m:t>
                          </m:r>
                          <m:r>
                            <m:rPr>
                              <m:sty m:val="p"/>
                            </m:rPr>
                            <w:rPr>
                              <w:rFonts w:ascii="Cambria Math" w:hAnsi="Cambria Math"/>
                            </w:rPr>
                            <m:t>ZPE</m:t>
                          </m:r>
                        </m:num>
                        <m:den>
                          <m:r>
                            <w:rPr>
                              <w:rFonts w:ascii="Cambria Math" w:hAnsi="Cambria Math"/>
                            </w:rPr>
                            <m:t>kT</m:t>
                          </m:r>
                        </m:den>
                      </m:f>
                    </m:sup>
                  </m:sSup>
                </m:e>
              </m:d>
            </m:den>
          </m:f>
          <m:r>
            <w:rPr>
              <w:rFonts w:ascii="Cambria Math" w:hAnsi="Cambria Math"/>
            </w:rPr>
            <m:t>=</m:t>
          </m:r>
          <m:f>
            <m:fPr>
              <m:ctrlPr>
                <w:rPr>
                  <w:rFonts w:ascii="Cambria Math" w:hAnsi="Cambria Math"/>
                </w:rPr>
              </m:ctrlPr>
            </m:fPr>
            <m:num>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m:rPr>
                      <m:sty m:val="p"/>
                    </m:rPr>
                    <w:rPr>
                      <w:rFonts w:ascii="Cambria Math" w:hAnsi="Cambria Math"/>
                    </w:rPr>
                    <m:t>asym</m:t>
                  </m:r>
                </m:sub>
              </m:sSub>
            </m:num>
            <m:den>
              <m:r>
                <w:rPr>
                  <w:rFonts w:ascii="Cambria Math" w:hAnsi="Cambria Math"/>
                </w:rPr>
                <m:t>2</m:t>
              </m:r>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m:rPr>
                      <m:sty m:val="p"/>
                    </m:rPr>
                    <w:rPr>
                      <w:rFonts w:ascii="Cambria Math" w:hAnsi="Cambria Math"/>
                    </w:rPr>
                    <m:t>sym</m:t>
                  </m:r>
                </m:sub>
              </m:sSub>
            </m:den>
          </m:f>
        </m:oMath>
      </m:oMathPara>
    </w:p>
    <w:p w14:paraId="43132BC5" w14:textId="77777777" w:rsidR="00287AF0" w:rsidRPr="00287AF0" w:rsidRDefault="00287AF0" w:rsidP="00287AF0">
      <w:r w:rsidRPr="00287AF0">
        <w:t>(64)</w:t>
      </w:r>
    </w:p>
    <w:p w14:paraId="51830419" w14:textId="208D5070" w:rsidR="00287AF0" w:rsidRPr="00287AF0" w:rsidRDefault="00287AF0" w:rsidP="00287AF0">
      <w:r w:rsidRPr="00287AF0">
        <w:t>We see that the final expression for </w:t>
      </w:r>
      <w:r w:rsidRPr="00287AF0">
        <w:rPr>
          <w:i/>
          <w:iCs/>
        </w:rPr>
        <w:t>η</w:t>
      </w:r>
      <w:r w:rsidRPr="00287AF0">
        <w:t> includes only the dynamical partition functions </w:t>
      </w:r>
      <m:oMath>
        <m:acc>
          <m:accPr>
            <m:chr m:val="̃"/>
            <m:ctrlPr>
              <w:rPr>
                <w:rFonts w:ascii="Cambria Math" w:hAnsi="Cambria Math"/>
              </w:rPr>
            </m:ctrlPr>
          </m:accPr>
          <m:e>
            <m:r>
              <w:rPr>
                <w:rFonts w:ascii="Cambria Math" w:hAnsi="Cambria Math"/>
              </w:rPr>
              <m:t>Q</m:t>
            </m:r>
          </m:e>
        </m:acc>
      </m:oMath>
      <w:r w:rsidRPr="00287AF0">
        <w:t>, computed rigorously using quantum mechanics. Similar, in the case of double substitution (see </w:t>
      </w:r>
      <w:r w:rsidRPr="00AD482D">
        <w:rPr>
          <w:b/>
          <w:bCs/>
        </w:rPr>
        <w:t>Supplementary Materials</w:t>
      </w:r>
      <w:r w:rsidRPr="00287AF0">
        <w:t>) we obtain:</w:t>
      </w:r>
    </w:p>
    <w:p w14:paraId="3ABFD91B" w14:textId="0AF15173" w:rsidR="00536547" w:rsidRPr="00287AF0" w:rsidRDefault="00696FAF" w:rsidP="00287AF0">
      <m:oMathPara>
        <m:oMath>
          <m:sSup>
            <m:sSupPr>
              <m:ctrlPr>
                <w:rPr>
                  <w:rFonts w:ascii="Cambria Math" w:hAnsi="Cambria Math"/>
                </w:rPr>
              </m:ctrlPr>
            </m:sSupPr>
            <m:e>
              <m:r>
                <w:rPr>
                  <w:rFonts w:ascii="Cambria Math" w:hAnsi="Cambria Math"/>
                </w:rPr>
                <m:t>η</m:t>
              </m:r>
            </m:e>
            <m:sup>
              <m:d>
                <m:dPr>
                  <m:ctrlPr>
                    <w:rPr>
                      <w:rFonts w:ascii="Cambria Math" w:hAnsi="Cambria Math"/>
                      <w:i/>
                    </w:rPr>
                  </m:ctrlPr>
                </m:dPr>
                <m:e>
                  <m:r>
                    <m:rPr>
                      <m:sty m:val="p"/>
                    </m:rPr>
                    <w:rPr>
                      <w:rFonts w:ascii="Cambria Math" w:hAnsi="Cambria Math"/>
                    </w:rPr>
                    <m:t>d</m:t>
                  </m:r>
                </m:e>
              </m:d>
            </m:sup>
          </m:sSup>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κ</m:t>
                  </m:r>
                </m:e>
                <m:sub>
                  <m:r>
                    <m:rPr>
                      <m:sty m:val="p"/>
                    </m:rPr>
                    <w:rPr>
                      <w:rFonts w:ascii="Cambria Math" w:hAnsi="Cambria Math"/>
                    </w:rPr>
                    <m:t>asym</m:t>
                  </m:r>
                </m:sub>
              </m:sSub>
            </m:num>
            <m:den>
              <m:r>
                <w:rPr>
                  <w:rFonts w:ascii="Cambria Math" w:hAnsi="Cambria Math"/>
                </w:rPr>
                <m:t>2</m:t>
              </m:r>
              <m:sSub>
                <m:sSubPr>
                  <m:ctrlPr>
                    <w:rPr>
                      <w:rFonts w:ascii="Cambria Math" w:hAnsi="Cambria Math"/>
                    </w:rPr>
                  </m:ctrlPr>
                </m:sSubPr>
                <m:e>
                  <m:r>
                    <w:rPr>
                      <w:rFonts w:ascii="Cambria Math" w:hAnsi="Cambria Math"/>
                    </w:rPr>
                    <m:t>κ</m:t>
                  </m:r>
                </m:e>
                <m:sub>
                  <m:r>
                    <m:rPr>
                      <m:sty m:val="p"/>
                    </m:rPr>
                    <w:rPr>
                      <w:rFonts w:ascii="Cambria Math" w:hAnsi="Cambria Math"/>
                    </w:rPr>
                    <m:t>sym</m:t>
                  </m:r>
                </m:sub>
              </m:sSub>
            </m:den>
          </m:f>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κ</m:t>
                  </m:r>
                </m:e>
                <m:sub>
                  <m:r>
                    <m:rPr>
                      <m:sty m:val="p"/>
                    </m:rPr>
                    <w:rPr>
                      <w:rFonts w:ascii="Cambria Math" w:hAnsi="Cambria Math"/>
                    </w:rPr>
                    <m:t>A</m:t>
                  </m:r>
                </m:sub>
              </m:sSub>
              <m:sSup>
                <m:sSupPr>
                  <m:ctrlPr>
                    <w:rPr>
                      <w:rFonts w:ascii="Cambria Math" w:hAnsi="Cambria Math"/>
                    </w:rPr>
                  </m:ctrlPr>
                </m:sSupPr>
                <m:e>
                  <m:r>
                    <w:rPr>
                      <w:rFonts w:ascii="Cambria Math" w:hAnsi="Cambria Math"/>
                    </w:rPr>
                    <m:t>K</m:t>
                  </m:r>
                </m:e>
                <m:sup>
                  <m:r>
                    <m:rPr>
                      <m:sty m:val="p"/>
                    </m:rPr>
                    <w:rPr>
                      <w:rFonts w:ascii="Cambria Math" w:hAnsi="Cambria Math"/>
                    </w:rPr>
                    <m:t>ex</m:t>
                  </m:r>
                </m:sup>
              </m:sSup>
              <m:r>
                <w:rPr>
                  <w:rFonts w:ascii="Cambria Math" w:hAnsi="Cambria Math"/>
                </w:rPr>
                <m:t>+</m:t>
              </m:r>
              <m:sSub>
                <m:sSubPr>
                  <m:ctrlPr>
                    <w:rPr>
                      <w:rFonts w:ascii="Cambria Math" w:hAnsi="Cambria Math"/>
                    </w:rPr>
                  </m:ctrlPr>
                </m:sSubPr>
                <m:e>
                  <m:r>
                    <w:rPr>
                      <w:rFonts w:ascii="Cambria Math" w:hAnsi="Cambria Math"/>
                    </w:rPr>
                    <m:t>κ</m:t>
                  </m:r>
                </m:e>
                <m:sub>
                  <m:r>
                    <m:rPr>
                      <m:sty m:val="p"/>
                    </m:rPr>
                    <w:rPr>
                      <w:rFonts w:ascii="Cambria Math" w:hAnsi="Cambria Math"/>
                    </w:rPr>
                    <m:t>B</m:t>
                  </m:r>
                </m:sub>
              </m:sSub>
            </m:num>
            <m:den>
              <m:r>
                <w:rPr>
                  <w:rFonts w:ascii="Cambria Math" w:hAnsi="Cambria Math"/>
                </w:rPr>
                <m:t>2</m:t>
              </m:r>
              <m:d>
                <m:dPr>
                  <m:ctrlPr>
                    <w:rPr>
                      <w:rFonts w:ascii="Cambria Math" w:hAnsi="Cambria Math"/>
                      <w:i/>
                    </w:rPr>
                  </m:ctrlPr>
                </m:dPr>
                <m:e>
                  <m:sSub>
                    <m:sSubPr>
                      <m:ctrlPr>
                        <w:rPr>
                          <w:rFonts w:ascii="Cambria Math" w:hAnsi="Cambria Math"/>
                        </w:rPr>
                      </m:ctrlPr>
                    </m:sSubPr>
                    <m:e>
                      <m:r>
                        <w:rPr>
                          <w:rFonts w:ascii="Cambria Math" w:hAnsi="Cambria Math"/>
                        </w:rPr>
                        <m:t>κ</m:t>
                      </m:r>
                    </m:e>
                    <m:sub>
                      <m:r>
                        <m:rPr>
                          <m:sty m:val="p"/>
                        </m:rPr>
                        <w:rPr>
                          <w:rFonts w:ascii="Cambria Math" w:hAnsi="Cambria Math"/>
                        </w:rPr>
                        <m:t>S</m:t>
                      </m:r>
                    </m:sub>
                  </m:sSub>
                  <m:sSup>
                    <m:sSupPr>
                      <m:ctrlPr>
                        <w:rPr>
                          <w:rFonts w:ascii="Cambria Math" w:hAnsi="Cambria Math"/>
                        </w:rPr>
                      </m:ctrlPr>
                    </m:sSupPr>
                    <m:e>
                      <m:r>
                        <w:rPr>
                          <w:rFonts w:ascii="Cambria Math" w:hAnsi="Cambria Math"/>
                        </w:rPr>
                        <m:t>K</m:t>
                      </m:r>
                    </m:e>
                    <m:sup>
                      <m:r>
                        <m:rPr>
                          <m:sty m:val="p"/>
                        </m:rPr>
                        <w:rPr>
                          <w:rFonts w:ascii="Cambria Math" w:hAnsi="Cambria Math"/>
                        </w:rPr>
                        <m:t>ex</m:t>
                      </m:r>
                    </m:sup>
                  </m:sSup>
                  <m:r>
                    <w:rPr>
                      <w:rFonts w:ascii="Cambria Math" w:hAnsi="Cambria Math"/>
                    </w:rPr>
                    <m:t>+</m:t>
                  </m:r>
                  <m:sSub>
                    <m:sSubPr>
                      <m:ctrlPr>
                        <w:rPr>
                          <w:rFonts w:ascii="Cambria Math" w:hAnsi="Cambria Math"/>
                        </w:rPr>
                      </m:ctrlPr>
                    </m:sSubPr>
                    <m:e>
                      <m:r>
                        <w:rPr>
                          <w:rFonts w:ascii="Cambria Math" w:hAnsi="Cambria Math"/>
                        </w:rPr>
                        <m:t>κ</m:t>
                      </m:r>
                    </m:e>
                    <m:sub>
                      <m:r>
                        <m:rPr>
                          <m:sty m:val="p"/>
                        </m:rPr>
                        <w:rPr>
                          <w:rFonts w:ascii="Cambria Math" w:hAnsi="Cambria Math"/>
                        </w:rPr>
                        <m:t>I</m:t>
                      </m:r>
                    </m:sub>
                  </m:sSub>
                </m:e>
              </m:d>
            </m:den>
          </m:f>
          <m:r>
            <w:rPr>
              <w:rFonts w:ascii="Cambria Math" w:hAnsi="Cambria Math"/>
            </w:rPr>
            <m:t>=</m:t>
          </m:r>
          <m:f>
            <m:fPr>
              <m:ctrlPr>
                <w:rPr>
                  <w:rFonts w:ascii="Cambria Math" w:hAnsi="Cambria Math"/>
                </w:rPr>
              </m:ctrlPr>
            </m:fPr>
            <m:num>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m:rPr>
                      <m:sty m:val="p"/>
                    </m:rPr>
                    <w:rPr>
                      <w:rFonts w:ascii="Cambria Math" w:hAnsi="Cambria Math"/>
                    </w:rPr>
                    <m:t>A</m:t>
                  </m:r>
                </m:sub>
              </m:sSub>
              <m:sSup>
                <m:sSupPr>
                  <m:ctrlPr>
                    <w:rPr>
                      <w:rFonts w:ascii="Cambria Math" w:hAnsi="Cambria Math"/>
                    </w:rPr>
                  </m:ctrlPr>
                </m:sSupPr>
                <m:e>
                  <m:r>
                    <w:rPr>
                      <w:rFonts w:ascii="Cambria Math" w:hAnsi="Cambria Math"/>
                    </w:rPr>
                    <m:t>e</m:t>
                  </m:r>
                </m:e>
                <m:sup>
                  <m:r>
                    <w:rPr>
                      <w:rFonts w:ascii="Cambria Math" w:hAnsi="Cambria Math"/>
                    </w:rPr>
                    <m:t>-</m:t>
                  </m:r>
                  <m:f>
                    <m:fPr>
                      <m:ctrlPr>
                        <w:rPr>
                          <w:rFonts w:ascii="Cambria Math" w:hAnsi="Cambria Math"/>
                        </w:rPr>
                      </m:ctrlPr>
                    </m:fPr>
                    <m:num>
                      <m:r>
                        <w:rPr>
                          <w:rFonts w:ascii="Cambria Math" w:hAnsi="Cambria Math"/>
                        </w:rPr>
                        <m:t>Δ</m:t>
                      </m:r>
                      <m:r>
                        <m:rPr>
                          <m:sty m:val="p"/>
                        </m:rPr>
                        <w:rPr>
                          <w:rFonts w:ascii="Cambria Math" w:hAnsi="Cambria Math"/>
                        </w:rPr>
                        <m:t>ZPE</m:t>
                      </m:r>
                    </m:num>
                    <m:den>
                      <m:r>
                        <w:rPr>
                          <w:rFonts w:ascii="Cambria Math" w:hAnsi="Cambria Math"/>
                        </w:rPr>
                        <m:t>kT</m:t>
                      </m:r>
                    </m:den>
                  </m:f>
                </m:sup>
              </m:sSup>
              <m:r>
                <w:rPr>
                  <w:rFonts w:ascii="Cambria Math" w:hAnsi="Cambria Math"/>
                </w:rPr>
                <m:t>+</m:t>
              </m:r>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m:rPr>
                      <m:sty m:val="p"/>
                    </m:rPr>
                    <w:rPr>
                      <w:rFonts w:ascii="Cambria Math" w:hAnsi="Cambria Math"/>
                    </w:rPr>
                    <m:t>B</m:t>
                  </m:r>
                </m:sub>
              </m:sSub>
            </m:num>
            <m:den>
              <m:r>
                <w:rPr>
                  <w:rFonts w:ascii="Cambria Math" w:hAnsi="Cambria Math"/>
                </w:rPr>
                <m:t>2</m:t>
              </m:r>
              <m:d>
                <m:dPr>
                  <m:ctrlPr>
                    <w:rPr>
                      <w:rFonts w:ascii="Cambria Math" w:hAnsi="Cambria Math"/>
                      <w:i/>
                    </w:rPr>
                  </m:ctrlPr>
                </m:dPr>
                <m:e>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m:rPr>
                          <m:sty m:val="p"/>
                        </m:rPr>
                        <w:rPr>
                          <w:rFonts w:ascii="Cambria Math" w:hAnsi="Cambria Math"/>
                        </w:rPr>
                        <m:t>S</m:t>
                      </m:r>
                    </m:sub>
                  </m:sSub>
                  <m:sSup>
                    <m:sSupPr>
                      <m:ctrlPr>
                        <w:rPr>
                          <w:rFonts w:ascii="Cambria Math" w:hAnsi="Cambria Math"/>
                        </w:rPr>
                      </m:ctrlPr>
                    </m:sSupPr>
                    <m:e>
                      <m:r>
                        <w:rPr>
                          <w:rFonts w:ascii="Cambria Math" w:hAnsi="Cambria Math"/>
                        </w:rPr>
                        <m:t>e</m:t>
                      </m:r>
                    </m:e>
                    <m:sup>
                      <m:r>
                        <w:rPr>
                          <w:rFonts w:ascii="Cambria Math" w:hAnsi="Cambria Math"/>
                        </w:rPr>
                        <m:t>-</m:t>
                      </m:r>
                      <m:f>
                        <m:fPr>
                          <m:ctrlPr>
                            <w:rPr>
                              <w:rFonts w:ascii="Cambria Math" w:hAnsi="Cambria Math"/>
                            </w:rPr>
                          </m:ctrlPr>
                        </m:fPr>
                        <m:num>
                          <m:r>
                            <w:rPr>
                              <w:rFonts w:ascii="Cambria Math" w:hAnsi="Cambria Math"/>
                            </w:rPr>
                            <m:t>Δ</m:t>
                          </m:r>
                          <m:r>
                            <m:rPr>
                              <m:sty m:val="p"/>
                            </m:rPr>
                            <w:rPr>
                              <w:rFonts w:ascii="Cambria Math" w:hAnsi="Cambria Math"/>
                            </w:rPr>
                            <m:t>ZPE</m:t>
                          </m:r>
                        </m:num>
                        <m:den>
                          <m:r>
                            <w:rPr>
                              <w:rFonts w:ascii="Cambria Math" w:hAnsi="Cambria Math"/>
                            </w:rPr>
                            <m:t>kT</m:t>
                          </m:r>
                        </m:den>
                      </m:f>
                    </m:sup>
                  </m:sSup>
                  <m:r>
                    <w:rPr>
                      <w:rFonts w:ascii="Cambria Math" w:hAnsi="Cambria Math"/>
                    </w:rPr>
                    <m:t>+</m:t>
                  </m:r>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m:rPr>
                          <m:sty m:val="p"/>
                        </m:rPr>
                        <w:rPr>
                          <w:rFonts w:ascii="Cambria Math" w:hAnsi="Cambria Math"/>
                        </w:rPr>
                        <m:t>I</m:t>
                      </m:r>
                    </m:sub>
                  </m:sSub>
                </m:e>
              </m:d>
            </m:den>
          </m:f>
          <m:r>
            <w:rPr>
              <w:rFonts w:ascii="Cambria Math" w:hAnsi="Cambria Math"/>
            </w:rPr>
            <m:t>=</m:t>
          </m:r>
          <m:f>
            <m:fPr>
              <m:ctrlPr>
                <w:rPr>
                  <w:rFonts w:ascii="Cambria Math" w:hAnsi="Cambria Math"/>
                </w:rPr>
              </m:ctrlPr>
            </m:fPr>
            <m:num>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m:rPr>
                      <m:sty m:val="p"/>
                    </m:rPr>
                    <w:rPr>
                      <w:rFonts w:ascii="Cambria Math" w:hAnsi="Cambria Math"/>
                    </w:rPr>
                    <m:t>asym</m:t>
                  </m:r>
                </m:sub>
              </m:sSub>
            </m:num>
            <m:den>
              <m:r>
                <w:rPr>
                  <w:rFonts w:ascii="Cambria Math" w:hAnsi="Cambria Math"/>
                </w:rPr>
                <m:t>2</m:t>
              </m:r>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m:rPr>
                      <m:sty m:val="p"/>
                    </m:rPr>
                    <w:rPr>
                      <w:rFonts w:ascii="Cambria Math" w:hAnsi="Cambria Math"/>
                    </w:rPr>
                    <m:t>sym</m:t>
                  </m:r>
                </m:sub>
              </m:sSub>
            </m:den>
          </m:f>
        </m:oMath>
      </m:oMathPara>
    </w:p>
    <w:p w14:paraId="20008439" w14:textId="77777777" w:rsidR="00287AF0" w:rsidRPr="00287AF0" w:rsidRDefault="00287AF0" w:rsidP="00287AF0">
      <w:r w:rsidRPr="00287AF0">
        <w:t>(65)</w:t>
      </w:r>
    </w:p>
    <w:p w14:paraId="4EDD430B" w14:textId="77777777" w:rsidR="00287AF0" w:rsidRPr="00287AF0" w:rsidRDefault="00287AF0" w:rsidP="00287AF0">
      <w:r w:rsidRPr="00287AF0">
        <w:t xml:space="preserve">i.e., the same </w:t>
      </w:r>
      <w:proofErr w:type="gramStart"/>
      <w:r w:rsidRPr="00287AF0">
        <w:t>final result</w:t>
      </w:r>
      <w:proofErr w:type="gramEnd"/>
      <w:r w:rsidRPr="00287AF0">
        <w:t>.</w:t>
      </w:r>
    </w:p>
    <w:p w14:paraId="1961C9A7" w14:textId="74CDC369" w:rsidR="00287AF0" w:rsidRPr="00287AF0" w:rsidRDefault="00287AF0" w:rsidP="00287AF0">
      <w:r w:rsidRPr="00287AF0">
        <w:t xml:space="preserve">Next, two terms in the numerator of Equations (64) and (65) can be used to set up the ratio for characterization of the </w:t>
      </w:r>
      <m:oMath>
        <m:r>
          <m:rPr>
            <m:sty m:val="p"/>
          </m:rPr>
          <w:rPr>
            <w:rFonts w:ascii="Cambria Math" w:hAnsi="Cambria Math"/>
          </w:rPr>
          <m:t>ΔZPE</m:t>
        </m:r>
      </m:oMath>
      <w:r w:rsidR="00D32CB1" w:rsidRPr="00287AF0">
        <w:t xml:space="preserve"> </w:t>
      </w:r>
      <w:r w:rsidRPr="00287AF0">
        <w:t>-driven ζ-effect. For single substitution, from Equation (64):</w:t>
      </w:r>
    </w:p>
    <w:p w14:paraId="51B73D8D" w14:textId="2C9FD621" w:rsidR="00696FAF" w:rsidRPr="00287AF0" w:rsidRDefault="00CC4FEC" w:rsidP="00287AF0">
      <m:oMathPara>
        <m:oMath>
          <m:sSup>
            <m:sSupPr>
              <m:ctrlPr>
                <w:rPr>
                  <w:rFonts w:ascii="Cambria Math" w:hAnsi="Cambria Math"/>
                </w:rPr>
              </m:ctrlPr>
            </m:sSupPr>
            <m:e>
              <m:r>
                <w:rPr>
                  <w:rFonts w:ascii="Cambria Math" w:hAnsi="Cambria Math"/>
                </w:rPr>
                <m:t>ζ</m:t>
              </m:r>
            </m:e>
            <m:sup>
              <m:d>
                <m:dPr>
                  <m:ctrlPr>
                    <w:rPr>
                      <w:rFonts w:ascii="Cambria Math" w:hAnsi="Cambria Math"/>
                      <w:i/>
                    </w:rPr>
                  </m:ctrlPr>
                </m:dPr>
                <m:e>
                  <m:r>
                    <m:rPr>
                      <m:sty m:val="p"/>
                    </m:rPr>
                    <w:rPr>
                      <w:rFonts w:ascii="Cambria Math" w:hAnsi="Cambria Math"/>
                    </w:rPr>
                    <m:t>s</m:t>
                  </m:r>
                </m:e>
              </m:d>
            </m:sup>
          </m:sSup>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κ</m:t>
                  </m:r>
                </m:e>
                <m:sub>
                  <m:r>
                    <m:rPr>
                      <m:sty m:val="p"/>
                    </m:rPr>
                    <w:rPr>
                      <w:rFonts w:ascii="Cambria Math" w:hAnsi="Cambria Math"/>
                    </w:rPr>
                    <m:t>A</m:t>
                  </m:r>
                </m:sub>
              </m:sSub>
            </m:num>
            <m:den>
              <m:sSub>
                <m:sSubPr>
                  <m:ctrlPr>
                    <w:rPr>
                      <w:rFonts w:ascii="Cambria Math" w:hAnsi="Cambria Math"/>
                    </w:rPr>
                  </m:ctrlPr>
                </m:sSubPr>
                <m:e>
                  <m:r>
                    <w:rPr>
                      <w:rFonts w:ascii="Cambria Math" w:hAnsi="Cambria Math"/>
                    </w:rPr>
                    <m:t>κ</m:t>
                  </m:r>
                </m:e>
                <m:sub>
                  <m:r>
                    <m:rPr>
                      <m:sty m:val="p"/>
                    </m:rPr>
                    <w:rPr>
                      <w:rFonts w:ascii="Cambria Math" w:hAnsi="Cambria Math"/>
                    </w:rPr>
                    <m:t>B</m:t>
                  </m:r>
                </m:sub>
              </m:sSub>
              <m:sSup>
                <m:sSupPr>
                  <m:ctrlPr>
                    <w:rPr>
                      <w:rFonts w:ascii="Cambria Math" w:hAnsi="Cambria Math"/>
                    </w:rPr>
                  </m:ctrlPr>
                </m:sSupPr>
                <m:e>
                  <m:r>
                    <w:rPr>
                      <w:rFonts w:ascii="Cambria Math" w:hAnsi="Cambria Math"/>
                    </w:rPr>
                    <m:t>K</m:t>
                  </m:r>
                </m:e>
                <m:sup>
                  <m:r>
                    <m:rPr>
                      <m:sty m:val="p"/>
                    </m:rPr>
                    <w:rPr>
                      <w:rFonts w:ascii="Cambria Math" w:hAnsi="Cambria Math"/>
                    </w:rPr>
                    <m:t>ex</m:t>
                  </m:r>
                </m:sup>
              </m:sSup>
            </m:den>
          </m:f>
          <m:r>
            <w:rPr>
              <w:rFonts w:ascii="Cambria Math" w:hAnsi="Cambria Math"/>
            </w:rPr>
            <m:t>=</m:t>
          </m:r>
          <m:f>
            <m:fPr>
              <m:ctrlPr>
                <w:rPr>
                  <w:rFonts w:ascii="Cambria Math" w:hAnsi="Cambria Math"/>
                </w:rPr>
              </m:ctrlPr>
            </m:fPr>
            <m:num>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m:rPr>
                      <m:sty m:val="p"/>
                    </m:rPr>
                    <w:rPr>
                      <w:rFonts w:ascii="Cambria Math" w:hAnsi="Cambria Math"/>
                    </w:rPr>
                    <m:t>A</m:t>
                  </m:r>
                </m:sub>
              </m:sSub>
            </m:num>
            <m:den>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m:rPr>
                      <m:sty m:val="p"/>
                    </m:rPr>
                    <w:rPr>
                      <w:rFonts w:ascii="Cambria Math" w:hAnsi="Cambria Math"/>
                    </w:rPr>
                    <m:t>B</m:t>
                  </m:r>
                </m:sub>
              </m:sSub>
              <m:sSup>
                <m:sSupPr>
                  <m:ctrlPr>
                    <w:rPr>
                      <w:rFonts w:ascii="Cambria Math" w:hAnsi="Cambria Math"/>
                    </w:rPr>
                  </m:ctrlPr>
                </m:sSupPr>
                <m:e>
                  <m:r>
                    <w:rPr>
                      <w:rFonts w:ascii="Cambria Math" w:hAnsi="Cambria Math"/>
                    </w:rPr>
                    <m:t>e</m:t>
                  </m:r>
                </m:e>
                <m:sup>
                  <m:r>
                    <w:rPr>
                      <w:rFonts w:ascii="Cambria Math" w:hAnsi="Cambria Math"/>
                    </w:rPr>
                    <m:t>-</m:t>
                  </m:r>
                  <m:f>
                    <m:fPr>
                      <m:ctrlPr>
                        <w:rPr>
                          <w:rFonts w:ascii="Cambria Math" w:hAnsi="Cambria Math"/>
                        </w:rPr>
                      </m:ctrlPr>
                    </m:fPr>
                    <m:num>
                      <m:r>
                        <m:rPr>
                          <m:sty m:val="p"/>
                        </m:rPr>
                        <w:rPr>
                          <w:rFonts w:ascii="Cambria Math" w:hAnsi="Cambria Math"/>
                        </w:rPr>
                        <m:t>ΔZPE</m:t>
                      </m:r>
                    </m:num>
                    <m:den>
                      <m:r>
                        <w:rPr>
                          <w:rFonts w:ascii="Cambria Math" w:hAnsi="Cambria Math"/>
                        </w:rPr>
                        <m:t>kT</m:t>
                      </m:r>
                    </m:den>
                  </m:f>
                </m:sup>
              </m:sSup>
            </m:den>
          </m:f>
        </m:oMath>
      </m:oMathPara>
    </w:p>
    <w:p w14:paraId="26836C24" w14:textId="77777777" w:rsidR="00287AF0" w:rsidRPr="00287AF0" w:rsidRDefault="00287AF0" w:rsidP="00287AF0">
      <w:r w:rsidRPr="00287AF0">
        <w:t>(66)</w:t>
      </w:r>
    </w:p>
    <w:p w14:paraId="1AD87A18" w14:textId="77777777" w:rsidR="00287AF0" w:rsidRPr="00287AF0" w:rsidRDefault="00287AF0" w:rsidP="00287AF0">
      <w:r w:rsidRPr="00287AF0">
        <w:t>and similar for double substitution, from Equation (65):</w:t>
      </w:r>
    </w:p>
    <w:p w14:paraId="7757770C" w14:textId="1EBEDE3E" w:rsidR="00696FAF" w:rsidRPr="00287AF0" w:rsidRDefault="00EE2AE1" w:rsidP="00287AF0">
      <m:oMathPara>
        <m:oMath>
          <m:sSup>
            <m:sSupPr>
              <m:ctrlPr>
                <w:rPr>
                  <w:rFonts w:ascii="Cambria Math" w:hAnsi="Cambria Math"/>
                </w:rPr>
              </m:ctrlPr>
            </m:sSupPr>
            <m:e>
              <m:r>
                <w:rPr>
                  <w:rFonts w:ascii="Cambria Math" w:hAnsi="Cambria Math"/>
                </w:rPr>
                <m:t>ζ</m:t>
              </m:r>
            </m:e>
            <m:sup>
              <m:d>
                <m:dPr>
                  <m:ctrlPr>
                    <w:rPr>
                      <w:rFonts w:ascii="Cambria Math" w:hAnsi="Cambria Math"/>
                      <w:i/>
                    </w:rPr>
                  </m:ctrlPr>
                </m:dPr>
                <m:e>
                  <m:r>
                    <m:rPr>
                      <m:sty m:val="p"/>
                    </m:rPr>
                    <w:rPr>
                      <w:rFonts w:ascii="Cambria Math" w:hAnsi="Cambria Math"/>
                    </w:rPr>
                    <m:t>d</m:t>
                  </m:r>
                </m:e>
              </m:d>
            </m:sup>
          </m:sSup>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κ</m:t>
                  </m:r>
                </m:e>
                <m:sub>
                  <m:r>
                    <m:rPr>
                      <m:sty m:val="p"/>
                    </m:rPr>
                    <w:rPr>
                      <w:rFonts w:ascii="Cambria Math" w:hAnsi="Cambria Math"/>
                    </w:rPr>
                    <m:t>B</m:t>
                  </m:r>
                </m:sub>
              </m:sSub>
            </m:num>
            <m:den>
              <m:sSub>
                <m:sSubPr>
                  <m:ctrlPr>
                    <w:rPr>
                      <w:rFonts w:ascii="Cambria Math" w:hAnsi="Cambria Math"/>
                    </w:rPr>
                  </m:ctrlPr>
                </m:sSubPr>
                <m:e>
                  <m:r>
                    <w:rPr>
                      <w:rFonts w:ascii="Cambria Math" w:hAnsi="Cambria Math"/>
                    </w:rPr>
                    <m:t>κ</m:t>
                  </m:r>
                </m:e>
                <m:sub>
                  <m:r>
                    <m:rPr>
                      <m:sty m:val="p"/>
                    </m:rPr>
                    <w:rPr>
                      <w:rFonts w:ascii="Cambria Math" w:hAnsi="Cambria Math"/>
                    </w:rPr>
                    <m:t>A</m:t>
                  </m:r>
                </m:sub>
              </m:sSub>
              <m:sSup>
                <m:sSupPr>
                  <m:ctrlPr>
                    <w:rPr>
                      <w:rFonts w:ascii="Cambria Math" w:hAnsi="Cambria Math"/>
                    </w:rPr>
                  </m:ctrlPr>
                </m:sSupPr>
                <m:e>
                  <m:r>
                    <w:rPr>
                      <w:rFonts w:ascii="Cambria Math" w:hAnsi="Cambria Math"/>
                    </w:rPr>
                    <m:t>K</m:t>
                  </m:r>
                </m:e>
                <m:sup>
                  <m:r>
                    <m:rPr>
                      <m:sty m:val="p"/>
                    </m:rPr>
                    <w:rPr>
                      <w:rFonts w:ascii="Cambria Math" w:hAnsi="Cambria Math"/>
                    </w:rPr>
                    <m:t>ex</m:t>
                  </m:r>
                </m:sup>
              </m:sSup>
            </m:den>
          </m:f>
          <m:r>
            <w:rPr>
              <w:rFonts w:ascii="Cambria Math" w:hAnsi="Cambria Math"/>
            </w:rPr>
            <m:t>=</m:t>
          </m:r>
          <m:f>
            <m:fPr>
              <m:ctrlPr>
                <w:rPr>
                  <w:rFonts w:ascii="Cambria Math" w:hAnsi="Cambria Math"/>
                </w:rPr>
              </m:ctrlPr>
            </m:fPr>
            <m:num>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m:rPr>
                      <m:sty m:val="p"/>
                    </m:rPr>
                    <w:rPr>
                      <w:rFonts w:ascii="Cambria Math" w:hAnsi="Cambria Math"/>
                    </w:rPr>
                    <m:t>B</m:t>
                  </m:r>
                </m:sub>
              </m:sSub>
            </m:num>
            <m:den>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m:rPr>
                      <m:sty m:val="p"/>
                    </m:rPr>
                    <w:rPr>
                      <w:rFonts w:ascii="Cambria Math" w:hAnsi="Cambria Math"/>
                    </w:rPr>
                    <m:t>A</m:t>
                  </m:r>
                </m:sub>
              </m:sSub>
              <m:sSup>
                <m:sSupPr>
                  <m:ctrlPr>
                    <w:rPr>
                      <w:rFonts w:ascii="Cambria Math" w:hAnsi="Cambria Math"/>
                    </w:rPr>
                  </m:ctrlPr>
                </m:sSupPr>
                <m:e>
                  <m:r>
                    <w:rPr>
                      <w:rFonts w:ascii="Cambria Math" w:hAnsi="Cambria Math"/>
                    </w:rPr>
                    <m:t>e</m:t>
                  </m:r>
                </m:e>
                <m:sup>
                  <m:r>
                    <w:rPr>
                      <w:rFonts w:ascii="Cambria Math" w:hAnsi="Cambria Math"/>
                    </w:rPr>
                    <m:t>-</m:t>
                  </m:r>
                  <m:f>
                    <m:fPr>
                      <m:ctrlPr>
                        <w:rPr>
                          <w:rFonts w:ascii="Cambria Math" w:hAnsi="Cambria Math"/>
                        </w:rPr>
                      </m:ctrlPr>
                    </m:fPr>
                    <m:num>
                      <m:r>
                        <m:rPr>
                          <m:sty m:val="p"/>
                        </m:rPr>
                        <w:rPr>
                          <w:rFonts w:ascii="Cambria Math" w:hAnsi="Cambria Math"/>
                        </w:rPr>
                        <m:t>ΔZPE</m:t>
                      </m:r>
                    </m:num>
                    <m:den>
                      <m:r>
                        <w:rPr>
                          <w:rFonts w:ascii="Cambria Math" w:hAnsi="Cambria Math"/>
                        </w:rPr>
                        <m:t>kT</m:t>
                      </m:r>
                    </m:den>
                  </m:f>
                </m:sup>
              </m:sSup>
            </m:den>
          </m:f>
        </m:oMath>
      </m:oMathPara>
    </w:p>
    <w:p w14:paraId="4BDB0196" w14:textId="77777777" w:rsidR="00287AF0" w:rsidRPr="00287AF0" w:rsidRDefault="00287AF0" w:rsidP="00287AF0">
      <w:r w:rsidRPr="00287AF0">
        <w:t>(67)</w:t>
      </w:r>
    </w:p>
    <w:p w14:paraId="2BD8C81C" w14:textId="77777777" w:rsidR="00287AF0" w:rsidRPr="00287AF0" w:rsidRDefault="00287AF0" w:rsidP="00287AF0">
      <w:r w:rsidRPr="00287AF0">
        <w:t>Note that all definitions are set such that no anomalous isotope effect would correspond to ζ = 1 and </w:t>
      </w:r>
      <w:r w:rsidRPr="00287AF0">
        <w:rPr>
          <w:i/>
          <w:iCs/>
        </w:rPr>
        <w:t>η</w:t>
      </w:r>
      <w:r w:rsidRPr="00287AF0">
        <w:t> = 1 in all cases, and all experimentally observed isotope effects would correspond to ζ &gt; 1 and </w:t>
      </w:r>
      <w:r w:rsidRPr="00287AF0">
        <w:rPr>
          <w:i/>
          <w:iCs/>
        </w:rPr>
        <w:t>η</w:t>
      </w:r>
      <w:r w:rsidRPr="00287AF0">
        <w:t> &gt; 1.</w:t>
      </w:r>
    </w:p>
    <w:p w14:paraId="3681B43D" w14:textId="1A21C76A" w:rsidR="00287AF0" w:rsidRPr="00287AF0" w:rsidRDefault="00287AF0" w:rsidP="00287AF0">
      <w:r w:rsidRPr="00287AF0">
        <w:t>Equations (64)</w:t>
      </w:r>
      <w:proofErr w:type="gramStart"/>
      <w:r w:rsidRPr="00287AF0">
        <w:t>–(</w:t>
      </w:r>
      <w:proofErr w:type="gramEnd"/>
      <w:r w:rsidRPr="00287AF0">
        <w:t>67) were used to populate </w:t>
      </w:r>
      <w:r w:rsidRPr="00AD482D">
        <w:rPr>
          <w:b/>
          <w:bCs/>
        </w:rPr>
        <w:t>Table 1</w:t>
      </w:r>
      <w:r w:rsidRPr="00287AF0">
        <w:t> with experimental and theoretical values of parameters ζ and </w:t>
      </w:r>
      <w:r w:rsidRPr="00287AF0">
        <w:rPr>
          <w:i/>
          <w:iCs/>
        </w:rPr>
        <w:t>η</w:t>
      </w:r>
      <w:r w:rsidRPr="00287AF0">
        <w:t> for singly and doubly substituted cases. Theoretically predicted ζ-effect is large and goes in the same direction as in the experiment (ζ &gt; 1) in both singly and doubly substituted cases, although in our calculations its magnitude, about ζ = 1.42 ± 0.03 (in the singly and doubly substituted cases, respectively), is somewhat smaller compared to the experiment, which is ζ = 1.73 ± 0.04 (in the singly and doubly substituted cases). Concerning the mysterious </w:t>
      </w:r>
      <w:r w:rsidRPr="00287AF0">
        <w:rPr>
          <w:i/>
          <w:iCs/>
        </w:rPr>
        <w:t>η</w:t>
      </w:r>
      <w:r w:rsidRPr="00287AF0">
        <w:t>-effect driven by symmetry, our calculations give </w:t>
      </w:r>
      <w:r w:rsidRPr="00287AF0">
        <w:rPr>
          <w:i/>
          <w:iCs/>
        </w:rPr>
        <w:t>η</w:t>
      </w:r>
      <w:r w:rsidRPr="00287AF0">
        <w:t> = 1.02 and 1.08 (in the singly and doubly substituted cases), which is significantly smaller than the experimental values of </w:t>
      </w:r>
      <w:r w:rsidRPr="00287AF0">
        <w:rPr>
          <w:i/>
          <w:iCs/>
        </w:rPr>
        <w:t>η</w:t>
      </w:r>
      <w:r w:rsidRPr="00287AF0">
        <w:t> = 1.16 ± 0.03. The deviation is largest in the case of single substitution, which is particularly sad since this case is relevant to the processes in Earth’s atmosphere, with low abundance of </w:t>
      </w:r>
      <w:r w:rsidRPr="00287AF0">
        <w:rPr>
          <w:vertAlign w:val="superscript"/>
        </w:rPr>
        <w:t>18</w:t>
      </w:r>
      <w:r w:rsidRPr="00287AF0">
        <w:t>O. The direction of all isotope effects in </w:t>
      </w:r>
      <w:r w:rsidRPr="00AD482D">
        <w:rPr>
          <w:b/>
          <w:bCs/>
        </w:rPr>
        <w:t>Table 1</w:t>
      </w:r>
      <w:r w:rsidRPr="00287AF0">
        <w:t> is, nevertheless, consistent with experiment (</w:t>
      </w:r>
      <w:r w:rsidRPr="00287AF0">
        <w:rPr>
          <w:i/>
          <w:iCs/>
        </w:rPr>
        <w:t>η</w:t>
      </w:r>
      <w:r w:rsidRPr="00287AF0">
        <w:t> &gt; 1 in all cases).</w:t>
      </w:r>
    </w:p>
    <w:p w14:paraId="28EC4860" w14:textId="0B18210B" w:rsidR="00287AF0" w:rsidRPr="00287AF0" w:rsidRDefault="00287AF0" w:rsidP="00287AF0">
      <w:r w:rsidRPr="00287AF0">
        <w:t>It was proposed in the literature [</w:t>
      </w:r>
      <w:r w:rsidRPr="00AD482D">
        <w:rPr>
          <w:b/>
          <w:bCs/>
        </w:rPr>
        <w:t>10</w:t>
      </w:r>
      <w:r w:rsidRPr="00287AF0">
        <w:t>,</w:t>
      </w:r>
      <w:r w:rsidRPr="00AD482D">
        <w:rPr>
          <w:b/>
          <w:bCs/>
        </w:rPr>
        <w:t>11</w:t>
      </w:r>
      <w:r w:rsidRPr="00287AF0">
        <w:t>,</w:t>
      </w:r>
      <w:r w:rsidRPr="00AD482D">
        <w:rPr>
          <w:b/>
          <w:bCs/>
        </w:rPr>
        <w:t>12</w:t>
      </w:r>
      <w:r w:rsidRPr="00287AF0">
        <w:t>,</w:t>
      </w:r>
      <w:r w:rsidRPr="00AD482D">
        <w:rPr>
          <w:b/>
          <w:bCs/>
        </w:rPr>
        <w:t>13</w:t>
      </w:r>
      <w:r w:rsidRPr="00287AF0">
        <w:t>] that </w:t>
      </w:r>
      <w:r w:rsidRPr="00287AF0">
        <w:rPr>
          <w:i/>
          <w:iCs/>
        </w:rPr>
        <w:t>η</w:t>
      </w:r>
      <w:r w:rsidRPr="00287AF0">
        <w:t xml:space="preserve">-effect is exclusively driven by symmetry (somehow), whereas the </w:t>
      </w:r>
      <m:oMath>
        <m:r>
          <m:rPr>
            <m:sty m:val="p"/>
          </m:rPr>
          <w:rPr>
            <w:rFonts w:ascii="Cambria Math" w:hAnsi="Cambria Math"/>
          </w:rPr>
          <m:t>ΔZPE</m:t>
        </m:r>
      </m:oMath>
      <w:r w:rsidRPr="00287AF0">
        <w:t xml:space="preserve"> difference of two formation channels manifests only in ζ-effect. The logic for this statement can be seen in Equations (64) and (65), where the </w:t>
      </w:r>
      <m:oMath>
        <m:r>
          <m:rPr>
            <m:sty m:val="p"/>
          </m:rPr>
          <w:rPr>
            <w:rFonts w:ascii="Cambria Math" w:hAnsi="Cambria Math"/>
          </w:rPr>
          <m:t>ΔZPE</m:t>
        </m:r>
      </m:oMath>
      <w:r w:rsidR="00D32CB1" w:rsidRPr="00287AF0">
        <w:t xml:space="preserve"> </w:t>
      </w:r>
      <w:r w:rsidRPr="00287AF0">
        <w:t>-factor cancels out, in contrast to Equations (66) and (67), where it survives. While here we came to the same analytic result, our interpretation of the origin of </w:t>
      </w:r>
      <w:r w:rsidRPr="00287AF0">
        <w:rPr>
          <w:i/>
          <w:iCs/>
        </w:rPr>
        <w:t>η</w:t>
      </w:r>
      <w:r w:rsidRPr="00287AF0">
        <w:t xml:space="preserve">-effect is different. Energies and widths of scattering resonances near the process threshold are strongly affected by the presence of </w:t>
      </w:r>
      <m:oMath>
        <m:r>
          <m:rPr>
            <m:sty m:val="p"/>
          </m:rPr>
          <w:rPr>
            <w:rFonts w:ascii="Cambria Math" w:hAnsi="Cambria Math"/>
          </w:rPr>
          <m:t>ΔZPE</m:t>
        </m:r>
      </m:oMath>
      <w:r w:rsidRPr="00287AF0">
        <w:t xml:space="preserve"> “step” on the potential energy landscape of the process, and even if the Boltzmann factor </w:t>
      </w:r>
      <m:oMath>
        <m:sSup>
          <m:sSupPr>
            <m:ctrlPr>
              <w:rPr>
                <w:rFonts w:ascii="Cambria Math" w:hAnsi="Cambria Math"/>
              </w:rPr>
            </m:ctrlPr>
          </m:sSupPr>
          <m:e>
            <m:r>
              <w:rPr>
                <w:rFonts w:ascii="Cambria Math" w:hAnsi="Cambria Math"/>
              </w:rPr>
              <m:t>e</m:t>
            </m:r>
          </m:e>
          <m:sup>
            <m:r>
              <w:rPr>
                <w:rFonts w:ascii="Cambria Math" w:hAnsi="Cambria Math"/>
              </w:rPr>
              <m:t>-</m:t>
            </m:r>
            <m:f>
              <m:fPr>
                <m:ctrlPr>
                  <w:rPr>
                    <w:rFonts w:ascii="Cambria Math" w:hAnsi="Cambria Math"/>
                    <w:i/>
                  </w:rPr>
                </m:ctrlPr>
              </m:fPr>
              <m:num>
                <m:r>
                  <m:rPr>
                    <m:sty m:val="p"/>
                  </m:rPr>
                  <w:rPr>
                    <w:rFonts w:ascii="Cambria Math" w:hAnsi="Cambria Math"/>
                  </w:rPr>
                  <m:t>ΔZPE</m:t>
                </m:r>
              </m:num>
              <m:den>
                <m:r>
                  <w:rPr>
                    <w:rFonts w:ascii="Cambria Math" w:hAnsi="Cambria Math"/>
                  </w:rPr>
                  <m:t>kT</m:t>
                </m:r>
              </m:den>
            </m:f>
          </m:sup>
        </m:sSup>
      </m:oMath>
      <w:r w:rsidRPr="00287AF0">
        <w:t> cancels out analytically in the Equations (66) and (67), the values of </w:t>
      </w:r>
      <m:oMath>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m:rPr>
                <m:sty m:val="p"/>
              </m:rPr>
              <w:rPr>
                <w:rFonts w:ascii="Cambria Math" w:hAnsi="Cambria Math"/>
              </w:rPr>
              <m:t>sym</m:t>
            </m:r>
          </m:sub>
        </m:sSub>
      </m:oMath>
      <w:r w:rsidRPr="00287AF0">
        <w:t> and </w:t>
      </w:r>
      <m:oMath>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m:rPr>
                <m:sty m:val="p"/>
              </m:rPr>
              <w:rPr>
                <w:rFonts w:ascii="Cambria Math" w:hAnsi="Cambria Math"/>
              </w:rPr>
              <m:t>asym</m:t>
            </m:r>
          </m:sub>
        </m:sSub>
      </m:oMath>
      <w:r w:rsidRPr="00287AF0">
        <w:t xml:space="preserve"> in these formulae still carry information about the spectra of scattering resonances, influenced by the </w:t>
      </w:r>
      <m:oMath>
        <m:r>
          <m:rPr>
            <m:sty m:val="p"/>
          </m:rPr>
          <w:rPr>
            <w:rFonts w:ascii="Cambria Math" w:hAnsi="Cambria Math"/>
          </w:rPr>
          <m:t>ΔZPE</m:t>
        </m:r>
      </m:oMath>
      <w:r w:rsidRPr="00287AF0">
        <w:t>. To this extent, the small </w:t>
      </w:r>
      <w:r w:rsidRPr="00287AF0">
        <w:rPr>
          <w:i/>
          <w:iCs/>
        </w:rPr>
        <w:t>η</w:t>
      </w:r>
      <w:r w:rsidRPr="00287AF0">
        <w:t xml:space="preserve">-effect seen in our results is also related to the </w:t>
      </w:r>
      <m:oMath>
        <m:r>
          <m:rPr>
            <m:sty m:val="p"/>
          </m:rPr>
          <w:rPr>
            <w:rFonts w:ascii="Cambria Math" w:hAnsi="Cambria Math"/>
          </w:rPr>
          <m:t>ΔZPE</m:t>
        </m:r>
      </m:oMath>
      <w:r w:rsidRPr="00287AF0">
        <w:t>.</w:t>
      </w:r>
    </w:p>
    <w:p w14:paraId="0BA157E8" w14:textId="77777777" w:rsidR="00287AF0" w:rsidRPr="00287AF0" w:rsidRDefault="00287AF0" w:rsidP="00707A38">
      <w:pPr>
        <w:pStyle w:val="Heading2"/>
      </w:pPr>
      <w:r w:rsidRPr="00287AF0">
        <w:t>3.3. Distribution of Resonance Widths</w:t>
      </w:r>
    </w:p>
    <w:p w14:paraId="47B60844" w14:textId="10634035" w:rsidR="00287AF0" w:rsidRPr="00287AF0" w:rsidRDefault="00287AF0" w:rsidP="00287AF0">
      <w:r w:rsidRPr="00287AF0">
        <w:t>Although all scattering resonances are included in the dynamical partition functions </w:t>
      </w:r>
      <m:oMath>
        <m:acc>
          <m:accPr>
            <m:chr m:val="̃"/>
            <m:ctrlPr>
              <w:rPr>
                <w:rFonts w:ascii="Cambria Math" w:hAnsi="Cambria Math"/>
              </w:rPr>
            </m:ctrlPr>
          </m:accPr>
          <m:e>
            <m:r>
              <w:rPr>
                <w:rFonts w:ascii="Cambria Math" w:hAnsi="Cambria Math"/>
              </w:rPr>
              <m:t>Q</m:t>
            </m:r>
          </m:e>
        </m:acc>
      </m:oMath>
      <w:r w:rsidRPr="00287AF0">
        <w:t> introduced above, different resonances exhibit different properties and those vary dramatically through the database. Therefore, dif</w:t>
      </w:r>
      <w:proofErr w:type="spellStart"/>
      <w:r w:rsidRPr="00287AF0">
        <w:t>ferent</w:t>
      </w:r>
      <w:proofErr w:type="spellEnd"/>
      <w:r w:rsidRPr="00287AF0">
        <w:t xml:space="preserve"> resonances make different contributions to the rate of the reaction, and to the resultant isotope effects. Here we will take closer look at the distribution of resonance widths </w:t>
      </w:r>
      <m:oMath>
        <m:sSub>
          <m:sSubPr>
            <m:ctrlPr>
              <w:rPr>
                <w:rFonts w:ascii="Cambria Math" w:hAnsi="Cambria Math"/>
              </w:rPr>
            </m:ctrlPr>
          </m:sSubPr>
          <m:e>
            <m:r>
              <m:rPr>
                <m:sty m:val="p"/>
              </m:rPr>
              <w:rPr>
                <w:rFonts w:ascii="Cambria Math" w:hAnsi="Cambria Math"/>
              </w:rPr>
              <m:t>Γ</m:t>
            </m:r>
          </m:e>
          <m:sub>
            <m:r>
              <w:rPr>
                <w:rFonts w:ascii="Cambria Math" w:hAnsi="Cambria Math"/>
              </w:rPr>
              <m:t>i</m:t>
            </m:r>
          </m:sub>
        </m:sSub>
      </m:oMath>
      <w:r w:rsidRPr="00287AF0">
        <w:t> that determine decay rates (inversely proportional to their lifetimes). For this purpose, it is convenient to consider zero-pressure limit, when:</w:t>
      </w:r>
    </w:p>
    <w:p w14:paraId="5DA40633" w14:textId="5D8A7AB3" w:rsidR="00707A38" w:rsidRPr="00287AF0" w:rsidRDefault="007D2B04" w:rsidP="00287AF0">
      <m:oMathPara>
        <m:oMath>
          <m:sSubSup>
            <m:sSubSupPr>
              <m:ctrlPr>
                <w:rPr>
                  <w:rFonts w:ascii="Cambria Math" w:hAnsi="Cambria Math"/>
                </w:rPr>
              </m:ctrlPr>
            </m:sSubSupPr>
            <m:e>
              <m:acc>
                <m:accPr>
                  <m:chr m:val="̃"/>
                  <m:ctrlPr>
                    <w:rPr>
                      <w:rFonts w:ascii="Cambria Math" w:hAnsi="Cambria Math"/>
                    </w:rPr>
                  </m:ctrlPr>
                </m:accPr>
                <m:e>
                  <m:r>
                    <w:rPr>
                      <w:rFonts w:ascii="Cambria Math" w:hAnsi="Cambria Math"/>
                    </w:rPr>
                    <m:t>Q</m:t>
                  </m:r>
                </m:e>
              </m:acc>
            </m:e>
            <m:sub>
              <m:r>
                <m:rPr>
                  <m:sty m:val="p"/>
                </m:rPr>
                <w:rPr>
                  <w:rFonts w:ascii="Cambria Math" w:hAnsi="Cambria Math"/>
                </w:rPr>
                <m:t>sym</m:t>
              </m:r>
            </m:sub>
            <m:sup>
              <m:r>
                <w:rPr>
                  <w:rFonts w:ascii="Cambria Math" w:hAnsi="Cambria Math"/>
                </w:rPr>
                <m:t>∘</m:t>
              </m:r>
            </m:sup>
          </m:sSubSup>
          <m:r>
            <w:rPr>
              <w:rFonts w:ascii="Cambria Math" w:hAnsi="Cambria Math"/>
            </w:rPr>
            <m:t>=</m:t>
          </m:r>
          <m:nary>
            <m:naryPr>
              <m:chr m:val="∑"/>
              <m:limLoc m:val="undOvr"/>
              <m:grow m:val="1"/>
              <m:supHide m:val="1"/>
              <m:ctrlPr>
                <w:rPr>
                  <w:rFonts w:ascii="Cambria Math" w:hAnsi="Cambria Math"/>
                </w:rPr>
              </m:ctrlPr>
            </m:naryPr>
            <m:sub>
              <m:r>
                <w:rPr>
                  <w:rFonts w:ascii="Cambria Math" w:hAnsi="Cambria Math"/>
                </w:rPr>
                <m:t>i</m:t>
              </m:r>
            </m:sub>
            <m:sup/>
            <m:e>
              <m:d>
                <m:dPr>
                  <m:ctrlPr>
                    <w:rPr>
                      <w:rFonts w:ascii="Cambria Math" w:hAnsi="Cambria Math"/>
                      <w:i/>
                    </w:rPr>
                  </m:ctrlPr>
                </m:dPr>
                <m:e>
                  <m:r>
                    <w:rPr>
                      <w:rFonts w:ascii="Cambria Math" w:hAnsi="Cambria Math"/>
                    </w:rPr>
                    <m:t>2J+1</m:t>
                  </m:r>
                </m:e>
              </m:d>
            </m:e>
          </m:nary>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sym</m:t>
              </m:r>
            </m:sup>
          </m:sSubSup>
          <m:sSup>
            <m:sSupPr>
              <m:ctrlPr>
                <w:rPr>
                  <w:rFonts w:ascii="Cambria Math" w:hAnsi="Cambria Math"/>
                </w:rPr>
              </m:ctrlPr>
            </m:sSupPr>
            <m:e>
              <m:r>
                <w:rPr>
                  <w:rFonts w:ascii="Cambria Math" w:hAnsi="Cambria Math"/>
                </w:rPr>
                <m:t>e</m:t>
              </m:r>
            </m:e>
            <m:sup>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E</m:t>
                      </m:r>
                    </m:e>
                    <m:sub>
                      <m:r>
                        <w:rPr>
                          <w:rFonts w:ascii="Cambria Math" w:hAnsi="Cambria Math"/>
                        </w:rPr>
                        <m:t>i</m:t>
                      </m:r>
                    </m:sub>
                  </m:sSub>
                </m:num>
                <m:den>
                  <m:r>
                    <w:rPr>
                      <w:rFonts w:ascii="Cambria Math" w:hAnsi="Cambria Math"/>
                    </w:rPr>
                    <m:t>kT</m:t>
                  </m:r>
                </m:den>
              </m:f>
            </m:sup>
          </m:sSup>
        </m:oMath>
      </m:oMathPara>
    </w:p>
    <w:p w14:paraId="09DE9881" w14:textId="77777777" w:rsidR="00287AF0" w:rsidRPr="00287AF0" w:rsidRDefault="00287AF0" w:rsidP="00287AF0">
      <w:r w:rsidRPr="00287AF0">
        <w:t>(68)</w:t>
      </w:r>
    </w:p>
    <w:p w14:paraId="174BC33C" w14:textId="62C1E213" w:rsidR="00707A38" w:rsidRPr="00287AF0" w:rsidRDefault="00B72DE9" w:rsidP="00287AF0">
      <m:oMathPara>
        <m:oMath>
          <m:sSubSup>
            <m:sSubSupPr>
              <m:ctrlPr>
                <w:rPr>
                  <w:rFonts w:ascii="Cambria Math" w:hAnsi="Cambria Math"/>
                </w:rPr>
              </m:ctrlPr>
            </m:sSubSupPr>
            <m:e>
              <m:acc>
                <m:accPr>
                  <m:chr m:val="̃"/>
                  <m:ctrlPr>
                    <w:rPr>
                      <w:rFonts w:ascii="Cambria Math" w:hAnsi="Cambria Math"/>
                    </w:rPr>
                  </m:ctrlPr>
                </m:accPr>
                <m:e>
                  <m:r>
                    <w:rPr>
                      <w:rFonts w:ascii="Cambria Math" w:hAnsi="Cambria Math"/>
                    </w:rPr>
                    <m:t>Q</m:t>
                  </m:r>
                </m:e>
              </m:acc>
            </m:e>
            <m:sub>
              <m:r>
                <m:rPr>
                  <m:sty m:val="p"/>
                </m:rPr>
                <w:rPr>
                  <w:rFonts w:ascii="Cambria Math" w:hAnsi="Cambria Math"/>
                </w:rPr>
                <m:t>asym</m:t>
              </m:r>
            </m:sub>
            <m:sup>
              <m:r>
                <w:rPr>
                  <w:rFonts w:ascii="Cambria Math" w:hAnsi="Cambria Math"/>
                </w:rPr>
                <m:t>∘</m:t>
              </m:r>
            </m:sup>
          </m:sSubSup>
          <m:r>
            <w:rPr>
              <w:rFonts w:ascii="Cambria Math" w:hAnsi="Cambria Math"/>
            </w:rPr>
            <m:t>=</m:t>
          </m:r>
          <m:nary>
            <m:naryPr>
              <m:chr m:val="∑"/>
              <m:limLoc m:val="undOvr"/>
              <m:grow m:val="1"/>
              <m:supHide m:val="1"/>
              <m:ctrlPr>
                <w:rPr>
                  <w:rFonts w:ascii="Cambria Math" w:hAnsi="Cambria Math"/>
                </w:rPr>
              </m:ctrlPr>
            </m:naryPr>
            <m:sub>
              <m:r>
                <w:rPr>
                  <w:rFonts w:ascii="Cambria Math" w:hAnsi="Cambria Math"/>
                </w:rPr>
                <m:t>i</m:t>
              </m:r>
            </m:sub>
            <m:sup/>
            <m:e>
              <m:d>
                <m:dPr>
                  <m:ctrlPr>
                    <w:rPr>
                      <w:rFonts w:ascii="Cambria Math" w:hAnsi="Cambria Math"/>
                      <w:i/>
                    </w:rPr>
                  </m:ctrlPr>
                </m:dPr>
                <m:e>
                  <m:r>
                    <w:rPr>
                      <w:rFonts w:ascii="Cambria Math" w:hAnsi="Cambria Math"/>
                    </w:rPr>
                    <m:t>2J+1</m:t>
                  </m:r>
                </m:e>
              </m:d>
            </m:e>
          </m:nary>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asym</m:t>
              </m:r>
            </m:sup>
          </m:sSubSup>
          <m:sSup>
            <m:sSupPr>
              <m:ctrlPr>
                <w:rPr>
                  <w:rFonts w:ascii="Cambria Math" w:hAnsi="Cambria Math"/>
                </w:rPr>
              </m:ctrlPr>
            </m:sSupPr>
            <m:e>
              <m:r>
                <w:rPr>
                  <w:rFonts w:ascii="Cambria Math" w:hAnsi="Cambria Math"/>
                </w:rPr>
                <m:t>e</m:t>
              </m:r>
            </m:e>
            <m:sup>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E</m:t>
                      </m:r>
                    </m:e>
                    <m:sub>
                      <m:r>
                        <w:rPr>
                          <w:rFonts w:ascii="Cambria Math" w:hAnsi="Cambria Math"/>
                        </w:rPr>
                        <m:t>i</m:t>
                      </m:r>
                    </m:sub>
                  </m:sSub>
                </m:num>
                <m:den>
                  <m:r>
                    <w:rPr>
                      <w:rFonts w:ascii="Cambria Math" w:hAnsi="Cambria Math"/>
                    </w:rPr>
                    <m:t>kT</m:t>
                  </m:r>
                </m:den>
              </m:f>
            </m:sup>
          </m:sSup>
        </m:oMath>
      </m:oMathPara>
    </w:p>
    <w:p w14:paraId="36CFE56C" w14:textId="77777777" w:rsidR="00287AF0" w:rsidRPr="00287AF0" w:rsidRDefault="00287AF0" w:rsidP="00287AF0">
      <w:r w:rsidRPr="00287AF0">
        <w:t>(69)</w:t>
      </w:r>
    </w:p>
    <w:p w14:paraId="60A133B4" w14:textId="77777777" w:rsidR="00287AF0" w:rsidRPr="00287AF0" w:rsidRDefault="00287AF0" w:rsidP="00287AF0">
      <w:r w:rsidRPr="00287AF0">
        <w:t>and therefore:</w:t>
      </w:r>
    </w:p>
    <w:p w14:paraId="603EBC46" w14:textId="44499A42" w:rsidR="00707A38" w:rsidRPr="00287AF0" w:rsidRDefault="00BD2471" w:rsidP="00287AF0">
      <m:oMathPara>
        <m:oMath>
          <m:sSubSup>
            <m:sSubSupPr>
              <m:ctrlPr>
                <w:rPr>
                  <w:rFonts w:ascii="Cambria Math" w:hAnsi="Cambria Math"/>
                </w:rPr>
              </m:ctrlPr>
            </m:sSubSupPr>
            <m:e>
              <m:acc>
                <m:accPr>
                  <m:chr m:val="̃"/>
                  <m:ctrlPr>
                    <w:rPr>
                      <w:rFonts w:ascii="Cambria Math" w:hAnsi="Cambria Math"/>
                    </w:rPr>
                  </m:ctrlPr>
                </m:accPr>
                <m:e>
                  <m:r>
                    <w:rPr>
                      <w:rFonts w:ascii="Cambria Math" w:hAnsi="Cambria Math"/>
                    </w:rPr>
                    <m:t>Q</m:t>
                  </m:r>
                </m:e>
              </m:acc>
            </m:e>
            <m:sub>
              <m:r>
                <m:rPr>
                  <m:sty m:val="p"/>
                </m:rPr>
                <w:rPr>
                  <w:rFonts w:ascii="Cambria Math" w:hAnsi="Cambria Math"/>
                </w:rPr>
                <m:t>tot</m:t>
              </m:r>
            </m:sub>
            <m:sup>
              <m:r>
                <w:rPr>
                  <w:rFonts w:ascii="Cambria Math" w:hAnsi="Cambria Math"/>
                </w:rPr>
                <m:t>∘</m:t>
              </m:r>
            </m:sup>
          </m:sSubSup>
          <m:r>
            <w:rPr>
              <w:rFonts w:ascii="Cambria Math" w:hAnsi="Cambria Math"/>
            </w:rPr>
            <m:t>=</m:t>
          </m:r>
          <m:nary>
            <m:naryPr>
              <m:chr m:val="∑"/>
              <m:limLoc m:val="undOvr"/>
              <m:grow m:val="1"/>
              <m:supHide m:val="1"/>
              <m:ctrlPr>
                <w:rPr>
                  <w:rFonts w:ascii="Cambria Math" w:hAnsi="Cambria Math"/>
                </w:rPr>
              </m:ctrlPr>
            </m:naryPr>
            <m:sub>
              <m:r>
                <w:rPr>
                  <w:rFonts w:ascii="Cambria Math" w:hAnsi="Cambria Math"/>
                </w:rPr>
                <m:t>i</m:t>
              </m:r>
            </m:sub>
            <m:sup/>
            <m:e>
              <m:d>
                <m:dPr>
                  <m:ctrlPr>
                    <w:rPr>
                      <w:rFonts w:ascii="Cambria Math" w:hAnsi="Cambria Math"/>
                      <w:i/>
                    </w:rPr>
                  </m:ctrlPr>
                </m:dPr>
                <m:e>
                  <m:r>
                    <w:rPr>
                      <w:rFonts w:ascii="Cambria Math" w:hAnsi="Cambria Math"/>
                    </w:rPr>
                    <m:t>2J+1</m:t>
                  </m:r>
                </m:e>
              </m:d>
            </m:e>
          </m:nary>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tot</m:t>
              </m:r>
            </m:sup>
          </m:sSubSup>
          <m:sSup>
            <m:sSupPr>
              <m:ctrlPr>
                <w:rPr>
                  <w:rFonts w:ascii="Cambria Math" w:hAnsi="Cambria Math"/>
                </w:rPr>
              </m:ctrlPr>
            </m:sSupPr>
            <m:e>
              <m:r>
                <w:rPr>
                  <w:rFonts w:ascii="Cambria Math" w:hAnsi="Cambria Math"/>
                </w:rPr>
                <m:t>e</m:t>
              </m:r>
            </m:e>
            <m:sup>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E</m:t>
                      </m:r>
                    </m:e>
                    <m:sub>
                      <m:r>
                        <w:rPr>
                          <w:rFonts w:ascii="Cambria Math" w:hAnsi="Cambria Math"/>
                        </w:rPr>
                        <m:t>i</m:t>
                      </m:r>
                    </m:sub>
                  </m:sSub>
                </m:num>
                <m:den>
                  <m:r>
                    <w:rPr>
                      <w:rFonts w:ascii="Cambria Math" w:hAnsi="Cambria Math"/>
                    </w:rPr>
                    <m:t>kT</m:t>
                  </m:r>
                </m:den>
              </m:f>
            </m:sup>
          </m:sSup>
        </m:oMath>
      </m:oMathPara>
    </w:p>
    <w:p w14:paraId="52170416" w14:textId="77777777" w:rsidR="00287AF0" w:rsidRPr="00287AF0" w:rsidRDefault="00287AF0" w:rsidP="00287AF0">
      <w:r w:rsidRPr="00287AF0">
        <w:t>(70)</w:t>
      </w:r>
    </w:p>
    <w:p w14:paraId="580494BC" w14:textId="695B2701" w:rsidR="00287AF0" w:rsidRPr="00287AF0" w:rsidRDefault="00287AF0" w:rsidP="00287AF0">
      <w:r w:rsidRPr="00287AF0">
        <w:t>The point is that in the zero-pressure limit all resonances are equally weighted, with </w:t>
      </w:r>
      <m:oMath>
        <m:sSub>
          <m:sSubPr>
            <m:ctrlPr>
              <w:rPr>
                <w:rFonts w:ascii="Cambria Math" w:hAnsi="Cambria Math"/>
              </w:rPr>
            </m:ctrlPr>
          </m:sSubPr>
          <m:e>
            <m:r>
              <w:rPr>
                <w:rFonts w:ascii="Cambria Math" w:hAnsi="Cambria Math"/>
              </w:rPr>
              <m:t>w</m:t>
            </m:r>
          </m:e>
          <m:sub>
            <m:r>
              <w:rPr>
                <w:rFonts w:ascii="Cambria Math" w:hAnsi="Cambria Math"/>
              </w:rPr>
              <m:t>i</m:t>
            </m:r>
          </m:sub>
        </m:sSub>
        <m:r>
          <w:rPr>
            <w:rFonts w:ascii="Cambria Math" w:hAnsi="Cambria Math"/>
          </w:rPr>
          <m:t>=1</m:t>
        </m:r>
      </m:oMath>
      <w:r w:rsidRPr="00287AF0">
        <w:t> regardless of the width </w:t>
      </w:r>
      <m:oMath>
        <m:sSub>
          <m:sSubPr>
            <m:ctrlPr>
              <w:rPr>
                <w:rFonts w:ascii="Cambria Math" w:hAnsi="Cambria Math"/>
              </w:rPr>
            </m:ctrlPr>
          </m:sSubPr>
          <m:e>
            <m:r>
              <m:rPr>
                <m:sty m:val="p"/>
              </m:rPr>
              <w:rPr>
                <w:rFonts w:ascii="Cambria Math" w:hAnsi="Cambria Math"/>
              </w:rPr>
              <m:t>Γ</m:t>
            </m:r>
          </m:e>
          <m:sub>
            <m:r>
              <w:rPr>
                <w:rFonts w:ascii="Cambria Math" w:hAnsi="Cambria Math"/>
              </w:rPr>
              <m:t>i</m:t>
            </m:r>
          </m:sub>
        </m:sSub>
      </m:oMath>
      <w:r w:rsidRPr="00287AF0">
        <w:t>, and therefore all resonances are made “visible” in the distribution. Moreover, if we set </w:t>
      </w:r>
      <m:oMath>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tot</m:t>
            </m:r>
          </m:sup>
        </m:sSubSup>
        <m:r>
          <w:rPr>
            <w:rFonts w:ascii="Cambria Math" w:hAnsi="Cambria Math"/>
          </w:rPr>
          <m:t>=1</m:t>
        </m:r>
      </m:oMath>
      <w:r w:rsidRPr="00287AF0">
        <w:t> (see below) then the expression for the dynamical partition function </w:t>
      </w:r>
      <m:oMath>
        <m:sSubSup>
          <m:sSubSupPr>
            <m:ctrlPr>
              <w:rPr>
                <w:rFonts w:ascii="Cambria Math" w:hAnsi="Cambria Math"/>
              </w:rPr>
            </m:ctrlPr>
          </m:sSubSupPr>
          <m:e>
            <m:acc>
              <m:accPr>
                <m:chr m:val="̃"/>
                <m:ctrlPr>
                  <w:rPr>
                    <w:rFonts w:ascii="Cambria Math" w:hAnsi="Cambria Math"/>
                  </w:rPr>
                </m:ctrlPr>
              </m:accPr>
              <m:e>
                <m:r>
                  <w:rPr>
                    <w:rFonts w:ascii="Cambria Math" w:hAnsi="Cambria Math"/>
                  </w:rPr>
                  <m:t>Q</m:t>
                </m:r>
              </m:e>
            </m:acc>
          </m:e>
          <m:sub>
            <m:r>
              <m:rPr>
                <m:sty m:val="p"/>
              </m:rPr>
              <w:rPr>
                <w:rFonts w:ascii="Cambria Math" w:hAnsi="Cambria Math"/>
              </w:rPr>
              <m:t>tot</m:t>
            </m:r>
          </m:sub>
          <m:sup>
            <m:r>
              <w:rPr>
                <w:rFonts w:ascii="Cambria Math" w:hAnsi="Cambria Math"/>
              </w:rPr>
              <m:t>∘</m:t>
            </m:r>
          </m:sup>
        </m:sSubSup>
      </m:oMath>
      <w:r w:rsidRPr="00287AF0">
        <w:t> gives just the Boltzmann average over scattering resonances including rotational degeneracies, equivalent to the statistical partition function at the transition state, </w:t>
      </w:r>
      <m:oMath>
        <m:sSup>
          <m:sSupPr>
            <m:ctrlPr>
              <w:rPr>
                <w:rFonts w:ascii="Cambria Math" w:hAnsi="Cambria Math"/>
              </w:rPr>
            </m:ctrlPr>
          </m:sSupPr>
          <m:e>
            <m:r>
              <w:rPr>
                <w:rFonts w:ascii="Cambria Math" w:hAnsi="Cambria Math"/>
              </w:rPr>
              <m:t>Q</m:t>
            </m:r>
          </m:e>
          <m:sup>
            <m:r>
              <w:rPr>
                <w:rFonts w:ascii="Cambria Math" w:hAnsi="Cambria Math"/>
              </w:rPr>
              <m:t>‡</m:t>
            </m:r>
          </m:sup>
        </m:sSup>
      </m:oMath>
      <w:r w:rsidRPr="00287AF0">
        <w:t>.</w:t>
      </w:r>
    </w:p>
    <w:p w14:paraId="42CADAD8" w14:textId="626EFD3E" w:rsidR="00287AF0" w:rsidRPr="00287AF0" w:rsidRDefault="00287AF0" w:rsidP="00287AF0">
      <w:r w:rsidRPr="00287AF0">
        <w:t>In </w:t>
      </w:r>
      <w:r w:rsidRPr="00AD482D">
        <w:rPr>
          <w:b/>
          <w:bCs/>
        </w:rPr>
        <w:t>Figure 3</w:t>
      </w:r>
      <w:r w:rsidRPr="00287AF0">
        <w:t> we plotted a “raster” image of </w:t>
      </w:r>
      <m:oMath>
        <m:sSubSup>
          <m:sSubSupPr>
            <m:ctrlPr>
              <w:rPr>
                <w:rFonts w:ascii="Cambria Math" w:hAnsi="Cambria Math"/>
              </w:rPr>
            </m:ctrlPr>
          </m:sSubSupPr>
          <m:e>
            <m:acc>
              <m:accPr>
                <m:chr m:val="̃"/>
                <m:ctrlPr>
                  <w:rPr>
                    <w:rFonts w:ascii="Cambria Math" w:hAnsi="Cambria Math"/>
                  </w:rPr>
                </m:ctrlPr>
              </m:accPr>
              <m:e>
                <m:r>
                  <w:rPr>
                    <w:rFonts w:ascii="Cambria Math" w:hAnsi="Cambria Math"/>
                  </w:rPr>
                  <m:t>Q</m:t>
                </m:r>
              </m:e>
            </m:acc>
          </m:e>
          <m:sub>
            <m:r>
              <m:rPr>
                <m:sty m:val="p"/>
              </m:rPr>
              <w:rPr>
                <w:rFonts w:ascii="Cambria Math" w:hAnsi="Cambria Math"/>
              </w:rPr>
              <m:t>tot</m:t>
            </m:r>
          </m:sub>
          <m:sup>
            <m:r>
              <w:rPr>
                <w:rFonts w:ascii="Cambria Math" w:hAnsi="Cambria Math"/>
              </w:rPr>
              <m:t>∘</m:t>
            </m:r>
          </m:sup>
        </m:sSubSup>
      </m:oMath>
      <w:r w:rsidRPr="00287AF0">
        <w:t xml:space="preserve"> versus </w:t>
      </w:r>
      <m:oMath>
        <m:r>
          <m:rPr>
            <m:sty m:val="p"/>
          </m:rPr>
          <w:rPr>
            <w:rFonts w:ascii="Cambria Math" w:hAnsi="Cambria Math"/>
          </w:rPr>
          <m:t>Γ</m:t>
        </m:r>
      </m:oMath>
      <w:r w:rsidRPr="00287AF0">
        <w:t xml:space="preserve"> (or vs. </w:t>
      </w:r>
      <m:oMath>
        <m:sSubSup>
          <m:sSubSupPr>
            <m:ctrlPr>
              <w:rPr>
                <w:rFonts w:ascii="Cambria Math" w:hAnsi="Cambria Math"/>
              </w:rPr>
            </m:ctrlPr>
          </m:sSubSupPr>
          <m:e>
            <m:r>
              <m:rPr>
                <m:sty m:val="p"/>
              </m:rPr>
              <w:rPr>
                <w:rFonts w:ascii="Cambria Math" w:hAnsi="Cambria Math"/>
              </w:rPr>
              <m:t>Γ</m:t>
            </m:r>
          </m:e>
          <m:sub>
            <m:r>
              <w:rPr>
                <w:rFonts w:ascii="Cambria Math" w:hAnsi="Cambria Math"/>
              </w:rPr>
              <m:t>i</m:t>
            </m:r>
          </m:sub>
          <m:sup>
            <m:r>
              <m:rPr>
                <m:sty m:val="p"/>
              </m:rPr>
              <w:rPr>
                <w:rFonts w:ascii="Cambria Math" w:hAnsi="Cambria Math"/>
              </w:rPr>
              <m:t>tot</m:t>
            </m:r>
          </m:sup>
        </m:sSubSup>
      </m:oMath>
      <w:r w:rsidRPr="00287AF0">
        <w:t xml:space="preserve"> to be exact) obtained as a histogram with boxes generated using a log-scale for </w:t>
      </w:r>
      <m:oMath>
        <m:r>
          <m:rPr>
            <m:sty m:val="p"/>
          </m:rPr>
          <w:rPr>
            <w:rFonts w:ascii="Cambria Math" w:hAnsi="Cambria Math"/>
          </w:rPr>
          <m:t>Γ</m:t>
        </m:r>
      </m:oMath>
      <w:r w:rsidRPr="00287AF0">
        <w:t>. This can be thought of as </w:t>
      </w:r>
      <m:oMath>
        <m:sSubSup>
          <m:sSubSupPr>
            <m:ctrlPr>
              <w:rPr>
                <w:rFonts w:ascii="Cambria Math" w:hAnsi="Cambria Math"/>
              </w:rPr>
            </m:ctrlPr>
          </m:sSubSupPr>
          <m:e>
            <m:acc>
              <m:accPr>
                <m:chr m:val="̃"/>
                <m:ctrlPr>
                  <w:rPr>
                    <w:rFonts w:ascii="Cambria Math" w:hAnsi="Cambria Math"/>
                  </w:rPr>
                </m:ctrlPr>
              </m:accPr>
              <m:e>
                <m:r>
                  <w:rPr>
                    <w:rFonts w:ascii="Cambria Math" w:hAnsi="Cambria Math"/>
                  </w:rPr>
                  <m:t>Q</m:t>
                </m:r>
              </m:e>
            </m:acc>
          </m:e>
          <m:sub>
            <m:r>
              <m:rPr>
                <m:sty m:val="p"/>
              </m:rPr>
              <w:rPr>
                <w:rFonts w:ascii="Cambria Math" w:hAnsi="Cambria Math"/>
              </w:rPr>
              <m:t>tot</m:t>
            </m:r>
          </m:sub>
          <m:sup>
            <m:r>
              <w:rPr>
                <w:rFonts w:ascii="Cambria Math" w:hAnsi="Cambria Math"/>
              </w:rPr>
              <m:t>∘</m:t>
            </m:r>
          </m:sup>
        </m:sSubSup>
      </m:oMath>
      <w:r w:rsidRPr="00287AF0">
        <w:t xml:space="preserve"> stretched along the </w:t>
      </w:r>
      <m:oMath>
        <m:r>
          <m:rPr>
            <m:sty m:val="p"/>
          </m:rPr>
          <w:rPr>
            <w:rFonts w:ascii="Cambria Math" w:hAnsi="Cambria Math"/>
          </w:rPr>
          <m:t>Γ</m:t>
        </m:r>
      </m:oMath>
      <w:r w:rsidR="00CD28C8" w:rsidRPr="00287AF0">
        <w:t xml:space="preserve"> </w:t>
      </w:r>
      <w:r w:rsidRPr="00287AF0">
        <w:t>-axis (such that the sum of values in the histogram boxes gives the total value of </w:t>
      </w:r>
      <m:oMath>
        <m:sSubSup>
          <m:sSubSupPr>
            <m:ctrlPr>
              <w:rPr>
                <w:rFonts w:ascii="Cambria Math" w:hAnsi="Cambria Math"/>
              </w:rPr>
            </m:ctrlPr>
          </m:sSubSupPr>
          <m:e>
            <m:acc>
              <m:accPr>
                <m:chr m:val="̃"/>
                <m:ctrlPr>
                  <w:rPr>
                    <w:rFonts w:ascii="Cambria Math" w:hAnsi="Cambria Math"/>
                  </w:rPr>
                </m:ctrlPr>
              </m:accPr>
              <m:e>
                <m:r>
                  <w:rPr>
                    <w:rFonts w:ascii="Cambria Math" w:hAnsi="Cambria Math"/>
                  </w:rPr>
                  <m:t>Q</m:t>
                </m:r>
              </m:e>
            </m:acc>
          </m:e>
          <m:sub>
            <m:r>
              <m:rPr>
                <m:sty m:val="p"/>
              </m:rPr>
              <w:rPr>
                <w:rFonts w:ascii="Cambria Math" w:hAnsi="Cambria Math"/>
              </w:rPr>
              <m:t>tot</m:t>
            </m:r>
          </m:sub>
          <m:sup>
            <m:r>
              <w:rPr>
                <w:rFonts w:ascii="Cambria Math" w:hAnsi="Cambria Math"/>
              </w:rPr>
              <m:t>∘</m:t>
            </m:r>
          </m:sup>
        </m:sSubSup>
      </m:oMath>
      <w:r w:rsidRPr="00287AF0">
        <w:t> in the equation above). The range of resonance widths in this picture is eight-orders-of-magnitude broad, from the extremely narrow (Γ ~ 10</w:t>
      </w:r>
      <w:r w:rsidRPr="00287AF0">
        <w:rPr>
          <w:vertAlign w:val="superscript"/>
        </w:rPr>
        <w:t>−6</w:t>
      </w:r>
      <w:r w:rsidRPr="00287AF0">
        <w:t> cm</w:t>
      </w:r>
      <w:r w:rsidRPr="00287AF0">
        <w:rPr>
          <w:vertAlign w:val="superscript"/>
        </w:rPr>
        <w:t>−1</w:t>
      </w:r>
      <w:r w:rsidRPr="00287AF0">
        <w:t>) to very broad resonances (Γ ~ 100 cm</w:t>
      </w:r>
      <w:r w:rsidRPr="00287AF0">
        <w:rPr>
          <w:vertAlign w:val="superscript"/>
        </w:rPr>
        <w:t>−1</w:t>
      </w:r>
      <w:r w:rsidRPr="00287AF0">
        <w:t>). The data for singly and doubly substituted molecules are presented in </w:t>
      </w:r>
      <w:r w:rsidRPr="00AD482D">
        <w:rPr>
          <w:b/>
          <w:bCs/>
        </w:rPr>
        <w:t>Figure 3</w:t>
      </w:r>
      <w:r w:rsidRPr="00287AF0">
        <w:t xml:space="preserve"> separately, but they look very </w:t>
      </w:r>
      <w:proofErr w:type="gramStart"/>
      <w:r w:rsidRPr="00287AF0">
        <w:t>similar</w:t>
      </w:r>
      <w:proofErr w:type="gramEnd"/>
      <w:r w:rsidRPr="00287AF0">
        <w:t xml:space="preserve"> and both indicate that the overall distribution is likely to represent a convolution of three components that dominate in three different ranges of </w:t>
      </w:r>
      <m:oMath>
        <m:r>
          <m:rPr>
            <m:sty m:val="p"/>
          </m:rPr>
          <w:rPr>
            <w:rFonts w:ascii="Cambria Math" w:hAnsi="Cambria Math"/>
          </w:rPr>
          <m:t>Γ</m:t>
        </m:r>
      </m:oMath>
      <w:r w:rsidRPr="00287AF0">
        <w:t>.</w:t>
      </w:r>
    </w:p>
    <w:p w14:paraId="7B3A758B" w14:textId="13E40778" w:rsidR="00287AF0" w:rsidRPr="00287AF0" w:rsidRDefault="00287AF0" w:rsidP="004E08C8">
      <w:pPr>
        <w:pStyle w:val="NoSpacing"/>
      </w:pPr>
      <w:r w:rsidRPr="00287AF0">
        <w:rPr>
          <w:noProof/>
        </w:rPr>
        <w:drawing>
          <wp:inline distT="0" distB="0" distL="0" distR="0" wp14:anchorId="2FD7DE0E" wp14:editId="1CC49DE0">
            <wp:extent cx="3657600" cy="2734056"/>
            <wp:effectExtent l="0" t="0" r="0" b="9525"/>
            <wp:docPr id="6" name="Picture 6" descr="Molecules 26 01289 g003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olecules 26 01289 g003 55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2734056"/>
                    </a:xfrm>
                    <a:prstGeom prst="rect">
                      <a:avLst/>
                    </a:prstGeom>
                    <a:noFill/>
                    <a:ln>
                      <a:noFill/>
                    </a:ln>
                  </pic:spPr>
                </pic:pic>
              </a:graphicData>
            </a:graphic>
          </wp:inline>
        </w:drawing>
      </w:r>
    </w:p>
    <w:p w14:paraId="0CBC56FA" w14:textId="77777777" w:rsidR="00287AF0" w:rsidRDefault="00287AF0" w:rsidP="004E08C8">
      <w:pPr>
        <w:pStyle w:val="NoSpacing"/>
      </w:pPr>
      <w:r w:rsidRPr="00287AF0">
        <w:rPr>
          <w:b/>
          <w:bCs/>
        </w:rPr>
        <w:t>Figure 3.</w:t>
      </w:r>
      <w:r w:rsidRPr="00287AF0">
        <w:t> Distribution of resonance widths in singly (</w:t>
      </w:r>
      <w:r w:rsidRPr="00287AF0">
        <w:rPr>
          <w:b/>
          <w:bCs/>
        </w:rPr>
        <w:t>grey</w:t>
      </w:r>
      <w:r w:rsidRPr="00287AF0">
        <w:t>) and doubly (</w:t>
      </w:r>
      <w:r w:rsidRPr="00287AF0">
        <w:rPr>
          <w:b/>
          <w:bCs/>
        </w:rPr>
        <w:t>orange</w:t>
      </w:r>
      <w:r w:rsidRPr="00287AF0">
        <w:t>) substituted ozone molecules. Three ranges with different trends can be identified.</w:t>
      </w:r>
    </w:p>
    <w:p w14:paraId="3B2B6C8E" w14:textId="77777777" w:rsidR="004E08C8" w:rsidRPr="00287AF0" w:rsidRDefault="004E08C8" w:rsidP="00287AF0"/>
    <w:p w14:paraId="30616380" w14:textId="77777777" w:rsidR="00287AF0" w:rsidRPr="00287AF0" w:rsidRDefault="00287AF0" w:rsidP="00287AF0">
      <w:r w:rsidRPr="00287AF0">
        <w:t xml:space="preserve">Fortunately, our theory gives an efficient, </w:t>
      </w:r>
      <w:proofErr w:type="gramStart"/>
      <w:r w:rsidRPr="00287AF0">
        <w:t>simple</w:t>
      </w:r>
      <w:proofErr w:type="gramEnd"/>
      <w:r w:rsidRPr="00287AF0">
        <w:t xml:space="preserve"> and rigorous method for “deconvolution” of this distribution, by splitting the total probability, and the total partition function onto three contributions:</w:t>
      </w:r>
    </w:p>
    <w:p w14:paraId="20B29F76" w14:textId="76465054" w:rsidR="004E08C8" w:rsidRPr="00287AF0" w:rsidRDefault="008A595C" w:rsidP="00287AF0">
      <m:oMathPara>
        <m:oMath>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tot</m:t>
              </m:r>
            </m:sup>
          </m:sSubSup>
          <m:r>
            <w:rPr>
              <w:rFonts w:ascii="Cambria Math" w:hAnsi="Cambria Math"/>
            </w:rPr>
            <m:t>=1=</m:t>
          </m:r>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cov</m:t>
              </m:r>
            </m:sup>
          </m:sSubSup>
          <m:r>
            <w:rPr>
              <w:rFonts w:ascii="Cambria Math" w:hAnsi="Cambria Math"/>
            </w:rPr>
            <m:t>+</m:t>
          </m:r>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vdw</m:t>
              </m:r>
            </m:sup>
          </m:sSubSup>
          <m:r>
            <w:rPr>
              <w:rFonts w:ascii="Cambria Math" w:hAnsi="Cambria Math"/>
            </w:rPr>
            <m:t>+</m:t>
          </m:r>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free</m:t>
              </m:r>
            </m:sup>
          </m:sSubSup>
        </m:oMath>
      </m:oMathPara>
    </w:p>
    <w:p w14:paraId="2473F117" w14:textId="158A190A" w:rsidR="004E08C8" w:rsidRPr="00287AF0" w:rsidRDefault="00EC47BF" w:rsidP="00287AF0">
      <m:oMathPara>
        <m:oMath>
          <m:sSubSup>
            <m:sSubSupPr>
              <m:ctrlPr>
                <w:rPr>
                  <w:rFonts w:ascii="Cambria Math" w:hAnsi="Cambria Math"/>
                </w:rPr>
              </m:ctrlPr>
            </m:sSubSupPr>
            <m:e>
              <m:acc>
                <m:accPr>
                  <m:chr m:val="̃"/>
                  <m:ctrlPr>
                    <w:rPr>
                      <w:rFonts w:ascii="Cambria Math" w:hAnsi="Cambria Math"/>
                    </w:rPr>
                  </m:ctrlPr>
                </m:accPr>
                <m:e>
                  <m:r>
                    <w:rPr>
                      <w:rFonts w:ascii="Cambria Math" w:hAnsi="Cambria Math"/>
                    </w:rPr>
                    <m:t>Q</m:t>
                  </m:r>
                </m:e>
              </m:acc>
            </m:e>
            <m:sub>
              <m:r>
                <m:rPr>
                  <m:sty m:val="p"/>
                </m:rPr>
                <w:rPr>
                  <w:rFonts w:ascii="Cambria Math" w:hAnsi="Cambria Math"/>
                </w:rPr>
                <m:t>tot</m:t>
              </m:r>
            </m:sub>
            <m:sup>
              <m:r>
                <w:rPr>
                  <w:rFonts w:ascii="Cambria Math" w:hAnsi="Cambria Math"/>
                </w:rPr>
                <m:t>∘</m:t>
              </m:r>
            </m:sup>
          </m:sSubSup>
          <m:r>
            <w:rPr>
              <w:rFonts w:ascii="Cambria Math" w:hAnsi="Cambria Math"/>
            </w:rPr>
            <m:t>=</m:t>
          </m:r>
          <m:sSubSup>
            <m:sSubSupPr>
              <m:ctrlPr>
                <w:rPr>
                  <w:rFonts w:ascii="Cambria Math" w:hAnsi="Cambria Math"/>
                </w:rPr>
              </m:ctrlPr>
            </m:sSubSupPr>
            <m:e>
              <m:acc>
                <m:accPr>
                  <m:chr m:val="̃"/>
                  <m:ctrlPr>
                    <w:rPr>
                      <w:rFonts w:ascii="Cambria Math" w:hAnsi="Cambria Math"/>
                    </w:rPr>
                  </m:ctrlPr>
                </m:accPr>
                <m:e>
                  <m:r>
                    <w:rPr>
                      <w:rFonts w:ascii="Cambria Math" w:hAnsi="Cambria Math"/>
                    </w:rPr>
                    <m:t>Q</m:t>
                  </m:r>
                </m:e>
              </m:acc>
            </m:e>
            <m:sub>
              <m:r>
                <m:rPr>
                  <m:sty m:val="p"/>
                </m:rPr>
                <w:rPr>
                  <w:rFonts w:ascii="Cambria Math" w:hAnsi="Cambria Math"/>
                </w:rPr>
                <m:t>cov</m:t>
              </m:r>
            </m:sub>
            <m:sup>
              <m:r>
                <w:rPr>
                  <w:rFonts w:ascii="Cambria Math" w:hAnsi="Cambria Math"/>
                </w:rPr>
                <m:t>∘</m:t>
              </m:r>
            </m:sup>
          </m:sSubSup>
          <m:r>
            <w:rPr>
              <w:rFonts w:ascii="Cambria Math" w:hAnsi="Cambria Math"/>
            </w:rPr>
            <m:t>+</m:t>
          </m:r>
          <m:sSubSup>
            <m:sSubSupPr>
              <m:ctrlPr>
                <w:rPr>
                  <w:rFonts w:ascii="Cambria Math" w:hAnsi="Cambria Math"/>
                </w:rPr>
              </m:ctrlPr>
            </m:sSubSupPr>
            <m:e>
              <m:acc>
                <m:accPr>
                  <m:chr m:val="̃"/>
                  <m:ctrlPr>
                    <w:rPr>
                      <w:rFonts w:ascii="Cambria Math" w:hAnsi="Cambria Math"/>
                    </w:rPr>
                  </m:ctrlPr>
                </m:accPr>
                <m:e>
                  <m:r>
                    <w:rPr>
                      <w:rFonts w:ascii="Cambria Math" w:hAnsi="Cambria Math"/>
                    </w:rPr>
                    <m:t>Q</m:t>
                  </m:r>
                </m:e>
              </m:acc>
            </m:e>
            <m:sub>
              <m:r>
                <m:rPr>
                  <m:sty m:val="p"/>
                </m:rPr>
                <w:rPr>
                  <w:rFonts w:ascii="Cambria Math" w:hAnsi="Cambria Math"/>
                </w:rPr>
                <m:t>vdw</m:t>
              </m:r>
            </m:sub>
            <m:sup>
              <m:r>
                <w:rPr>
                  <w:rFonts w:ascii="Cambria Math" w:hAnsi="Cambria Math"/>
                </w:rPr>
                <m:t>∘</m:t>
              </m:r>
            </m:sup>
          </m:sSubSup>
          <m:r>
            <w:rPr>
              <w:rFonts w:ascii="Cambria Math" w:hAnsi="Cambria Math"/>
            </w:rPr>
            <m:t>+</m:t>
          </m:r>
          <m:sSubSup>
            <m:sSubSupPr>
              <m:ctrlPr>
                <w:rPr>
                  <w:rFonts w:ascii="Cambria Math" w:hAnsi="Cambria Math"/>
                </w:rPr>
              </m:ctrlPr>
            </m:sSubSupPr>
            <m:e>
              <m:acc>
                <m:accPr>
                  <m:chr m:val="̃"/>
                  <m:ctrlPr>
                    <w:rPr>
                      <w:rFonts w:ascii="Cambria Math" w:hAnsi="Cambria Math"/>
                    </w:rPr>
                  </m:ctrlPr>
                </m:accPr>
                <m:e>
                  <m:r>
                    <w:rPr>
                      <w:rFonts w:ascii="Cambria Math" w:hAnsi="Cambria Math"/>
                    </w:rPr>
                    <m:t>Q</m:t>
                  </m:r>
                </m:e>
              </m:acc>
            </m:e>
            <m:sub>
              <m:r>
                <m:rPr>
                  <m:sty m:val="p"/>
                </m:rPr>
                <w:rPr>
                  <w:rFonts w:ascii="Cambria Math" w:hAnsi="Cambria Math"/>
                </w:rPr>
                <m:t>free</m:t>
              </m:r>
            </m:sub>
            <m:sup>
              <m:r>
                <w:rPr>
                  <w:rFonts w:ascii="Cambria Math" w:hAnsi="Cambria Math"/>
                </w:rPr>
                <m:t>∘</m:t>
              </m:r>
            </m:sup>
          </m:sSubSup>
        </m:oMath>
      </m:oMathPara>
    </w:p>
    <w:p w14:paraId="151F981C" w14:textId="38A9AEBE" w:rsidR="00287AF0" w:rsidRPr="00287AF0" w:rsidRDefault="00287AF0" w:rsidP="00287AF0">
      <w:r w:rsidRPr="00287AF0">
        <w:t>Indeed, the PES of ozone (see </w:t>
      </w:r>
      <w:r w:rsidRPr="00AD482D">
        <w:rPr>
          <w:b/>
          <w:bCs/>
        </w:rPr>
        <w:t>Figure 1</w:t>
      </w:r>
      <w:r w:rsidRPr="00287AF0">
        <w:t>) contains three deep localized wells that correspond to stable symmetric and asymmetric ozone molecules with covalent bonds. Those wells are connected, through relatively tight transition states (bottlenecks in </w:t>
      </w:r>
      <w:r w:rsidRPr="00AD482D">
        <w:rPr>
          <w:b/>
          <w:bCs/>
        </w:rPr>
        <w:t>Figure 1</w:t>
      </w:r>
      <w:r w:rsidRPr="00287AF0">
        <w:t>), to the shallow and broad plateaus that host the weakly-bound van der Waals complexes adjacent to the channels [</w:t>
      </w:r>
      <w:r w:rsidRPr="00AD482D">
        <w:rPr>
          <w:b/>
          <w:bCs/>
        </w:rPr>
        <w:t>35</w:t>
      </w:r>
      <w:r w:rsidRPr="00287AF0">
        <w:t>,</w:t>
      </w:r>
      <w:r w:rsidRPr="00AD482D">
        <w:rPr>
          <w:b/>
          <w:bCs/>
        </w:rPr>
        <w:t>36</w:t>
      </w:r>
      <w:r w:rsidRPr="00287AF0">
        <w:t>,</w:t>
      </w:r>
      <w:r w:rsidRPr="00AD482D">
        <w:rPr>
          <w:b/>
          <w:bCs/>
        </w:rPr>
        <w:t>37</w:t>
      </w:r>
      <w:r w:rsidRPr="00287AF0">
        <w:t>]. So, for each resonance state, one can define four probabilities obtained by integrating its wavefunction over four regions of the PES indicated in </w:t>
      </w:r>
      <w:r w:rsidRPr="00AD482D">
        <w:rPr>
          <w:b/>
          <w:bCs/>
        </w:rPr>
        <w:t>Figure 4</w:t>
      </w:r>
      <w:r w:rsidRPr="00287AF0">
        <w:t> by different colors: </w:t>
      </w:r>
      <m:oMath>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sym</m:t>
            </m:r>
          </m:sup>
        </m:sSubSup>
      </m:oMath>
      <w:r w:rsidRPr="00287AF0">
        <w:t>, </w:t>
      </w:r>
      <m:oMath>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asym</m:t>
            </m:r>
          </m:sup>
        </m:sSubSup>
      </m:oMath>
      <w:r w:rsidRPr="00287AF0">
        <w:t>, </w:t>
      </w:r>
      <m:oMath>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vdw</m:t>
            </m:r>
            <m:r>
              <w:rPr>
                <w:rFonts w:ascii="Cambria Math" w:hAnsi="Cambria Math"/>
              </w:rPr>
              <m:t>1</m:t>
            </m:r>
          </m:sup>
        </m:sSubSup>
      </m:oMath>
      <w:r w:rsidRPr="00287AF0">
        <w:t>, </w:t>
      </w:r>
      <m:oMath>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vdw</m:t>
            </m:r>
            <m:r>
              <w:rPr>
                <w:rFonts w:ascii="Cambria Math" w:hAnsi="Cambria Math"/>
              </w:rPr>
              <m:t>2</m:t>
            </m:r>
          </m:sup>
        </m:sSubSup>
      </m:oMath>
      <w:r w:rsidRPr="00287AF0">
        <w:t>. The total covalent probability is </w:t>
      </w:r>
      <m:oMath>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cov</m:t>
            </m:r>
          </m:sup>
        </m:sSubSup>
        <m:r>
          <w:rPr>
            <w:rFonts w:ascii="Cambria Math" w:hAnsi="Cambria Math"/>
          </w:rPr>
          <m:t>=</m:t>
        </m:r>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sym</m:t>
            </m:r>
          </m:sup>
        </m:sSubSup>
        <m:r>
          <w:rPr>
            <w:rFonts w:ascii="Cambria Math" w:hAnsi="Cambria Math"/>
          </w:rPr>
          <m:t>+</m:t>
        </m:r>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asym</m:t>
            </m:r>
          </m:sup>
        </m:sSubSup>
      </m:oMath>
      <w:r w:rsidRPr="00287AF0">
        <w:t>, while the t</w:t>
      </w:r>
      <w:proofErr w:type="spellStart"/>
      <w:r w:rsidRPr="00287AF0">
        <w:t>otal</w:t>
      </w:r>
      <w:proofErr w:type="spellEnd"/>
      <w:r w:rsidRPr="00287AF0">
        <w:t xml:space="preserve"> van der Waals probability is </w:t>
      </w:r>
      <m:oMath>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vdw</m:t>
            </m:r>
          </m:sup>
        </m:sSubSup>
        <m:r>
          <w:rPr>
            <w:rFonts w:ascii="Cambria Math" w:hAnsi="Cambria Math"/>
          </w:rPr>
          <m:t>=</m:t>
        </m:r>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vdw</m:t>
            </m:r>
            <m:r>
              <w:rPr>
                <w:rFonts w:ascii="Cambria Math" w:hAnsi="Cambria Math"/>
              </w:rPr>
              <m:t>1</m:t>
            </m:r>
          </m:sup>
        </m:sSubSup>
        <m:r>
          <w:rPr>
            <w:rFonts w:ascii="Cambria Math" w:hAnsi="Cambria Math"/>
          </w:rPr>
          <m:t>+</m:t>
        </m:r>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vdw</m:t>
            </m:r>
            <m:r>
              <w:rPr>
                <w:rFonts w:ascii="Cambria Math" w:hAnsi="Cambria Math"/>
              </w:rPr>
              <m:t>2</m:t>
            </m:r>
          </m:sup>
        </m:sSubSup>
      </m:oMath>
      <w:r w:rsidRPr="00287AF0">
        <w:t>. From these data, we can also compute, for each resonance state, the probability of wavefunction in the asymptotic range of the PES: </w:t>
      </w:r>
      <m:oMath>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free</m:t>
            </m:r>
          </m:sup>
        </m:sSubSup>
        <m:r>
          <w:rPr>
            <w:rFonts w:ascii="Cambria Math" w:hAnsi="Cambria Math"/>
          </w:rPr>
          <m:t>=1-</m:t>
        </m:r>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vdw</m:t>
            </m:r>
          </m:sup>
        </m:sSubSup>
        <m:r>
          <w:rPr>
            <w:rFonts w:ascii="Cambria Math" w:hAnsi="Cambria Math"/>
          </w:rPr>
          <m:t>-</m:t>
        </m:r>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cov</m:t>
            </m:r>
          </m:sup>
        </m:sSubSup>
      </m:oMath>
      <w:r w:rsidRPr="00287AF0">
        <w:t xml:space="preserve">, associated with the unbound (scattering) state behavior, </w:t>
      </w:r>
      <w:proofErr w:type="gramStart"/>
      <w:r w:rsidRPr="00287AF0">
        <w:t>similar to</w:t>
      </w:r>
      <w:proofErr w:type="gramEnd"/>
      <w:r w:rsidRPr="00287AF0">
        <w:t xml:space="preserve"> free particle states. These data are available for all resonances of ozone in our database.</w:t>
      </w:r>
    </w:p>
    <w:p w14:paraId="781B3120" w14:textId="35791FED" w:rsidR="00287AF0" w:rsidRPr="00287AF0" w:rsidRDefault="00287AF0" w:rsidP="00F12786">
      <w:pPr>
        <w:pStyle w:val="NoSpacing"/>
      </w:pPr>
      <w:r w:rsidRPr="00287AF0">
        <w:rPr>
          <w:noProof/>
        </w:rPr>
        <w:drawing>
          <wp:inline distT="0" distB="0" distL="0" distR="0" wp14:anchorId="076E8765" wp14:editId="5AD47778">
            <wp:extent cx="3657600" cy="3721608"/>
            <wp:effectExtent l="0" t="0" r="0" b="0"/>
            <wp:docPr id="5" name="Picture 5" descr="Molecules 26 01289 g004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olecules 26 01289 g004 55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57600" cy="3721608"/>
                    </a:xfrm>
                    <a:prstGeom prst="rect">
                      <a:avLst/>
                    </a:prstGeom>
                    <a:noFill/>
                    <a:ln>
                      <a:noFill/>
                    </a:ln>
                  </pic:spPr>
                </pic:pic>
              </a:graphicData>
            </a:graphic>
          </wp:inline>
        </w:drawing>
      </w:r>
    </w:p>
    <w:p w14:paraId="4638995A" w14:textId="0BFDE214" w:rsidR="00287AF0" w:rsidRDefault="00287AF0" w:rsidP="00F12786">
      <w:pPr>
        <w:pStyle w:val="NoSpacing"/>
      </w:pPr>
      <w:r w:rsidRPr="00287AF0">
        <w:rPr>
          <w:b/>
          <w:bCs/>
        </w:rPr>
        <w:t>Figure 4.</w:t>
      </w:r>
      <w:r w:rsidRPr="00287AF0">
        <w:t> Four areas on the PES of ozone that correspond to the covalent wells with symmetric (green) and asymmetric (blue) ozone molecules, and two types of van der Waals complexes (light blue and light green). Hyper-angle </w:t>
      </w:r>
      <w:r w:rsidRPr="00287AF0">
        <w:rPr>
          <w:i/>
          <w:iCs/>
        </w:rPr>
        <w:t>φ</w:t>
      </w:r>
      <w:r w:rsidRPr="00287AF0">
        <w:t> is used to differentiate between symmetric and asymmetric ozone molecules. Dotted lines are drawn through transition state regions seen as “bottlenecks” in this figure. This diagram can be compared to both frames of </w:t>
      </w:r>
      <w:r w:rsidRPr="00AD482D">
        <w:rPr>
          <w:b/>
          <w:bCs/>
        </w:rPr>
        <w:t>Figure 1</w:t>
      </w:r>
      <w:r w:rsidRPr="00287AF0">
        <w:t>.</w:t>
      </w:r>
    </w:p>
    <w:p w14:paraId="02A33592" w14:textId="77777777" w:rsidR="00F12786" w:rsidRPr="00287AF0" w:rsidRDefault="00F12786" w:rsidP="00287AF0"/>
    <w:p w14:paraId="045FEDF0" w14:textId="52A4A976" w:rsidR="00287AF0" w:rsidRPr="00287AF0" w:rsidRDefault="00287AF0" w:rsidP="00287AF0">
      <w:r w:rsidRPr="00287AF0">
        <w:t>The results of such deconvolution are presented separately for singly substituted case and for doubly substituted case in the two frames of </w:t>
      </w:r>
      <w:r w:rsidRPr="00AD482D">
        <w:rPr>
          <w:b/>
          <w:bCs/>
        </w:rPr>
        <w:t>Figure 5</w:t>
      </w:r>
      <w:r w:rsidRPr="00287AF0">
        <w:t>. We see that in the log-log scale used for these histograms, the distribution of resonance width for the covalent well of ozone (red) covers a broad range below Γ ~ 1 cm</w:t>
      </w:r>
      <w:r w:rsidRPr="00287AF0">
        <w:rPr>
          <w:vertAlign w:val="superscript"/>
        </w:rPr>
        <w:t>−1</w:t>
      </w:r>
      <w:r w:rsidRPr="00287AF0">
        <w:t>, growing roughly linearly, but then drops quickly. At about the same point the number of free-particle states (blue) starts growing rapidly into the range Γ &gt; 1 cm</w:t>
      </w:r>
      <w:r w:rsidRPr="00287AF0">
        <w:rPr>
          <w:vertAlign w:val="superscript"/>
        </w:rPr>
        <w:t>−1</w:t>
      </w:r>
      <w:r w:rsidRPr="00287AF0">
        <w:t>. The distribution of the van der Waals states (green) overlaps with both distributions, covering the range Γ &gt; 10</w:t>
      </w:r>
      <w:r w:rsidRPr="00287AF0">
        <w:rPr>
          <w:vertAlign w:val="superscript"/>
        </w:rPr>
        <w:t>−3</w:t>
      </w:r>
      <w:r w:rsidRPr="00287AF0">
        <w:t> cm</w:t>
      </w:r>
      <w:r w:rsidRPr="00287AF0">
        <w:rPr>
          <w:vertAlign w:val="superscript"/>
        </w:rPr>
        <w:t>−1</w:t>
      </w:r>
      <w:r w:rsidRPr="00287AF0">
        <w:t xml:space="preserve">, </w:t>
      </w:r>
      <w:proofErr w:type="gramStart"/>
      <w:r w:rsidRPr="00287AF0">
        <w:t>and also</w:t>
      </w:r>
      <w:proofErr w:type="gramEnd"/>
      <w:r w:rsidRPr="00287AF0">
        <w:t xml:space="preserve"> growing roughly linearly in this log-log plot.</w:t>
      </w:r>
    </w:p>
    <w:p w14:paraId="6F37B44D" w14:textId="04F51AC3" w:rsidR="00287AF0" w:rsidRPr="00287AF0" w:rsidRDefault="00287AF0" w:rsidP="00633B60">
      <w:pPr>
        <w:pStyle w:val="NoSpacing"/>
      </w:pPr>
      <w:r w:rsidRPr="00287AF0">
        <w:rPr>
          <w:noProof/>
        </w:rPr>
        <w:drawing>
          <wp:inline distT="0" distB="0" distL="0" distR="0" wp14:anchorId="364CEC08" wp14:editId="32A1D1A9">
            <wp:extent cx="3509010" cy="5241925"/>
            <wp:effectExtent l="0" t="0" r="0" b="0"/>
            <wp:docPr id="4" name="Picture 4" descr="Molecules 26 01289 g005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olecules 26 01289 g005 55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509010" cy="5241925"/>
                    </a:xfrm>
                    <a:prstGeom prst="rect">
                      <a:avLst/>
                    </a:prstGeom>
                    <a:noFill/>
                    <a:ln>
                      <a:noFill/>
                    </a:ln>
                  </pic:spPr>
                </pic:pic>
              </a:graphicData>
            </a:graphic>
          </wp:inline>
        </w:drawing>
      </w:r>
    </w:p>
    <w:p w14:paraId="470CDCF1" w14:textId="3F2B4C20" w:rsidR="00287AF0" w:rsidRDefault="00287AF0" w:rsidP="00633B60">
      <w:pPr>
        <w:pStyle w:val="NoSpacing"/>
      </w:pPr>
      <w:r w:rsidRPr="00287AF0">
        <w:rPr>
          <w:b/>
          <w:bCs/>
        </w:rPr>
        <w:t>Figure 5.</w:t>
      </w:r>
      <w:r w:rsidRPr="00287AF0">
        <w:t> Deconvolution of the overall distribution of resonance widths (given in </w:t>
      </w:r>
      <w:r w:rsidRPr="00AD482D">
        <w:rPr>
          <w:b/>
          <w:bCs/>
        </w:rPr>
        <w:t>Figure 3</w:t>
      </w:r>
      <w:r w:rsidRPr="00287AF0">
        <w:t>) onto three components that correspond to the covalent well states (</w:t>
      </w:r>
      <w:r w:rsidRPr="00287AF0">
        <w:rPr>
          <w:b/>
          <w:bCs/>
        </w:rPr>
        <w:t>red</w:t>
      </w:r>
      <w:r w:rsidRPr="00287AF0">
        <w:t>), van der Waals plateau states (</w:t>
      </w:r>
      <w:r w:rsidRPr="00287AF0">
        <w:rPr>
          <w:b/>
          <w:bCs/>
        </w:rPr>
        <w:t>green</w:t>
      </w:r>
      <w:r w:rsidRPr="00287AF0">
        <w:t>), and the continuum states in the asymptotic region of the PES (</w:t>
      </w:r>
      <w:r w:rsidRPr="00287AF0">
        <w:rPr>
          <w:b/>
          <w:bCs/>
        </w:rPr>
        <w:t>blue</w:t>
      </w:r>
      <w:r w:rsidRPr="00287AF0">
        <w:t>). The cases of single and double isotopic substitutions are given in the upper and lower frames, respectively.</w:t>
      </w:r>
    </w:p>
    <w:p w14:paraId="105B7528" w14:textId="77777777" w:rsidR="00633B60" w:rsidRPr="00287AF0" w:rsidRDefault="00633B60" w:rsidP="00287AF0"/>
    <w:p w14:paraId="5384E3D7" w14:textId="09389442" w:rsidR="00287AF0" w:rsidRPr="00287AF0" w:rsidRDefault="00287AF0" w:rsidP="00287AF0">
      <w:r w:rsidRPr="00287AF0">
        <w:t>Using </w:t>
      </w:r>
      <m:oMath>
        <m:sSubSup>
          <m:sSubSupPr>
            <m:ctrlPr>
              <w:rPr>
                <w:rFonts w:ascii="Cambria Math" w:hAnsi="Cambria Math"/>
              </w:rPr>
            </m:ctrlPr>
          </m:sSubSupPr>
          <m:e>
            <m:acc>
              <m:accPr>
                <m:chr m:val="̃"/>
                <m:ctrlPr>
                  <w:rPr>
                    <w:rFonts w:ascii="Cambria Math" w:hAnsi="Cambria Math"/>
                  </w:rPr>
                </m:ctrlPr>
              </m:accPr>
              <m:e>
                <m:r>
                  <w:rPr>
                    <w:rFonts w:ascii="Cambria Math" w:hAnsi="Cambria Math"/>
                  </w:rPr>
                  <m:t>Q</m:t>
                </m:r>
              </m:e>
            </m:acc>
          </m:e>
          <m:sub>
            <m:r>
              <w:rPr>
                <w:rFonts w:ascii="Cambria Math" w:hAnsi="Cambria Math"/>
              </w:rPr>
              <m:t xml:space="preserve"> </m:t>
            </m:r>
          </m:sub>
          <m:sup>
            <m:r>
              <m:rPr>
                <m:sty m:val="p"/>
              </m:rPr>
              <w:rPr>
                <w:rFonts w:ascii="Cambria Math" w:hAnsi="Cambria Math"/>
              </w:rPr>
              <m:t>cov</m:t>
            </m:r>
          </m:sup>
        </m:sSubSup>
      </m:oMath>
      <w:r w:rsidRPr="00287AF0">
        <w:t>, </w:t>
      </w:r>
      <m:oMath>
        <m:sSubSup>
          <m:sSubSupPr>
            <m:ctrlPr>
              <w:rPr>
                <w:rFonts w:ascii="Cambria Math" w:hAnsi="Cambria Math"/>
              </w:rPr>
            </m:ctrlPr>
          </m:sSubSupPr>
          <m:e>
            <m:acc>
              <m:accPr>
                <m:chr m:val="̃"/>
                <m:ctrlPr>
                  <w:rPr>
                    <w:rFonts w:ascii="Cambria Math" w:hAnsi="Cambria Math"/>
                  </w:rPr>
                </m:ctrlPr>
              </m:accPr>
              <m:e>
                <m:r>
                  <w:rPr>
                    <w:rFonts w:ascii="Cambria Math" w:hAnsi="Cambria Math"/>
                  </w:rPr>
                  <m:t>Q</m:t>
                </m:r>
              </m:e>
            </m:acc>
          </m:e>
          <m:sub>
            <m:r>
              <w:rPr>
                <w:rFonts w:ascii="Cambria Math" w:hAnsi="Cambria Math"/>
              </w:rPr>
              <m:t xml:space="preserve"> </m:t>
            </m:r>
          </m:sub>
          <m:sup>
            <m:r>
              <m:rPr>
                <m:sty m:val="p"/>
              </m:rPr>
              <w:rPr>
                <w:rFonts w:ascii="Cambria Math" w:hAnsi="Cambria Math"/>
              </w:rPr>
              <m:t>vdw</m:t>
            </m:r>
          </m:sup>
        </m:sSubSup>
      </m:oMath>
      <w:r w:rsidRPr="00287AF0">
        <w:t> and </w:t>
      </w:r>
      <m:oMath>
        <m:sSubSup>
          <m:sSubSupPr>
            <m:ctrlPr>
              <w:rPr>
                <w:rFonts w:ascii="Cambria Math" w:hAnsi="Cambria Math"/>
              </w:rPr>
            </m:ctrlPr>
          </m:sSubSupPr>
          <m:e>
            <m:acc>
              <m:accPr>
                <m:chr m:val="̃"/>
                <m:ctrlPr>
                  <w:rPr>
                    <w:rFonts w:ascii="Cambria Math" w:hAnsi="Cambria Math"/>
                  </w:rPr>
                </m:ctrlPr>
              </m:accPr>
              <m:e>
                <m:r>
                  <w:rPr>
                    <w:rFonts w:ascii="Cambria Math" w:hAnsi="Cambria Math"/>
                  </w:rPr>
                  <m:t>Q</m:t>
                </m:r>
              </m:e>
            </m:acc>
          </m:e>
          <m:sub>
            <m:r>
              <w:rPr>
                <w:rFonts w:ascii="Cambria Math" w:hAnsi="Cambria Math"/>
              </w:rPr>
              <m:t xml:space="preserve"> </m:t>
            </m:r>
          </m:sub>
          <m:sup>
            <m:r>
              <m:rPr>
                <m:sty m:val="p"/>
              </m:rPr>
              <w:rPr>
                <w:rFonts w:ascii="Cambria Math" w:hAnsi="Cambria Math"/>
              </w:rPr>
              <m:t>free</m:t>
            </m:r>
          </m:sup>
        </m:sSubSup>
      </m:oMath>
      <w:r w:rsidRPr="00287AF0">
        <w:t> it is straightforward to compute the </w:t>
      </w:r>
      <w:r w:rsidRPr="00287AF0">
        <w:rPr>
          <w:i/>
          <w:iCs/>
        </w:rPr>
        <w:t>average</w:t>
      </w:r>
      <w:r w:rsidRPr="00287AF0">
        <w:t> resonance width  </w:t>
      </w:r>
      <m:oMath>
        <m:r>
          <m:rPr>
            <m:sty m:val="p"/>
          </m:rPr>
          <w:rPr>
            <w:rFonts w:ascii="Cambria Math" w:hAnsi="Cambria Math"/>
          </w:rPr>
          <m:t>Γ</m:t>
        </m:r>
        <m:r>
          <m:rPr>
            <m:nor/>
          </m:rPr>
          <w:rPr>
            <w:iCs/>
          </w:rPr>
          <m:t>˜</m:t>
        </m:r>
      </m:oMath>
      <w:r w:rsidRPr="00287AF0">
        <w:t> in each group of states (see </w:t>
      </w:r>
      <w:r w:rsidRPr="00AD482D">
        <w:rPr>
          <w:b/>
          <w:bCs/>
        </w:rPr>
        <w:t>Supplementary Materials</w:t>
      </w:r>
      <w:r w:rsidRPr="00287AF0">
        <w:t>), and the corresponding average lifetime, </w:t>
      </w:r>
      <m:oMath>
        <m:acc>
          <m:accPr>
            <m:chr m:val="̃"/>
            <m:ctrlPr>
              <w:rPr>
                <w:rFonts w:ascii="Cambria Math" w:hAnsi="Cambria Math"/>
              </w:rPr>
            </m:ctrlPr>
          </m:accPr>
          <m:e>
            <m:r>
              <w:rPr>
                <w:rFonts w:ascii="Cambria Math" w:hAnsi="Cambria Math"/>
              </w:rPr>
              <m:t>τ</m:t>
            </m:r>
          </m:e>
        </m:acc>
        <m:r>
          <w:rPr>
            <w:rFonts w:ascii="Cambria Math" w:hAnsi="Cambria Math"/>
          </w:rPr>
          <m:t>=</m:t>
        </m:r>
        <m:f>
          <m:fPr>
            <m:ctrlPr>
              <w:rPr>
                <w:rFonts w:ascii="Cambria Math" w:hAnsi="Cambria Math"/>
                <w:i/>
              </w:rPr>
            </m:ctrlPr>
          </m:fPr>
          <m:num>
            <m:r>
              <w:rPr>
                <w:rFonts w:ascii="Cambria Math" w:hAnsi="Cambria Math"/>
              </w:rPr>
              <m:t>ℏ</m:t>
            </m:r>
          </m:num>
          <m:den>
            <m:r>
              <m:rPr>
                <m:sty m:val="p"/>
              </m:rPr>
              <w:rPr>
                <w:rFonts w:ascii="Cambria Math" w:hAnsi="Cambria Math"/>
              </w:rPr>
              <m:t>Γ</m:t>
            </m:r>
            <m:r>
              <m:rPr>
                <m:nor/>
              </m:rPr>
              <m:t>˜</m:t>
            </m:r>
          </m:den>
        </m:f>
      </m:oMath>
      <w:r w:rsidRPr="00287AF0">
        <w:t>. These data are presented in </w:t>
      </w:r>
      <w:r w:rsidRPr="00AD482D">
        <w:rPr>
          <w:b/>
          <w:bCs/>
        </w:rPr>
        <w:t>Table 2</w:t>
      </w:r>
      <w:r w:rsidRPr="00287AF0">
        <w:t>. They indicate that in ozone the resonances localized in the covalent well are much narrower (more stable) than those distributed over the van der Waals plateau. Indeed, the covalent states are trapped behind the transition state point and therefore they must decay slower (and are populated slower too). In contrast, the wave functions of the van der Waals states are located outside of the transition state, very close to the dissociation channel (see </w:t>
      </w:r>
      <w:r w:rsidRPr="00AD482D">
        <w:rPr>
          <w:b/>
          <w:bCs/>
        </w:rPr>
        <w:t>Figure 4</w:t>
      </w:r>
      <w:r w:rsidRPr="00287AF0">
        <w:t>). Therefore, they are less stable, they decay (and are populated) much faster.</w:t>
      </w:r>
    </w:p>
    <w:p w14:paraId="2C25843A" w14:textId="77777777" w:rsidR="00287AF0" w:rsidRPr="00287AF0" w:rsidRDefault="00287AF0" w:rsidP="0009195F">
      <w:pPr>
        <w:pStyle w:val="NoSpacing"/>
      </w:pPr>
      <w:r w:rsidRPr="00287AF0">
        <w:rPr>
          <w:b/>
          <w:bCs/>
        </w:rPr>
        <w:t>Table 2.</w:t>
      </w:r>
      <w:r w:rsidRPr="00287AF0">
        <w:t> Average resonance widths and their corresponding lifetimes for the states of three types in the singly and doubly substituted ozone molecules.</w:t>
      </w:r>
    </w:p>
    <w:tbl>
      <w:tblPr>
        <w:tblStyle w:val="TableGrid"/>
        <w:tblW w:w="7392" w:type="dxa"/>
        <w:tblLook w:val="04A0" w:firstRow="1" w:lastRow="0" w:firstColumn="1" w:lastColumn="0" w:noHBand="0" w:noVBand="1"/>
      </w:tblPr>
      <w:tblGrid>
        <w:gridCol w:w="2868"/>
        <w:gridCol w:w="1298"/>
        <w:gridCol w:w="1107"/>
        <w:gridCol w:w="1012"/>
        <w:gridCol w:w="1107"/>
      </w:tblGrid>
      <w:tr w:rsidR="00762626" w:rsidRPr="00762626" w14:paraId="31B10E63" w14:textId="77777777" w:rsidTr="00086D7B">
        <w:tc>
          <w:tcPr>
            <w:tcW w:w="0" w:type="auto"/>
            <w:hideMark/>
          </w:tcPr>
          <w:p w14:paraId="786F926B" w14:textId="77777777" w:rsidR="00762626" w:rsidRPr="00762626" w:rsidRDefault="00762626" w:rsidP="00762626">
            <w:pPr>
              <w:jc w:val="center"/>
              <w:rPr>
                <w:rFonts w:ascii="Arial" w:eastAsia="Times New Roman" w:hAnsi="Arial" w:cs="Arial"/>
                <w:b/>
                <w:bCs/>
                <w:color w:val="222222"/>
                <w:sz w:val="20"/>
                <w:szCs w:val="20"/>
              </w:rPr>
            </w:pPr>
            <w:r w:rsidRPr="00762626">
              <w:rPr>
                <w:rFonts w:ascii="Arial" w:eastAsia="Times New Roman" w:hAnsi="Arial" w:cs="Arial"/>
                <w:b/>
                <w:bCs/>
                <w:color w:val="222222"/>
                <w:sz w:val="20"/>
                <w:szCs w:val="20"/>
              </w:rPr>
              <w:t>Resonance Type</w:t>
            </w:r>
          </w:p>
        </w:tc>
        <w:tc>
          <w:tcPr>
            <w:tcW w:w="0" w:type="auto"/>
            <w:hideMark/>
          </w:tcPr>
          <w:p w14:paraId="76D52D82" w14:textId="1C505BAA" w:rsidR="00762626" w:rsidRPr="0051195E" w:rsidRDefault="0051195E" w:rsidP="00762626">
            <w:pPr>
              <w:jc w:val="center"/>
              <w:rPr>
                <w:rFonts w:ascii="Arial" w:eastAsia="Times New Roman" w:hAnsi="Arial" w:cs="Arial"/>
                <w:b/>
                <w:bCs/>
                <w:color w:val="222222"/>
                <w:sz w:val="20"/>
                <w:szCs w:val="20"/>
              </w:rPr>
            </w:pPr>
            <m:oMath>
              <m:acc>
                <m:accPr>
                  <m:chr m:val="̃"/>
                  <m:ctrlPr>
                    <w:rPr>
                      <w:rFonts w:ascii="Cambria Math" w:eastAsia="Times New Roman" w:hAnsi="Cambria Math" w:cs="Arial"/>
                      <w:b/>
                      <w:bCs/>
                      <w:iCs/>
                      <w:color w:val="222222"/>
                      <w:sz w:val="23"/>
                      <w:szCs w:val="23"/>
                      <w:bdr w:val="none" w:sz="0" w:space="0" w:color="auto" w:frame="1"/>
                    </w:rPr>
                  </m:ctrlPr>
                </m:accPr>
                <m:e>
                  <m:r>
                    <m:rPr>
                      <m:sty m:val="b"/>
                    </m:rPr>
                    <w:rPr>
                      <w:rFonts w:ascii="Cambria Math" w:eastAsia="Times New Roman" w:hAnsi="Cambria Math" w:cs="Arial"/>
                      <w:color w:val="222222"/>
                      <w:sz w:val="23"/>
                      <w:szCs w:val="23"/>
                      <w:bdr w:val="none" w:sz="0" w:space="0" w:color="auto" w:frame="1"/>
                    </w:rPr>
                    <m:t>Γ</m:t>
                  </m:r>
                </m:e>
              </m:acc>
            </m:oMath>
            <w:r w:rsidR="00762626" w:rsidRPr="00762626">
              <w:rPr>
                <w:rFonts w:ascii="MathJax_Size1" w:eastAsia="Times New Roman" w:hAnsi="MathJax_Size1" w:cs="Arial"/>
                <w:b/>
                <w:bCs/>
                <w:color w:val="222222"/>
                <w:sz w:val="23"/>
                <w:szCs w:val="23"/>
                <w:bdr w:val="none" w:sz="0" w:space="0" w:color="auto" w:frame="1"/>
              </w:rPr>
              <w:t>(</w:t>
            </w:r>
            <w:proofErr w:type="gramStart"/>
            <w:r w:rsidR="00762626" w:rsidRPr="00762626">
              <w:rPr>
                <w:rFonts w:ascii="MathJax_Main-bold" w:eastAsia="Times New Roman" w:hAnsi="MathJax_Main-bold" w:cs="Arial"/>
                <w:b/>
                <w:bCs/>
                <w:color w:val="222222"/>
                <w:sz w:val="23"/>
                <w:szCs w:val="23"/>
                <w:bdr w:val="none" w:sz="0" w:space="0" w:color="auto" w:frame="1"/>
              </w:rPr>
              <w:t>cm</w:t>
            </w:r>
            <w:proofErr w:type="gramEnd"/>
            <w:r w:rsidR="00762626" w:rsidRPr="00762626">
              <w:rPr>
                <w:rFonts w:ascii="MathJax_Main" w:eastAsia="Times New Roman" w:hAnsi="MathJax_Main" w:cs="Arial"/>
                <w:b/>
                <w:bCs/>
                <w:color w:val="222222"/>
                <w:sz w:val="17"/>
                <w:szCs w:val="17"/>
                <w:bdr w:val="none" w:sz="0" w:space="0" w:color="auto" w:frame="1"/>
              </w:rPr>
              <w:t>−1</w:t>
            </w:r>
            <w:r w:rsidR="00762626" w:rsidRPr="00762626">
              <w:rPr>
                <w:rFonts w:ascii="MathJax_Size1" w:eastAsia="Times New Roman" w:hAnsi="MathJax_Size1" w:cs="Arial"/>
                <w:b/>
                <w:bCs/>
                <w:color w:val="222222"/>
                <w:sz w:val="23"/>
                <w:szCs w:val="23"/>
                <w:bdr w:val="none" w:sz="0" w:space="0" w:color="auto" w:frame="1"/>
              </w:rPr>
              <w:t>)</w:t>
            </w:r>
          </w:p>
        </w:tc>
        <w:tc>
          <w:tcPr>
            <w:tcW w:w="0" w:type="auto"/>
          </w:tcPr>
          <w:p w14:paraId="6B50FF71" w14:textId="6F3F9F75" w:rsidR="00762626" w:rsidRPr="00762626" w:rsidRDefault="00762626" w:rsidP="00762626">
            <w:pPr>
              <w:jc w:val="center"/>
              <w:rPr>
                <w:rFonts w:ascii="Arial" w:eastAsia="Times New Roman" w:hAnsi="Arial" w:cs="Arial"/>
                <w:b/>
                <w:bCs/>
                <w:color w:val="222222"/>
                <w:sz w:val="20"/>
                <w:szCs w:val="20"/>
              </w:rPr>
            </w:pPr>
          </w:p>
        </w:tc>
        <w:tc>
          <w:tcPr>
            <w:tcW w:w="0" w:type="auto"/>
            <w:hideMark/>
          </w:tcPr>
          <w:p w14:paraId="4ED2FC46" w14:textId="1547A2B7" w:rsidR="00762626" w:rsidRPr="0051195E" w:rsidRDefault="0051195E" w:rsidP="00762626">
            <w:pPr>
              <w:jc w:val="center"/>
              <w:rPr>
                <w:rFonts w:ascii="Arial" w:eastAsia="Times New Roman" w:hAnsi="Arial" w:cs="Arial"/>
                <w:b/>
                <w:bCs/>
                <w:color w:val="222222"/>
                <w:sz w:val="20"/>
                <w:szCs w:val="20"/>
              </w:rPr>
            </w:pPr>
            <m:oMath>
              <m:acc>
                <m:accPr>
                  <m:chr m:val="̃"/>
                  <m:ctrlPr>
                    <w:rPr>
                      <w:rFonts w:ascii="Cambria Math" w:eastAsia="Times New Roman" w:hAnsi="Cambria Math" w:cs="Arial"/>
                      <w:b/>
                      <w:bCs/>
                      <w:iCs/>
                      <w:color w:val="222222"/>
                      <w:sz w:val="19"/>
                      <w:szCs w:val="19"/>
                      <w:bdr w:val="none" w:sz="0" w:space="0" w:color="auto" w:frame="1"/>
                    </w:rPr>
                  </m:ctrlPr>
                </m:accPr>
                <m:e>
                  <m:r>
                    <m:rPr>
                      <m:sty m:val="b"/>
                    </m:rPr>
                    <w:rPr>
                      <w:rFonts w:ascii="Cambria Math" w:eastAsia="Times New Roman" w:hAnsi="Cambria Math" w:cs="Arial"/>
                      <w:color w:val="222222"/>
                      <w:sz w:val="19"/>
                      <w:szCs w:val="19"/>
                      <w:bdr w:val="none" w:sz="0" w:space="0" w:color="auto" w:frame="1"/>
                    </w:rPr>
                    <m:t>τ</m:t>
                  </m:r>
                </m:e>
              </m:acc>
            </m:oMath>
            <w:r w:rsidR="00762626" w:rsidRPr="00762626">
              <w:rPr>
                <w:rFonts w:ascii="MathJax_Main" w:eastAsia="Times New Roman" w:hAnsi="MathJax_Main" w:cs="Arial"/>
                <w:b/>
                <w:bCs/>
                <w:color w:val="222222"/>
                <w:sz w:val="23"/>
                <w:szCs w:val="23"/>
                <w:bdr w:val="none" w:sz="0" w:space="0" w:color="auto" w:frame="1"/>
              </w:rPr>
              <w:t>(</w:t>
            </w:r>
            <w:proofErr w:type="spellStart"/>
            <w:r w:rsidR="00762626" w:rsidRPr="00762626">
              <w:rPr>
                <w:rFonts w:ascii="MathJax_Main-bold" w:eastAsia="Times New Roman" w:hAnsi="MathJax_Main-bold" w:cs="Arial"/>
                <w:b/>
                <w:bCs/>
                <w:color w:val="222222"/>
                <w:sz w:val="23"/>
                <w:szCs w:val="23"/>
                <w:bdr w:val="none" w:sz="0" w:space="0" w:color="auto" w:frame="1"/>
              </w:rPr>
              <w:t>ps</w:t>
            </w:r>
            <w:proofErr w:type="spellEnd"/>
            <w:r w:rsidR="00762626" w:rsidRPr="00762626">
              <w:rPr>
                <w:rFonts w:ascii="MathJax_Main" w:eastAsia="Times New Roman" w:hAnsi="MathJax_Main" w:cs="Arial"/>
                <w:b/>
                <w:bCs/>
                <w:color w:val="222222"/>
                <w:sz w:val="23"/>
                <w:szCs w:val="23"/>
                <w:bdr w:val="none" w:sz="0" w:space="0" w:color="auto" w:frame="1"/>
              </w:rPr>
              <w:t>)</w:t>
            </w:r>
          </w:p>
        </w:tc>
        <w:tc>
          <w:tcPr>
            <w:tcW w:w="0" w:type="auto"/>
          </w:tcPr>
          <w:p w14:paraId="1D647389" w14:textId="4532F44D" w:rsidR="00762626" w:rsidRPr="00762626" w:rsidRDefault="00762626" w:rsidP="00762626">
            <w:pPr>
              <w:jc w:val="center"/>
              <w:rPr>
                <w:rFonts w:ascii="Arial" w:eastAsia="Times New Roman" w:hAnsi="Arial" w:cs="Arial"/>
                <w:b/>
                <w:bCs/>
                <w:color w:val="222222"/>
                <w:sz w:val="20"/>
                <w:szCs w:val="20"/>
              </w:rPr>
            </w:pPr>
          </w:p>
        </w:tc>
      </w:tr>
      <w:tr w:rsidR="0051195E" w:rsidRPr="00762626" w14:paraId="1D1E1971" w14:textId="77777777" w:rsidTr="00762626">
        <w:tc>
          <w:tcPr>
            <w:tcW w:w="0" w:type="auto"/>
            <w:hideMark/>
          </w:tcPr>
          <w:p w14:paraId="7081A79B" w14:textId="77777777" w:rsidR="00762626" w:rsidRPr="00762626" w:rsidRDefault="00762626" w:rsidP="00762626">
            <w:pPr>
              <w:rPr>
                <w:rFonts w:ascii="Arial" w:eastAsia="Times New Roman" w:hAnsi="Arial" w:cs="Arial"/>
                <w:b/>
                <w:bCs/>
                <w:color w:val="222222"/>
                <w:sz w:val="20"/>
                <w:szCs w:val="20"/>
              </w:rPr>
            </w:pPr>
          </w:p>
        </w:tc>
        <w:tc>
          <w:tcPr>
            <w:tcW w:w="0" w:type="auto"/>
            <w:hideMark/>
          </w:tcPr>
          <w:p w14:paraId="3907D5A0" w14:textId="77777777" w:rsidR="00762626" w:rsidRPr="00762626" w:rsidRDefault="00762626" w:rsidP="00762626">
            <w:pPr>
              <w:jc w:val="center"/>
              <w:rPr>
                <w:rFonts w:ascii="Arial" w:eastAsia="Times New Roman" w:hAnsi="Arial" w:cs="Arial"/>
                <w:b/>
                <w:bCs/>
                <w:color w:val="222222"/>
                <w:sz w:val="20"/>
                <w:szCs w:val="20"/>
              </w:rPr>
            </w:pPr>
            <w:r w:rsidRPr="00762626">
              <w:rPr>
                <w:rFonts w:ascii="Arial" w:eastAsia="Times New Roman" w:hAnsi="Arial" w:cs="Arial"/>
                <w:b/>
                <w:bCs/>
                <w:color w:val="222222"/>
                <w:sz w:val="20"/>
                <w:szCs w:val="20"/>
              </w:rPr>
              <w:t>Single</w:t>
            </w:r>
          </w:p>
        </w:tc>
        <w:tc>
          <w:tcPr>
            <w:tcW w:w="0" w:type="auto"/>
            <w:hideMark/>
          </w:tcPr>
          <w:p w14:paraId="7C9B3FC0" w14:textId="77777777" w:rsidR="00762626" w:rsidRPr="00762626" w:rsidRDefault="00762626" w:rsidP="00762626">
            <w:pPr>
              <w:jc w:val="center"/>
              <w:rPr>
                <w:rFonts w:ascii="Arial" w:eastAsia="Times New Roman" w:hAnsi="Arial" w:cs="Arial"/>
                <w:b/>
                <w:bCs/>
                <w:color w:val="222222"/>
                <w:sz w:val="20"/>
                <w:szCs w:val="20"/>
              </w:rPr>
            </w:pPr>
            <w:r w:rsidRPr="00762626">
              <w:rPr>
                <w:rFonts w:ascii="Arial" w:eastAsia="Times New Roman" w:hAnsi="Arial" w:cs="Arial"/>
                <w:b/>
                <w:bCs/>
                <w:color w:val="222222"/>
                <w:sz w:val="20"/>
                <w:szCs w:val="20"/>
              </w:rPr>
              <w:t>Double</w:t>
            </w:r>
          </w:p>
        </w:tc>
        <w:tc>
          <w:tcPr>
            <w:tcW w:w="0" w:type="auto"/>
            <w:hideMark/>
          </w:tcPr>
          <w:p w14:paraId="6AE9A6C7" w14:textId="77777777" w:rsidR="00762626" w:rsidRPr="00762626" w:rsidRDefault="00762626" w:rsidP="00762626">
            <w:pPr>
              <w:jc w:val="center"/>
              <w:rPr>
                <w:rFonts w:ascii="Arial" w:eastAsia="Times New Roman" w:hAnsi="Arial" w:cs="Arial"/>
                <w:b/>
                <w:bCs/>
                <w:color w:val="222222"/>
                <w:sz w:val="20"/>
                <w:szCs w:val="20"/>
              </w:rPr>
            </w:pPr>
            <w:r w:rsidRPr="00762626">
              <w:rPr>
                <w:rFonts w:ascii="Arial" w:eastAsia="Times New Roman" w:hAnsi="Arial" w:cs="Arial"/>
                <w:b/>
                <w:bCs/>
                <w:color w:val="222222"/>
                <w:sz w:val="20"/>
                <w:szCs w:val="20"/>
              </w:rPr>
              <w:t>Single</w:t>
            </w:r>
          </w:p>
        </w:tc>
        <w:tc>
          <w:tcPr>
            <w:tcW w:w="0" w:type="auto"/>
            <w:hideMark/>
          </w:tcPr>
          <w:p w14:paraId="20B00E37" w14:textId="77777777" w:rsidR="00762626" w:rsidRPr="00762626" w:rsidRDefault="00762626" w:rsidP="00762626">
            <w:pPr>
              <w:jc w:val="center"/>
              <w:rPr>
                <w:rFonts w:ascii="Arial" w:eastAsia="Times New Roman" w:hAnsi="Arial" w:cs="Arial"/>
                <w:b/>
                <w:bCs/>
                <w:color w:val="222222"/>
                <w:sz w:val="20"/>
                <w:szCs w:val="20"/>
              </w:rPr>
            </w:pPr>
            <w:r w:rsidRPr="00762626">
              <w:rPr>
                <w:rFonts w:ascii="Arial" w:eastAsia="Times New Roman" w:hAnsi="Arial" w:cs="Arial"/>
                <w:b/>
                <w:bCs/>
                <w:color w:val="222222"/>
                <w:sz w:val="20"/>
                <w:szCs w:val="20"/>
              </w:rPr>
              <w:t>Double</w:t>
            </w:r>
          </w:p>
        </w:tc>
      </w:tr>
      <w:tr w:rsidR="0051195E" w:rsidRPr="00762626" w14:paraId="690DF7BD" w14:textId="77777777" w:rsidTr="00762626">
        <w:tc>
          <w:tcPr>
            <w:tcW w:w="0" w:type="auto"/>
            <w:hideMark/>
          </w:tcPr>
          <w:p w14:paraId="26C2C624" w14:textId="77777777" w:rsidR="00762626" w:rsidRPr="00762626" w:rsidRDefault="00762626" w:rsidP="00762626">
            <w:pPr>
              <w:jc w:val="center"/>
              <w:rPr>
                <w:rFonts w:ascii="Arial" w:eastAsia="Times New Roman" w:hAnsi="Arial" w:cs="Arial"/>
                <w:color w:val="222222"/>
                <w:sz w:val="20"/>
                <w:szCs w:val="20"/>
              </w:rPr>
            </w:pPr>
            <w:r w:rsidRPr="00762626">
              <w:rPr>
                <w:rFonts w:ascii="Arial" w:eastAsia="Times New Roman" w:hAnsi="Arial" w:cs="Arial"/>
                <w:color w:val="222222"/>
                <w:sz w:val="20"/>
                <w:szCs w:val="20"/>
              </w:rPr>
              <w:t>Covalent well</w:t>
            </w:r>
          </w:p>
        </w:tc>
        <w:tc>
          <w:tcPr>
            <w:tcW w:w="0" w:type="auto"/>
            <w:hideMark/>
          </w:tcPr>
          <w:p w14:paraId="19380E80" w14:textId="77777777" w:rsidR="00762626" w:rsidRPr="00762626" w:rsidRDefault="00762626" w:rsidP="00762626">
            <w:pPr>
              <w:jc w:val="center"/>
              <w:rPr>
                <w:rFonts w:ascii="Arial" w:eastAsia="Times New Roman" w:hAnsi="Arial" w:cs="Arial"/>
                <w:color w:val="222222"/>
                <w:sz w:val="20"/>
                <w:szCs w:val="20"/>
              </w:rPr>
            </w:pPr>
            <w:r w:rsidRPr="00762626">
              <w:rPr>
                <w:rFonts w:ascii="Arial" w:eastAsia="Times New Roman" w:hAnsi="Arial" w:cs="Arial"/>
                <w:color w:val="222222"/>
                <w:sz w:val="20"/>
                <w:szCs w:val="20"/>
              </w:rPr>
              <w:t>1.00</w:t>
            </w:r>
          </w:p>
        </w:tc>
        <w:tc>
          <w:tcPr>
            <w:tcW w:w="0" w:type="auto"/>
            <w:hideMark/>
          </w:tcPr>
          <w:p w14:paraId="1690F98D" w14:textId="77777777" w:rsidR="00762626" w:rsidRPr="00762626" w:rsidRDefault="00762626" w:rsidP="00762626">
            <w:pPr>
              <w:jc w:val="center"/>
              <w:rPr>
                <w:rFonts w:ascii="Arial" w:eastAsia="Times New Roman" w:hAnsi="Arial" w:cs="Arial"/>
                <w:color w:val="222222"/>
                <w:sz w:val="20"/>
                <w:szCs w:val="20"/>
              </w:rPr>
            </w:pPr>
            <w:r w:rsidRPr="00762626">
              <w:rPr>
                <w:rFonts w:ascii="Arial" w:eastAsia="Times New Roman" w:hAnsi="Arial" w:cs="Arial"/>
                <w:color w:val="222222"/>
                <w:sz w:val="20"/>
                <w:szCs w:val="20"/>
              </w:rPr>
              <w:t>1.01</w:t>
            </w:r>
          </w:p>
        </w:tc>
        <w:tc>
          <w:tcPr>
            <w:tcW w:w="0" w:type="auto"/>
            <w:hideMark/>
          </w:tcPr>
          <w:p w14:paraId="52C260C7" w14:textId="77777777" w:rsidR="00762626" w:rsidRPr="00762626" w:rsidRDefault="00762626" w:rsidP="00762626">
            <w:pPr>
              <w:jc w:val="center"/>
              <w:rPr>
                <w:rFonts w:ascii="Arial" w:eastAsia="Times New Roman" w:hAnsi="Arial" w:cs="Arial"/>
                <w:color w:val="222222"/>
                <w:sz w:val="20"/>
                <w:szCs w:val="20"/>
              </w:rPr>
            </w:pPr>
            <w:r w:rsidRPr="00762626">
              <w:rPr>
                <w:rFonts w:ascii="Arial" w:eastAsia="Times New Roman" w:hAnsi="Arial" w:cs="Arial"/>
                <w:color w:val="222222"/>
                <w:sz w:val="20"/>
                <w:szCs w:val="20"/>
              </w:rPr>
              <w:t>33.4</w:t>
            </w:r>
          </w:p>
        </w:tc>
        <w:tc>
          <w:tcPr>
            <w:tcW w:w="0" w:type="auto"/>
            <w:hideMark/>
          </w:tcPr>
          <w:p w14:paraId="060781DF" w14:textId="77777777" w:rsidR="00762626" w:rsidRPr="00762626" w:rsidRDefault="00762626" w:rsidP="00762626">
            <w:pPr>
              <w:jc w:val="center"/>
              <w:rPr>
                <w:rFonts w:ascii="Arial" w:eastAsia="Times New Roman" w:hAnsi="Arial" w:cs="Arial"/>
                <w:color w:val="222222"/>
                <w:sz w:val="20"/>
                <w:szCs w:val="20"/>
              </w:rPr>
            </w:pPr>
            <w:r w:rsidRPr="00762626">
              <w:rPr>
                <w:rFonts w:ascii="Arial" w:eastAsia="Times New Roman" w:hAnsi="Arial" w:cs="Arial"/>
                <w:color w:val="222222"/>
                <w:sz w:val="20"/>
                <w:szCs w:val="20"/>
              </w:rPr>
              <w:t>33.0</w:t>
            </w:r>
          </w:p>
        </w:tc>
      </w:tr>
      <w:tr w:rsidR="0051195E" w:rsidRPr="00762626" w14:paraId="04699FBC" w14:textId="77777777" w:rsidTr="00762626">
        <w:tc>
          <w:tcPr>
            <w:tcW w:w="0" w:type="auto"/>
            <w:hideMark/>
          </w:tcPr>
          <w:p w14:paraId="57E6028C" w14:textId="77777777" w:rsidR="00762626" w:rsidRPr="00762626" w:rsidRDefault="00762626" w:rsidP="00762626">
            <w:pPr>
              <w:jc w:val="center"/>
              <w:rPr>
                <w:rFonts w:ascii="Arial" w:eastAsia="Times New Roman" w:hAnsi="Arial" w:cs="Arial"/>
                <w:color w:val="222222"/>
                <w:sz w:val="20"/>
                <w:szCs w:val="20"/>
              </w:rPr>
            </w:pPr>
            <w:r w:rsidRPr="00762626">
              <w:rPr>
                <w:rFonts w:ascii="Arial" w:eastAsia="Times New Roman" w:hAnsi="Arial" w:cs="Arial"/>
                <w:color w:val="222222"/>
                <w:sz w:val="20"/>
                <w:szCs w:val="20"/>
              </w:rPr>
              <w:t>Van der Waals plateau</w:t>
            </w:r>
          </w:p>
        </w:tc>
        <w:tc>
          <w:tcPr>
            <w:tcW w:w="0" w:type="auto"/>
            <w:hideMark/>
          </w:tcPr>
          <w:p w14:paraId="2DFC9C7D" w14:textId="77777777" w:rsidR="00762626" w:rsidRPr="00762626" w:rsidRDefault="00762626" w:rsidP="00762626">
            <w:pPr>
              <w:jc w:val="center"/>
              <w:rPr>
                <w:rFonts w:ascii="Arial" w:eastAsia="Times New Roman" w:hAnsi="Arial" w:cs="Arial"/>
                <w:color w:val="222222"/>
                <w:sz w:val="20"/>
                <w:szCs w:val="20"/>
              </w:rPr>
            </w:pPr>
            <w:r w:rsidRPr="00762626">
              <w:rPr>
                <w:rFonts w:ascii="Arial" w:eastAsia="Times New Roman" w:hAnsi="Arial" w:cs="Arial"/>
                <w:color w:val="222222"/>
                <w:sz w:val="20"/>
                <w:szCs w:val="20"/>
              </w:rPr>
              <w:t>27.9</w:t>
            </w:r>
          </w:p>
        </w:tc>
        <w:tc>
          <w:tcPr>
            <w:tcW w:w="0" w:type="auto"/>
            <w:hideMark/>
          </w:tcPr>
          <w:p w14:paraId="4F0C22E7" w14:textId="77777777" w:rsidR="00762626" w:rsidRPr="00762626" w:rsidRDefault="00762626" w:rsidP="00762626">
            <w:pPr>
              <w:jc w:val="center"/>
              <w:rPr>
                <w:rFonts w:ascii="Arial" w:eastAsia="Times New Roman" w:hAnsi="Arial" w:cs="Arial"/>
                <w:color w:val="222222"/>
                <w:sz w:val="20"/>
                <w:szCs w:val="20"/>
              </w:rPr>
            </w:pPr>
            <w:r w:rsidRPr="00762626">
              <w:rPr>
                <w:rFonts w:ascii="Arial" w:eastAsia="Times New Roman" w:hAnsi="Arial" w:cs="Arial"/>
                <w:color w:val="222222"/>
                <w:sz w:val="20"/>
                <w:szCs w:val="20"/>
              </w:rPr>
              <w:t>26.9</w:t>
            </w:r>
          </w:p>
        </w:tc>
        <w:tc>
          <w:tcPr>
            <w:tcW w:w="0" w:type="auto"/>
            <w:hideMark/>
          </w:tcPr>
          <w:p w14:paraId="1FA3DA4D" w14:textId="77777777" w:rsidR="00762626" w:rsidRPr="00762626" w:rsidRDefault="00762626" w:rsidP="00762626">
            <w:pPr>
              <w:jc w:val="center"/>
              <w:rPr>
                <w:rFonts w:ascii="Arial" w:eastAsia="Times New Roman" w:hAnsi="Arial" w:cs="Arial"/>
                <w:color w:val="222222"/>
                <w:sz w:val="20"/>
                <w:szCs w:val="20"/>
              </w:rPr>
            </w:pPr>
            <w:r w:rsidRPr="00762626">
              <w:rPr>
                <w:rFonts w:ascii="Arial" w:eastAsia="Times New Roman" w:hAnsi="Arial" w:cs="Arial"/>
                <w:color w:val="222222"/>
                <w:sz w:val="20"/>
                <w:szCs w:val="20"/>
              </w:rPr>
              <w:t>1.20</w:t>
            </w:r>
          </w:p>
        </w:tc>
        <w:tc>
          <w:tcPr>
            <w:tcW w:w="0" w:type="auto"/>
            <w:hideMark/>
          </w:tcPr>
          <w:p w14:paraId="6BFA8267" w14:textId="77777777" w:rsidR="00762626" w:rsidRPr="00762626" w:rsidRDefault="00762626" w:rsidP="00762626">
            <w:pPr>
              <w:jc w:val="center"/>
              <w:rPr>
                <w:rFonts w:ascii="Arial" w:eastAsia="Times New Roman" w:hAnsi="Arial" w:cs="Arial"/>
                <w:color w:val="222222"/>
                <w:sz w:val="20"/>
                <w:szCs w:val="20"/>
              </w:rPr>
            </w:pPr>
            <w:r w:rsidRPr="00762626">
              <w:rPr>
                <w:rFonts w:ascii="Arial" w:eastAsia="Times New Roman" w:hAnsi="Arial" w:cs="Arial"/>
                <w:color w:val="222222"/>
                <w:sz w:val="20"/>
                <w:szCs w:val="20"/>
              </w:rPr>
              <w:t>1.24</w:t>
            </w:r>
          </w:p>
        </w:tc>
      </w:tr>
      <w:tr w:rsidR="0051195E" w:rsidRPr="00762626" w14:paraId="1943F74B" w14:textId="77777777" w:rsidTr="00762626">
        <w:tc>
          <w:tcPr>
            <w:tcW w:w="0" w:type="auto"/>
            <w:hideMark/>
          </w:tcPr>
          <w:p w14:paraId="63219B94" w14:textId="77777777" w:rsidR="00762626" w:rsidRPr="00762626" w:rsidRDefault="00762626" w:rsidP="00762626">
            <w:pPr>
              <w:jc w:val="center"/>
              <w:rPr>
                <w:rFonts w:ascii="Arial" w:eastAsia="Times New Roman" w:hAnsi="Arial" w:cs="Arial"/>
                <w:color w:val="222222"/>
                <w:sz w:val="20"/>
                <w:szCs w:val="20"/>
              </w:rPr>
            </w:pPr>
            <w:r w:rsidRPr="00762626">
              <w:rPr>
                <w:rFonts w:ascii="Arial" w:eastAsia="Times New Roman" w:hAnsi="Arial" w:cs="Arial"/>
                <w:color w:val="222222"/>
                <w:sz w:val="20"/>
                <w:szCs w:val="20"/>
              </w:rPr>
              <w:t>Asymptotic states (free)</w:t>
            </w:r>
          </w:p>
        </w:tc>
        <w:tc>
          <w:tcPr>
            <w:tcW w:w="0" w:type="auto"/>
            <w:hideMark/>
          </w:tcPr>
          <w:p w14:paraId="1B5A6405" w14:textId="77777777" w:rsidR="00762626" w:rsidRPr="00762626" w:rsidRDefault="00762626" w:rsidP="00762626">
            <w:pPr>
              <w:jc w:val="center"/>
              <w:rPr>
                <w:rFonts w:ascii="Arial" w:eastAsia="Times New Roman" w:hAnsi="Arial" w:cs="Arial"/>
                <w:color w:val="222222"/>
                <w:sz w:val="20"/>
                <w:szCs w:val="20"/>
              </w:rPr>
            </w:pPr>
            <w:r w:rsidRPr="00762626">
              <w:rPr>
                <w:rFonts w:ascii="Arial" w:eastAsia="Times New Roman" w:hAnsi="Arial" w:cs="Arial"/>
                <w:color w:val="222222"/>
                <w:sz w:val="20"/>
                <w:szCs w:val="20"/>
              </w:rPr>
              <w:t>68.9</w:t>
            </w:r>
          </w:p>
        </w:tc>
        <w:tc>
          <w:tcPr>
            <w:tcW w:w="0" w:type="auto"/>
            <w:hideMark/>
          </w:tcPr>
          <w:p w14:paraId="75BBD2D4" w14:textId="77777777" w:rsidR="00762626" w:rsidRPr="00762626" w:rsidRDefault="00762626" w:rsidP="00762626">
            <w:pPr>
              <w:jc w:val="center"/>
              <w:rPr>
                <w:rFonts w:ascii="Arial" w:eastAsia="Times New Roman" w:hAnsi="Arial" w:cs="Arial"/>
                <w:color w:val="222222"/>
                <w:sz w:val="20"/>
                <w:szCs w:val="20"/>
              </w:rPr>
            </w:pPr>
            <w:r w:rsidRPr="00762626">
              <w:rPr>
                <w:rFonts w:ascii="Arial" w:eastAsia="Times New Roman" w:hAnsi="Arial" w:cs="Arial"/>
                <w:color w:val="222222"/>
                <w:sz w:val="20"/>
                <w:szCs w:val="20"/>
              </w:rPr>
              <w:t>67.3</w:t>
            </w:r>
          </w:p>
        </w:tc>
        <w:tc>
          <w:tcPr>
            <w:tcW w:w="0" w:type="auto"/>
            <w:hideMark/>
          </w:tcPr>
          <w:p w14:paraId="41940601" w14:textId="77777777" w:rsidR="00762626" w:rsidRPr="00762626" w:rsidRDefault="00762626" w:rsidP="00762626">
            <w:pPr>
              <w:jc w:val="center"/>
              <w:rPr>
                <w:rFonts w:ascii="Arial" w:eastAsia="Times New Roman" w:hAnsi="Arial" w:cs="Arial"/>
                <w:color w:val="222222"/>
                <w:sz w:val="20"/>
                <w:szCs w:val="20"/>
              </w:rPr>
            </w:pPr>
            <w:r w:rsidRPr="00762626">
              <w:rPr>
                <w:rFonts w:ascii="Arial" w:eastAsia="Times New Roman" w:hAnsi="Arial" w:cs="Arial"/>
                <w:color w:val="222222"/>
                <w:sz w:val="20"/>
                <w:szCs w:val="20"/>
              </w:rPr>
              <w:t>0.484</w:t>
            </w:r>
          </w:p>
        </w:tc>
        <w:tc>
          <w:tcPr>
            <w:tcW w:w="0" w:type="auto"/>
            <w:hideMark/>
          </w:tcPr>
          <w:p w14:paraId="66B718EC" w14:textId="77777777" w:rsidR="00762626" w:rsidRPr="00762626" w:rsidRDefault="00762626" w:rsidP="00762626">
            <w:pPr>
              <w:jc w:val="center"/>
              <w:rPr>
                <w:rFonts w:ascii="Arial" w:eastAsia="Times New Roman" w:hAnsi="Arial" w:cs="Arial"/>
                <w:color w:val="222222"/>
                <w:sz w:val="20"/>
                <w:szCs w:val="20"/>
              </w:rPr>
            </w:pPr>
            <w:r w:rsidRPr="00762626">
              <w:rPr>
                <w:rFonts w:ascii="Arial" w:eastAsia="Times New Roman" w:hAnsi="Arial" w:cs="Arial"/>
                <w:color w:val="222222"/>
                <w:sz w:val="20"/>
                <w:szCs w:val="20"/>
              </w:rPr>
              <w:t>0.496</w:t>
            </w:r>
          </w:p>
        </w:tc>
      </w:tr>
    </w:tbl>
    <w:p w14:paraId="364E65BC" w14:textId="6C30CB43" w:rsidR="00287AF0" w:rsidRPr="00287AF0" w:rsidRDefault="00287AF0" w:rsidP="00287AF0"/>
    <w:p w14:paraId="78A1ADC4" w14:textId="77777777" w:rsidR="00287AF0" w:rsidRPr="00287AF0" w:rsidRDefault="00287AF0" w:rsidP="0009195F">
      <w:pPr>
        <w:pStyle w:val="Heading2"/>
      </w:pPr>
      <w:r w:rsidRPr="00287AF0">
        <w:t>3.4. Resonance Widths in Symmetric and Asymmetric Ozone Molecules</w:t>
      </w:r>
    </w:p>
    <w:p w14:paraId="6D943B8D" w14:textId="0A2FABFC" w:rsidR="00287AF0" w:rsidRPr="00287AF0" w:rsidRDefault="00287AF0" w:rsidP="00287AF0">
      <w:r w:rsidRPr="00287AF0">
        <w:t>It was argued by several authors [</w:t>
      </w:r>
      <w:r w:rsidRPr="00AD482D">
        <w:rPr>
          <w:b/>
          <w:bCs/>
        </w:rPr>
        <w:t>10</w:t>
      </w:r>
      <w:r w:rsidRPr="00287AF0">
        <w:t>,</w:t>
      </w:r>
      <w:r w:rsidRPr="00AD482D">
        <w:rPr>
          <w:b/>
          <w:bCs/>
        </w:rPr>
        <w:t>11</w:t>
      </w:r>
      <w:r w:rsidRPr="00287AF0">
        <w:t>,</w:t>
      </w:r>
      <w:r w:rsidRPr="00AD482D">
        <w:rPr>
          <w:b/>
          <w:bCs/>
        </w:rPr>
        <w:t>38</w:t>
      </w:r>
      <w:r w:rsidRPr="00287AF0">
        <w:t>,</w:t>
      </w:r>
      <w:r w:rsidRPr="00AD482D">
        <w:rPr>
          <w:b/>
          <w:bCs/>
        </w:rPr>
        <w:t>39</w:t>
      </w:r>
      <w:r w:rsidRPr="00287AF0">
        <w:t>] that the lifetimes of metastable states in symmetric and asymmetric ozone molecules may be quite different, and this may explain the symmetry-driven </w:t>
      </w:r>
      <w:r w:rsidRPr="00287AF0">
        <w:rPr>
          <w:i/>
          <w:iCs/>
        </w:rPr>
        <w:t>η</w:t>
      </w:r>
      <w:r w:rsidRPr="00287AF0">
        <w:t xml:space="preserve">-effect. Lifetimes are inversely proportional to resonance widths, so, here, </w:t>
      </w:r>
      <w:proofErr w:type="gramStart"/>
      <w:r w:rsidRPr="00287AF0">
        <w:t>in order to</w:t>
      </w:r>
      <w:proofErr w:type="gramEnd"/>
      <w:r w:rsidRPr="00287AF0">
        <w:t xml:space="preserve"> check this hypothesis, will obtain the distributions of resonance widths in symmetric and asymmetric ozone molecules. For this, we can readily split the overall covalent probabilities between the wells that hold symmetric and asymmetric ozone molecules, using </w:t>
      </w:r>
      <m:oMath>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cov</m:t>
            </m:r>
          </m:sup>
        </m:sSubSup>
        <m:r>
          <w:rPr>
            <w:rFonts w:ascii="Cambria Math" w:hAnsi="Cambria Math"/>
          </w:rPr>
          <m:t>=</m:t>
        </m:r>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sym</m:t>
            </m:r>
          </m:sup>
        </m:sSubSup>
        <m:r>
          <w:rPr>
            <w:rFonts w:ascii="Cambria Math" w:hAnsi="Cambria Math"/>
          </w:rPr>
          <m:t>+</m:t>
        </m:r>
        <m:sSubSup>
          <m:sSubSupPr>
            <m:ctrlPr>
              <w:rPr>
                <w:rFonts w:ascii="Cambria Math" w:hAnsi="Cambria Math"/>
              </w:rPr>
            </m:ctrlPr>
          </m:sSubSupPr>
          <m:e>
            <m:r>
              <w:rPr>
                <w:rFonts w:ascii="Cambria Math" w:hAnsi="Cambria Math"/>
              </w:rPr>
              <m:t>p</m:t>
            </m:r>
          </m:e>
          <m:sub>
            <m:r>
              <w:rPr>
                <w:rFonts w:ascii="Cambria Math" w:hAnsi="Cambria Math"/>
              </w:rPr>
              <m:t>i</m:t>
            </m:r>
          </m:sub>
          <m:sup>
            <m:r>
              <m:rPr>
                <m:sty m:val="p"/>
              </m:rPr>
              <w:rPr>
                <w:rFonts w:ascii="Cambria Math" w:hAnsi="Cambria Math"/>
              </w:rPr>
              <m:t>asym</m:t>
            </m:r>
          </m:sup>
        </m:sSubSup>
      </m:oMath>
      <w:r w:rsidRPr="00287AF0">
        <w:t>, and plotting the distributions for </w:t>
      </w:r>
      <m:oMath>
        <m:sSubSup>
          <m:sSubSupPr>
            <m:ctrlPr>
              <w:rPr>
                <w:rFonts w:ascii="Cambria Math" w:hAnsi="Cambria Math"/>
              </w:rPr>
            </m:ctrlPr>
          </m:sSubSupPr>
          <m:e>
            <m:acc>
              <m:accPr>
                <m:chr m:val="̃"/>
                <m:ctrlPr>
                  <w:rPr>
                    <w:rFonts w:ascii="Cambria Math" w:hAnsi="Cambria Math"/>
                  </w:rPr>
                </m:ctrlPr>
              </m:accPr>
              <m:e>
                <m:r>
                  <w:rPr>
                    <w:rFonts w:ascii="Cambria Math" w:hAnsi="Cambria Math"/>
                  </w:rPr>
                  <m:t>Q</m:t>
                </m:r>
              </m:e>
            </m:acc>
          </m:e>
          <m:sub>
            <m:r>
              <m:rPr>
                <m:sty m:val="p"/>
              </m:rPr>
              <w:rPr>
                <w:rFonts w:ascii="Cambria Math" w:hAnsi="Cambria Math"/>
              </w:rPr>
              <m:t>sym</m:t>
            </m:r>
          </m:sub>
          <m:sup>
            <m:r>
              <w:rPr>
                <w:rFonts w:ascii="Cambria Math" w:hAnsi="Cambria Math"/>
              </w:rPr>
              <m:t>∘</m:t>
            </m:r>
          </m:sup>
        </m:sSubSup>
      </m:oMath>
      <w:r w:rsidRPr="00287AF0">
        <w:t> and </w:t>
      </w:r>
      <m:oMath>
        <m:sSubSup>
          <m:sSubSupPr>
            <m:ctrlPr>
              <w:rPr>
                <w:rFonts w:ascii="Cambria Math" w:hAnsi="Cambria Math"/>
              </w:rPr>
            </m:ctrlPr>
          </m:sSubSupPr>
          <m:e>
            <m:acc>
              <m:accPr>
                <m:chr m:val="̃"/>
                <m:ctrlPr>
                  <w:rPr>
                    <w:rFonts w:ascii="Cambria Math" w:hAnsi="Cambria Math"/>
                  </w:rPr>
                </m:ctrlPr>
              </m:accPr>
              <m:e>
                <m:r>
                  <w:rPr>
                    <w:rFonts w:ascii="Cambria Math" w:hAnsi="Cambria Math"/>
                  </w:rPr>
                  <m:t>Q</m:t>
                </m:r>
              </m:e>
            </m:acc>
          </m:e>
          <m:sub>
            <m:r>
              <m:rPr>
                <m:sty m:val="p"/>
              </m:rPr>
              <w:rPr>
                <w:rFonts w:ascii="Cambria Math" w:hAnsi="Cambria Math"/>
              </w:rPr>
              <m:t>asym</m:t>
            </m:r>
          </m:sub>
          <m:sup>
            <m:r>
              <w:rPr>
                <w:rFonts w:ascii="Cambria Math" w:hAnsi="Cambria Math"/>
              </w:rPr>
              <m:t>∘</m:t>
            </m:r>
          </m:sup>
        </m:sSubSup>
      </m:oMath>
      <w:r w:rsidRPr="00287AF0">
        <w:t>, individually. This is done in two frames of </w:t>
      </w:r>
      <w:r w:rsidRPr="00AD482D">
        <w:rPr>
          <w:b/>
          <w:bCs/>
        </w:rPr>
        <w:t>Figure 6</w:t>
      </w:r>
      <w:r w:rsidRPr="00287AF0">
        <w:t xml:space="preserve">, for the cases of single and double isotopic substitutions. For convenience of comparison, the data for symmetric ozone molecules were multiplied by 2, </w:t>
      </w:r>
      <w:proofErr w:type="gramStart"/>
      <w:r w:rsidRPr="00287AF0">
        <w:t>in order to</w:t>
      </w:r>
      <w:proofErr w:type="gramEnd"/>
      <w:r w:rsidRPr="00287AF0">
        <w:t xml:space="preserve"> offset the effect of symmetry (see above). We checked that without this symmetry factor, the sum of two curves in each frame of </w:t>
      </w:r>
      <w:r w:rsidRPr="00AD482D">
        <w:rPr>
          <w:b/>
          <w:bCs/>
        </w:rPr>
        <w:t>Figure 6</w:t>
      </w:r>
      <w:r w:rsidRPr="00287AF0">
        <w:t> gives the corresponding red curve in </w:t>
      </w:r>
      <w:r w:rsidRPr="00AD482D">
        <w:rPr>
          <w:b/>
          <w:bCs/>
        </w:rPr>
        <w:t>Figure 5</w:t>
      </w:r>
      <w:r w:rsidRPr="00287AF0">
        <w:t>. From </w:t>
      </w:r>
      <w:r w:rsidRPr="00AD482D">
        <w:rPr>
          <w:b/>
          <w:bCs/>
        </w:rPr>
        <w:t>Figure 6</w:t>
      </w:r>
      <w:r w:rsidRPr="00287AF0">
        <w:t> we can see that the distributions of resonance width are very similar in symmetric and asymmetric ozone molecules in both singly and doubly substituted cases.</w:t>
      </w:r>
    </w:p>
    <w:p w14:paraId="6ABD7A18" w14:textId="37EC07C8" w:rsidR="00287AF0" w:rsidRPr="00287AF0" w:rsidRDefault="00287AF0" w:rsidP="00722D5C">
      <w:pPr>
        <w:pStyle w:val="NoSpacing"/>
      </w:pPr>
      <w:r w:rsidRPr="00287AF0">
        <w:rPr>
          <w:noProof/>
        </w:rPr>
        <w:drawing>
          <wp:inline distT="0" distB="0" distL="0" distR="0" wp14:anchorId="066510C9" wp14:editId="6EF6FFA5">
            <wp:extent cx="2743200" cy="4059936"/>
            <wp:effectExtent l="0" t="0" r="0" b="0"/>
            <wp:docPr id="2" name="Picture 2" descr="Molecules 26 01289 g006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olecules 26 01289 g006 55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4059936"/>
                    </a:xfrm>
                    <a:prstGeom prst="rect">
                      <a:avLst/>
                    </a:prstGeom>
                    <a:noFill/>
                    <a:ln>
                      <a:noFill/>
                    </a:ln>
                  </pic:spPr>
                </pic:pic>
              </a:graphicData>
            </a:graphic>
          </wp:inline>
        </w:drawing>
      </w:r>
    </w:p>
    <w:p w14:paraId="0201DDE3" w14:textId="15DBEF34" w:rsidR="00287AF0" w:rsidRDefault="00287AF0" w:rsidP="00722D5C">
      <w:pPr>
        <w:pStyle w:val="NoSpacing"/>
      </w:pPr>
      <w:r w:rsidRPr="00287AF0">
        <w:rPr>
          <w:b/>
          <w:bCs/>
        </w:rPr>
        <w:t>Figure 6.</w:t>
      </w:r>
      <w:r w:rsidRPr="00287AF0">
        <w:t> Distribution of resonance widths for the covalent well states in asymmetric (</w:t>
      </w:r>
      <w:r w:rsidRPr="00287AF0">
        <w:rPr>
          <w:b/>
          <w:bCs/>
        </w:rPr>
        <w:t>pink</w:t>
      </w:r>
      <w:r w:rsidRPr="00287AF0">
        <w:t>) and symmetric (</w:t>
      </w:r>
      <w:r w:rsidRPr="00287AF0">
        <w:rPr>
          <w:b/>
          <w:bCs/>
        </w:rPr>
        <w:t>violet</w:t>
      </w:r>
      <w:r w:rsidRPr="00287AF0">
        <w:t>) ozone molecules. Upper and lower frames correspond to single and double isotopic substitutions. To simplify the comparison, we plotted </w:t>
      </w:r>
      <m:oMath>
        <m:sSubSup>
          <m:sSubSupPr>
            <m:ctrlPr>
              <w:rPr>
                <w:rFonts w:ascii="Cambria Math" w:hAnsi="Cambria Math"/>
              </w:rPr>
            </m:ctrlPr>
          </m:sSubSupPr>
          <m:e>
            <m:acc>
              <m:accPr>
                <m:chr m:val="̃"/>
                <m:ctrlPr>
                  <w:rPr>
                    <w:rFonts w:ascii="Cambria Math" w:hAnsi="Cambria Math"/>
                  </w:rPr>
                </m:ctrlPr>
              </m:accPr>
              <m:e>
                <m:r>
                  <w:rPr>
                    <w:rFonts w:ascii="Cambria Math" w:hAnsi="Cambria Math"/>
                  </w:rPr>
                  <m:t>Q</m:t>
                </m:r>
              </m:e>
            </m:acc>
          </m:e>
          <m:sub>
            <m:r>
              <m:rPr>
                <m:sty m:val="p"/>
              </m:rPr>
              <w:rPr>
                <w:rFonts w:ascii="Cambria Math" w:hAnsi="Cambria Math"/>
              </w:rPr>
              <m:t>asym</m:t>
            </m:r>
          </m:sub>
          <m:sup>
            <m:r>
              <w:rPr>
                <w:rFonts w:ascii="Cambria Math" w:hAnsi="Cambria Math"/>
              </w:rPr>
              <m:t>∘</m:t>
            </m:r>
          </m:sup>
        </m:sSubSup>
      </m:oMath>
      <w:r w:rsidRPr="00287AF0">
        <w:t> and </w:t>
      </w:r>
      <m:oMath>
        <m:r>
          <w:rPr>
            <w:rFonts w:ascii="Cambria Math" w:hAnsi="Cambria Math"/>
          </w:rPr>
          <m:t>2</m:t>
        </m:r>
        <m:sSubSup>
          <m:sSubSupPr>
            <m:ctrlPr>
              <w:rPr>
                <w:rFonts w:ascii="Cambria Math" w:hAnsi="Cambria Math"/>
              </w:rPr>
            </m:ctrlPr>
          </m:sSubSupPr>
          <m:e>
            <m:acc>
              <m:accPr>
                <m:chr m:val="̃"/>
                <m:ctrlPr>
                  <w:rPr>
                    <w:rFonts w:ascii="Cambria Math" w:hAnsi="Cambria Math"/>
                  </w:rPr>
                </m:ctrlPr>
              </m:accPr>
              <m:e>
                <m:r>
                  <w:rPr>
                    <w:rFonts w:ascii="Cambria Math" w:hAnsi="Cambria Math"/>
                  </w:rPr>
                  <m:t>Q</m:t>
                </m:r>
              </m:e>
            </m:acc>
          </m:e>
          <m:sub>
            <m:r>
              <m:rPr>
                <m:sty m:val="p"/>
              </m:rPr>
              <w:rPr>
                <w:rFonts w:ascii="Cambria Math" w:hAnsi="Cambria Math"/>
              </w:rPr>
              <m:t>sym</m:t>
            </m:r>
          </m:sub>
          <m:sup>
            <m:r>
              <w:rPr>
                <w:rFonts w:ascii="Cambria Math" w:hAnsi="Cambria Math"/>
              </w:rPr>
              <m:t>∘</m:t>
            </m:r>
          </m:sup>
        </m:sSubSup>
      </m:oMath>
      <w:r w:rsidRPr="00287AF0">
        <w:t> </w:t>
      </w:r>
      <w:proofErr w:type="gramStart"/>
      <w:r w:rsidRPr="00287AF0">
        <w:t>in order to</w:t>
      </w:r>
      <w:proofErr w:type="gramEnd"/>
      <w:r w:rsidRPr="00287AF0">
        <w:t xml:space="preserve"> offset the effect of symmetry.</w:t>
      </w:r>
    </w:p>
    <w:p w14:paraId="08E0A4A2" w14:textId="77777777" w:rsidR="00722D5C" w:rsidRPr="00287AF0" w:rsidRDefault="00722D5C" w:rsidP="00287AF0"/>
    <w:p w14:paraId="1CAA07E9" w14:textId="427DD2C8" w:rsidR="00287AF0" w:rsidRPr="00287AF0" w:rsidRDefault="00287AF0" w:rsidP="00287AF0">
      <w:r w:rsidRPr="00287AF0">
        <w:t>Based on these distributions, the average values of resonance width in symmetric and asymmetric ozone molecules were computed and reported in </w:t>
      </w:r>
      <w:r w:rsidRPr="00AD482D">
        <w:rPr>
          <w:b/>
          <w:bCs/>
        </w:rPr>
        <w:t>Table 3</w:t>
      </w:r>
      <w:r w:rsidRPr="00287AF0">
        <w:t xml:space="preserve">. We see that the average values of widths and lifetimes are also very similar in symmetric and asymmetric ozone </w:t>
      </w:r>
      <w:proofErr w:type="spellStart"/>
      <w:r w:rsidRPr="00287AF0">
        <w:t>isotopomers</w:t>
      </w:r>
      <w:proofErr w:type="spellEnd"/>
      <w:r w:rsidRPr="00287AF0">
        <w:t>, for both single and double isotopic substitutions. Based on these data, we cannot claim that there is a significant difference in the lifetimes of resonances in symmetric and asymmetric ozone molecules, that could be used to explain the symmetry driven </w:t>
      </w:r>
      <w:r w:rsidRPr="00287AF0">
        <w:rPr>
          <w:i/>
          <w:iCs/>
        </w:rPr>
        <w:t>η</w:t>
      </w:r>
      <w:r w:rsidRPr="00287AF0">
        <w:t>-effect.</w:t>
      </w:r>
    </w:p>
    <w:p w14:paraId="41FE4333" w14:textId="77777777" w:rsidR="00287AF0" w:rsidRPr="00287AF0" w:rsidRDefault="00287AF0" w:rsidP="00126439">
      <w:pPr>
        <w:pStyle w:val="NoSpacing"/>
      </w:pPr>
      <w:r w:rsidRPr="00287AF0">
        <w:rPr>
          <w:b/>
          <w:bCs/>
        </w:rPr>
        <w:t>Table 3.</w:t>
      </w:r>
      <w:r w:rsidRPr="00287AF0">
        <w:t> Average resonance widths and their corresponding lifetimes for the resonances localized in the covalent well of symmetric and asymmetric ozone molecules for the cases of single and double isotopic substitutions.</w:t>
      </w:r>
    </w:p>
    <w:tbl>
      <w:tblPr>
        <w:tblStyle w:val="TableGrid"/>
        <w:tblW w:w="7392" w:type="dxa"/>
        <w:tblLook w:val="04A0" w:firstRow="1" w:lastRow="0" w:firstColumn="1" w:lastColumn="0" w:noHBand="0" w:noVBand="1"/>
      </w:tblPr>
      <w:tblGrid>
        <w:gridCol w:w="2791"/>
        <w:gridCol w:w="1320"/>
        <w:gridCol w:w="1126"/>
        <w:gridCol w:w="1029"/>
        <w:gridCol w:w="1126"/>
      </w:tblGrid>
      <w:tr w:rsidR="001216F2" w:rsidRPr="001216F2" w14:paraId="6286CC79" w14:textId="77777777" w:rsidTr="00523890">
        <w:tc>
          <w:tcPr>
            <w:tcW w:w="0" w:type="auto"/>
            <w:hideMark/>
          </w:tcPr>
          <w:p w14:paraId="600C199F" w14:textId="77777777" w:rsidR="001216F2" w:rsidRPr="001216F2" w:rsidRDefault="001216F2" w:rsidP="001216F2">
            <w:pPr>
              <w:jc w:val="center"/>
              <w:rPr>
                <w:rFonts w:ascii="Arial" w:eastAsia="Times New Roman" w:hAnsi="Arial" w:cs="Arial"/>
                <w:b/>
                <w:bCs/>
                <w:color w:val="222222"/>
                <w:sz w:val="20"/>
                <w:szCs w:val="20"/>
              </w:rPr>
            </w:pPr>
            <w:proofErr w:type="spellStart"/>
            <w:r w:rsidRPr="001216F2">
              <w:rPr>
                <w:rFonts w:ascii="Arial" w:eastAsia="Times New Roman" w:hAnsi="Arial" w:cs="Arial"/>
                <w:b/>
                <w:bCs/>
                <w:color w:val="222222"/>
                <w:sz w:val="20"/>
                <w:szCs w:val="20"/>
              </w:rPr>
              <w:t>Isotopomer</w:t>
            </w:r>
            <w:proofErr w:type="spellEnd"/>
            <w:r w:rsidRPr="001216F2">
              <w:rPr>
                <w:rFonts w:ascii="Arial" w:eastAsia="Times New Roman" w:hAnsi="Arial" w:cs="Arial"/>
                <w:b/>
                <w:bCs/>
                <w:color w:val="222222"/>
                <w:sz w:val="20"/>
                <w:szCs w:val="20"/>
              </w:rPr>
              <w:t xml:space="preserve"> of Ozone</w:t>
            </w:r>
          </w:p>
        </w:tc>
        <w:tc>
          <w:tcPr>
            <w:tcW w:w="0" w:type="auto"/>
            <w:hideMark/>
          </w:tcPr>
          <w:p w14:paraId="017ED7CD" w14:textId="53964DDE" w:rsidR="001216F2" w:rsidRPr="001216F2" w:rsidRDefault="001216F2" w:rsidP="001216F2">
            <w:pPr>
              <w:jc w:val="center"/>
              <w:rPr>
                <w:rFonts w:ascii="Arial" w:eastAsia="Times New Roman" w:hAnsi="Arial" w:cs="Arial"/>
                <w:b/>
                <w:bCs/>
                <w:color w:val="222222"/>
                <w:sz w:val="20"/>
                <w:szCs w:val="20"/>
              </w:rPr>
            </w:pPr>
            <m:oMath>
              <m:acc>
                <m:accPr>
                  <m:chr m:val="̃"/>
                  <m:ctrlPr>
                    <w:rPr>
                      <w:rFonts w:ascii="Cambria Math" w:eastAsia="Times New Roman" w:hAnsi="Cambria Math" w:cs="Arial"/>
                      <w:b/>
                      <w:bCs/>
                      <w:iCs/>
                      <w:color w:val="222222"/>
                      <w:sz w:val="23"/>
                      <w:szCs w:val="23"/>
                      <w:bdr w:val="none" w:sz="0" w:space="0" w:color="auto" w:frame="1"/>
                    </w:rPr>
                  </m:ctrlPr>
                </m:accPr>
                <m:e>
                  <m:r>
                    <m:rPr>
                      <m:sty m:val="b"/>
                    </m:rPr>
                    <w:rPr>
                      <w:rFonts w:ascii="Cambria Math" w:eastAsia="Times New Roman" w:hAnsi="Cambria Math" w:cs="Arial"/>
                      <w:color w:val="222222"/>
                      <w:sz w:val="23"/>
                      <w:szCs w:val="23"/>
                      <w:bdr w:val="none" w:sz="0" w:space="0" w:color="auto" w:frame="1"/>
                    </w:rPr>
                    <m:t>Γ</m:t>
                  </m:r>
                </m:e>
              </m:acc>
            </m:oMath>
            <w:r w:rsidRPr="00762626">
              <w:rPr>
                <w:rFonts w:ascii="MathJax_Size1" w:eastAsia="Times New Roman" w:hAnsi="MathJax_Size1" w:cs="Arial"/>
                <w:b/>
                <w:bCs/>
                <w:color w:val="222222"/>
                <w:sz w:val="23"/>
                <w:szCs w:val="23"/>
                <w:bdr w:val="none" w:sz="0" w:space="0" w:color="auto" w:frame="1"/>
              </w:rPr>
              <w:t>(</w:t>
            </w:r>
            <w:proofErr w:type="gramStart"/>
            <w:r w:rsidRPr="00762626">
              <w:rPr>
                <w:rFonts w:ascii="MathJax_Main-bold" w:eastAsia="Times New Roman" w:hAnsi="MathJax_Main-bold" w:cs="Arial"/>
                <w:b/>
                <w:bCs/>
                <w:color w:val="222222"/>
                <w:sz w:val="23"/>
                <w:szCs w:val="23"/>
                <w:bdr w:val="none" w:sz="0" w:space="0" w:color="auto" w:frame="1"/>
              </w:rPr>
              <w:t>cm</w:t>
            </w:r>
            <w:proofErr w:type="gramEnd"/>
            <w:r w:rsidRPr="00762626">
              <w:rPr>
                <w:rFonts w:ascii="MathJax_Main" w:eastAsia="Times New Roman" w:hAnsi="MathJax_Main" w:cs="Arial"/>
                <w:b/>
                <w:bCs/>
                <w:color w:val="222222"/>
                <w:sz w:val="17"/>
                <w:szCs w:val="17"/>
                <w:bdr w:val="none" w:sz="0" w:space="0" w:color="auto" w:frame="1"/>
              </w:rPr>
              <w:t>−1</w:t>
            </w:r>
            <w:r w:rsidRPr="00762626">
              <w:rPr>
                <w:rFonts w:ascii="MathJax_Size1" w:eastAsia="Times New Roman" w:hAnsi="MathJax_Size1" w:cs="Arial"/>
                <w:b/>
                <w:bCs/>
                <w:color w:val="222222"/>
                <w:sz w:val="23"/>
                <w:szCs w:val="23"/>
                <w:bdr w:val="none" w:sz="0" w:space="0" w:color="auto" w:frame="1"/>
              </w:rPr>
              <w:t>)</w:t>
            </w:r>
          </w:p>
        </w:tc>
        <w:tc>
          <w:tcPr>
            <w:tcW w:w="0" w:type="auto"/>
          </w:tcPr>
          <w:p w14:paraId="4B3FDC61" w14:textId="2B734DDD" w:rsidR="001216F2" w:rsidRPr="001216F2" w:rsidRDefault="001216F2" w:rsidP="001216F2">
            <w:pPr>
              <w:jc w:val="center"/>
              <w:rPr>
                <w:rFonts w:ascii="Arial" w:eastAsia="Times New Roman" w:hAnsi="Arial" w:cs="Arial"/>
                <w:b/>
                <w:bCs/>
                <w:color w:val="222222"/>
                <w:sz w:val="20"/>
                <w:szCs w:val="20"/>
              </w:rPr>
            </w:pPr>
          </w:p>
        </w:tc>
        <w:tc>
          <w:tcPr>
            <w:tcW w:w="0" w:type="auto"/>
            <w:hideMark/>
          </w:tcPr>
          <w:p w14:paraId="59B68461" w14:textId="5C94DA93" w:rsidR="001216F2" w:rsidRPr="001216F2" w:rsidRDefault="001216F2" w:rsidP="001216F2">
            <w:pPr>
              <w:jc w:val="center"/>
              <w:rPr>
                <w:rFonts w:ascii="Arial" w:eastAsia="Times New Roman" w:hAnsi="Arial" w:cs="Arial"/>
                <w:b/>
                <w:bCs/>
                <w:color w:val="222222"/>
                <w:sz w:val="20"/>
                <w:szCs w:val="20"/>
              </w:rPr>
            </w:pPr>
            <m:oMath>
              <m:acc>
                <m:accPr>
                  <m:chr m:val="̃"/>
                  <m:ctrlPr>
                    <w:rPr>
                      <w:rFonts w:ascii="Cambria Math" w:eastAsia="Times New Roman" w:hAnsi="Cambria Math" w:cs="Arial"/>
                      <w:b/>
                      <w:bCs/>
                      <w:iCs/>
                      <w:color w:val="222222"/>
                      <w:sz w:val="19"/>
                      <w:szCs w:val="19"/>
                      <w:bdr w:val="none" w:sz="0" w:space="0" w:color="auto" w:frame="1"/>
                    </w:rPr>
                  </m:ctrlPr>
                </m:accPr>
                <m:e>
                  <m:r>
                    <m:rPr>
                      <m:sty m:val="b"/>
                    </m:rPr>
                    <w:rPr>
                      <w:rFonts w:ascii="Cambria Math" w:eastAsia="Times New Roman" w:hAnsi="Cambria Math" w:cs="Arial"/>
                      <w:color w:val="222222"/>
                      <w:sz w:val="19"/>
                      <w:szCs w:val="19"/>
                      <w:bdr w:val="none" w:sz="0" w:space="0" w:color="auto" w:frame="1"/>
                    </w:rPr>
                    <m:t>τ</m:t>
                  </m:r>
                </m:e>
              </m:acc>
            </m:oMath>
            <w:r w:rsidRPr="00762626">
              <w:rPr>
                <w:rFonts w:ascii="MathJax_Main" w:eastAsia="Times New Roman" w:hAnsi="MathJax_Main" w:cs="Arial"/>
                <w:b/>
                <w:bCs/>
                <w:color w:val="222222"/>
                <w:sz w:val="23"/>
                <w:szCs w:val="23"/>
                <w:bdr w:val="none" w:sz="0" w:space="0" w:color="auto" w:frame="1"/>
              </w:rPr>
              <w:t>(</w:t>
            </w:r>
            <w:proofErr w:type="spellStart"/>
            <w:r w:rsidRPr="00762626">
              <w:rPr>
                <w:rFonts w:ascii="MathJax_Main-bold" w:eastAsia="Times New Roman" w:hAnsi="MathJax_Main-bold" w:cs="Arial"/>
                <w:b/>
                <w:bCs/>
                <w:color w:val="222222"/>
                <w:sz w:val="23"/>
                <w:szCs w:val="23"/>
                <w:bdr w:val="none" w:sz="0" w:space="0" w:color="auto" w:frame="1"/>
              </w:rPr>
              <w:t>ps</w:t>
            </w:r>
            <w:proofErr w:type="spellEnd"/>
            <w:r w:rsidRPr="00762626">
              <w:rPr>
                <w:rFonts w:ascii="MathJax_Main" w:eastAsia="Times New Roman" w:hAnsi="MathJax_Main" w:cs="Arial"/>
                <w:b/>
                <w:bCs/>
                <w:color w:val="222222"/>
                <w:sz w:val="23"/>
                <w:szCs w:val="23"/>
                <w:bdr w:val="none" w:sz="0" w:space="0" w:color="auto" w:frame="1"/>
              </w:rPr>
              <w:t>)</w:t>
            </w:r>
          </w:p>
        </w:tc>
        <w:tc>
          <w:tcPr>
            <w:tcW w:w="0" w:type="auto"/>
          </w:tcPr>
          <w:p w14:paraId="6BF64A21" w14:textId="3E72EB37" w:rsidR="001216F2" w:rsidRPr="001216F2" w:rsidRDefault="001216F2" w:rsidP="001216F2">
            <w:pPr>
              <w:jc w:val="center"/>
              <w:rPr>
                <w:rFonts w:ascii="Arial" w:eastAsia="Times New Roman" w:hAnsi="Arial" w:cs="Arial"/>
                <w:b/>
                <w:bCs/>
                <w:color w:val="222222"/>
                <w:sz w:val="20"/>
                <w:szCs w:val="20"/>
              </w:rPr>
            </w:pPr>
          </w:p>
        </w:tc>
      </w:tr>
      <w:tr w:rsidR="001216F2" w:rsidRPr="001216F2" w14:paraId="1B814120" w14:textId="77777777" w:rsidTr="001216F2">
        <w:tc>
          <w:tcPr>
            <w:tcW w:w="0" w:type="auto"/>
            <w:hideMark/>
          </w:tcPr>
          <w:p w14:paraId="685F1ACB" w14:textId="77777777" w:rsidR="001216F2" w:rsidRPr="001216F2" w:rsidRDefault="001216F2" w:rsidP="001216F2">
            <w:pPr>
              <w:rPr>
                <w:rFonts w:ascii="Arial" w:eastAsia="Times New Roman" w:hAnsi="Arial" w:cs="Arial"/>
                <w:b/>
                <w:bCs/>
                <w:color w:val="222222"/>
                <w:sz w:val="20"/>
                <w:szCs w:val="20"/>
              </w:rPr>
            </w:pPr>
          </w:p>
        </w:tc>
        <w:tc>
          <w:tcPr>
            <w:tcW w:w="0" w:type="auto"/>
            <w:hideMark/>
          </w:tcPr>
          <w:p w14:paraId="2393B99C" w14:textId="77777777" w:rsidR="001216F2" w:rsidRPr="001216F2" w:rsidRDefault="001216F2" w:rsidP="001216F2">
            <w:pPr>
              <w:jc w:val="center"/>
              <w:rPr>
                <w:rFonts w:ascii="Arial" w:eastAsia="Times New Roman" w:hAnsi="Arial" w:cs="Arial"/>
                <w:b/>
                <w:bCs/>
                <w:color w:val="222222"/>
                <w:sz w:val="20"/>
                <w:szCs w:val="20"/>
              </w:rPr>
            </w:pPr>
            <w:r w:rsidRPr="001216F2">
              <w:rPr>
                <w:rFonts w:ascii="Arial" w:eastAsia="Times New Roman" w:hAnsi="Arial" w:cs="Arial"/>
                <w:b/>
                <w:bCs/>
                <w:color w:val="222222"/>
                <w:sz w:val="20"/>
                <w:szCs w:val="20"/>
              </w:rPr>
              <w:t>Single</w:t>
            </w:r>
          </w:p>
        </w:tc>
        <w:tc>
          <w:tcPr>
            <w:tcW w:w="0" w:type="auto"/>
            <w:hideMark/>
          </w:tcPr>
          <w:p w14:paraId="754463AB" w14:textId="77777777" w:rsidR="001216F2" w:rsidRPr="001216F2" w:rsidRDefault="001216F2" w:rsidP="001216F2">
            <w:pPr>
              <w:jc w:val="center"/>
              <w:rPr>
                <w:rFonts w:ascii="Arial" w:eastAsia="Times New Roman" w:hAnsi="Arial" w:cs="Arial"/>
                <w:b/>
                <w:bCs/>
                <w:color w:val="222222"/>
                <w:sz w:val="20"/>
                <w:szCs w:val="20"/>
              </w:rPr>
            </w:pPr>
            <w:r w:rsidRPr="001216F2">
              <w:rPr>
                <w:rFonts w:ascii="Arial" w:eastAsia="Times New Roman" w:hAnsi="Arial" w:cs="Arial"/>
                <w:b/>
                <w:bCs/>
                <w:color w:val="222222"/>
                <w:sz w:val="20"/>
                <w:szCs w:val="20"/>
              </w:rPr>
              <w:t>Double</w:t>
            </w:r>
          </w:p>
        </w:tc>
        <w:tc>
          <w:tcPr>
            <w:tcW w:w="0" w:type="auto"/>
            <w:hideMark/>
          </w:tcPr>
          <w:p w14:paraId="5BB09AB2" w14:textId="77777777" w:rsidR="001216F2" w:rsidRPr="001216F2" w:rsidRDefault="001216F2" w:rsidP="001216F2">
            <w:pPr>
              <w:jc w:val="center"/>
              <w:rPr>
                <w:rFonts w:ascii="Arial" w:eastAsia="Times New Roman" w:hAnsi="Arial" w:cs="Arial"/>
                <w:b/>
                <w:bCs/>
                <w:color w:val="222222"/>
                <w:sz w:val="20"/>
                <w:szCs w:val="20"/>
              </w:rPr>
            </w:pPr>
            <w:r w:rsidRPr="001216F2">
              <w:rPr>
                <w:rFonts w:ascii="Arial" w:eastAsia="Times New Roman" w:hAnsi="Arial" w:cs="Arial"/>
                <w:b/>
                <w:bCs/>
                <w:color w:val="222222"/>
                <w:sz w:val="20"/>
                <w:szCs w:val="20"/>
              </w:rPr>
              <w:t>Single</w:t>
            </w:r>
          </w:p>
        </w:tc>
        <w:tc>
          <w:tcPr>
            <w:tcW w:w="0" w:type="auto"/>
            <w:hideMark/>
          </w:tcPr>
          <w:p w14:paraId="212B7702" w14:textId="77777777" w:rsidR="001216F2" w:rsidRPr="001216F2" w:rsidRDefault="001216F2" w:rsidP="001216F2">
            <w:pPr>
              <w:jc w:val="center"/>
              <w:rPr>
                <w:rFonts w:ascii="Arial" w:eastAsia="Times New Roman" w:hAnsi="Arial" w:cs="Arial"/>
                <w:b/>
                <w:bCs/>
                <w:color w:val="222222"/>
                <w:sz w:val="20"/>
                <w:szCs w:val="20"/>
              </w:rPr>
            </w:pPr>
            <w:r w:rsidRPr="001216F2">
              <w:rPr>
                <w:rFonts w:ascii="Arial" w:eastAsia="Times New Roman" w:hAnsi="Arial" w:cs="Arial"/>
                <w:b/>
                <w:bCs/>
                <w:color w:val="222222"/>
                <w:sz w:val="20"/>
                <w:szCs w:val="20"/>
              </w:rPr>
              <w:t>Double</w:t>
            </w:r>
          </w:p>
        </w:tc>
      </w:tr>
      <w:tr w:rsidR="001216F2" w:rsidRPr="001216F2" w14:paraId="08F75C9B" w14:textId="77777777" w:rsidTr="001216F2">
        <w:tc>
          <w:tcPr>
            <w:tcW w:w="0" w:type="auto"/>
            <w:hideMark/>
          </w:tcPr>
          <w:p w14:paraId="48AC2158" w14:textId="77777777" w:rsidR="001216F2" w:rsidRPr="001216F2" w:rsidRDefault="001216F2" w:rsidP="001216F2">
            <w:pPr>
              <w:jc w:val="center"/>
              <w:rPr>
                <w:rFonts w:ascii="Arial" w:eastAsia="Times New Roman" w:hAnsi="Arial" w:cs="Arial"/>
                <w:color w:val="222222"/>
                <w:sz w:val="20"/>
                <w:szCs w:val="20"/>
              </w:rPr>
            </w:pPr>
            <w:r w:rsidRPr="001216F2">
              <w:rPr>
                <w:rFonts w:ascii="Arial" w:eastAsia="Times New Roman" w:hAnsi="Arial" w:cs="Arial"/>
                <w:color w:val="222222"/>
                <w:sz w:val="20"/>
                <w:szCs w:val="20"/>
              </w:rPr>
              <w:t>Symmetric</w:t>
            </w:r>
          </w:p>
        </w:tc>
        <w:tc>
          <w:tcPr>
            <w:tcW w:w="0" w:type="auto"/>
            <w:hideMark/>
          </w:tcPr>
          <w:p w14:paraId="0E881A11" w14:textId="77777777" w:rsidR="001216F2" w:rsidRPr="001216F2" w:rsidRDefault="001216F2" w:rsidP="001216F2">
            <w:pPr>
              <w:jc w:val="center"/>
              <w:rPr>
                <w:rFonts w:ascii="Arial" w:eastAsia="Times New Roman" w:hAnsi="Arial" w:cs="Arial"/>
                <w:color w:val="222222"/>
                <w:sz w:val="20"/>
                <w:szCs w:val="20"/>
              </w:rPr>
            </w:pPr>
            <w:r w:rsidRPr="001216F2">
              <w:rPr>
                <w:rFonts w:ascii="Arial" w:eastAsia="Times New Roman" w:hAnsi="Arial" w:cs="Arial"/>
                <w:color w:val="222222"/>
                <w:sz w:val="20"/>
                <w:szCs w:val="20"/>
              </w:rPr>
              <w:t>1.22</w:t>
            </w:r>
          </w:p>
        </w:tc>
        <w:tc>
          <w:tcPr>
            <w:tcW w:w="0" w:type="auto"/>
            <w:hideMark/>
          </w:tcPr>
          <w:p w14:paraId="165CC3A3" w14:textId="77777777" w:rsidR="001216F2" w:rsidRPr="001216F2" w:rsidRDefault="001216F2" w:rsidP="001216F2">
            <w:pPr>
              <w:jc w:val="center"/>
              <w:rPr>
                <w:rFonts w:ascii="Arial" w:eastAsia="Times New Roman" w:hAnsi="Arial" w:cs="Arial"/>
                <w:color w:val="222222"/>
                <w:sz w:val="20"/>
                <w:szCs w:val="20"/>
              </w:rPr>
            </w:pPr>
            <w:r w:rsidRPr="001216F2">
              <w:rPr>
                <w:rFonts w:ascii="Arial" w:eastAsia="Times New Roman" w:hAnsi="Arial" w:cs="Arial"/>
                <w:color w:val="222222"/>
                <w:sz w:val="20"/>
                <w:szCs w:val="20"/>
              </w:rPr>
              <w:t>0.91</w:t>
            </w:r>
          </w:p>
        </w:tc>
        <w:tc>
          <w:tcPr>
            <w:tcW w:w="0" w:type="auto"/>
            <w:hideMark/>
          </w:tcPr>
          <w:p w14:paraId="7FCA064C" w14:textId="77777777" w:rsidR="001216F2" w:rsidRPr="001216F2" w:rsidRDefault="001216F2" w:rsidP="001216F2">
            <w:pPr>
              <w:jc w:val="center"/>
              <w:rPr>
                <w:rFonts w:ascii="Arial" w:eastAsia="Times New Roman" w:hAnsi="Arial" w:cs="Arial"/>
                <w:color w:val="222222"/>
                <w:sz w:val="20"/>
                <w:szCs w:val="20"/>
              </w:rPr>
            </w:pPr>
            <w:r w:rsidRPr="001216F2">
              <w:rPr>
                <w:rFonts w:ascii="Arial" w:eastAsia="Times New Roman" w:hAnsi="Arial" w:cs="Arial"/>
                <w:color w:val="222222"/>
                <w:sz w:val="20"/>
                <w:szCs w:val="20"/>
              </w:rPr>
              <w:t>27.3</w:t>
            </w:r>
          </w:p>
        </w:tc>
        <w:tc>
          <w:tcPr>
            <w:tcW w:w="0" w:type="auto"/>
            <w:hideMark/>
          </w:tcPr>
          <w:p w14:paraId="046099C2" w14:textId="77777777" w:rsidR="001216F2" w:rsidRPr="001216F2" w:rsidRDefault="001216F2" w:rsidP="001216F2">
            <w:pPr>
              <w:jc w:val="center"/>
              <w:rPr>
                <w:rFonts w:ascii="Arial" w:eastAsia="Times New Roman" w:hAnsi="Arial" w:cs="Arial"/>
                <w:color w:val="222222"/>
                <w:sz w:val="20"/>
                <w:szCs w:val="20"/>
              </w:rPr>
            </w:pPr>
            <w:r w:rsidRPr="001216F2">
              <w:rPr>
                <w:rFonts w:ascii="Arial" w:eastAsia="Times New Roman" w:hAnsi="Arial" w:cs="Arial"/>
                <w:color w:val="222222"/>
                <w:sz w:val="20"/>
                <w:szCs w:val="20"/>
              </w:rPr>
              <w:t>36.7</w:t>
            </w:r>
          </w:p>
        </w:tc>
      </w:tr>
      <w:tr w:rsidR="001216F2" w:rsidRPr="001216F2" w14:paraId="4A708D58" w14:textId="77777777" w:rsidTr="001216F2">
        <w:tc>
          <w:tcPr>
            <w:tcW w:w="0" w:type="auto"/>
            <w:hideMark/>
          </w:tcPr>
          <w:p w14:paraId="14A85178" w14:textId="77777777" w:rsidR="001216F2" w:rsidRPr="001216F2" w:rsidRDefault="001216F2" w:rsidP="001216F2">
            <w:pPr>
              <w:jc w:val="center"/>
              <w:rPr>
                <w:rFonts w:ascii="Arial" w:eastAsia="Times New Roman" w:hAnsi="Arial" w:cs="Arial"/>
                <w:color w:val="222222"/>
                <w:sz w:val="20"/>
                <w:szCs w:val="20"/>
              </w:rPr>
            </w:pPr>
            <w:r w:rsidRPr="001216F2">
              <w:rPr>
                <w:rFonts w:ascii="Arial" w:eastAsia="Times New Roman" w:hAnsi="Arial" w:cs="Arial"/>
                <w:color w:val="222222"/>
                <w:sz w:val="20"/>
                <w:szCs w:val="20"/>
              </w:rPr>
              <w:t>Asymmetric</w:t>
            </w:r>
          </w:p>
        </w:tc>
        <w:tc>
          <w:tcPr>
            <w:tcW w:w="0" w:type="auto"/>
            <w:hideMark/>
          </w:tcPr>
          <w:p w14:paraId="184A340D" w14:textId="77777777" w:rsidR="001216F2" w:rsidRPr="001216F2" w:rsidRDefault="001216F2" w:rsidP="001216F2">
            <w:pPr>
              <w:jc w:val="center"/>
              <w:rPr>
                <w:rFonts w:ascii="Arial" w:eastAsia="Times New Roman" w:hAnsi="Arial" w:cs="Arial"/>
                <w:color w:val="222222"/>
                <w:sz w:val="20"/>
                <w:szCs w:val="20"/>
              </w:rPr>
            </w:pPr>
            <w:r w:rsidRPr="001216F2">
              <w:rPr>
                <w:rFonts w:ascii="Arial" w:eastAsia="Times New Roman" w:hAnsi="Arial" w:cs="Arial"/>
                <w:color w:val="222222"/>
                <w:sz w:val="20"/>
                <w:szCs w:val="20"/>
              </w:rPr>
              <w:t>1.17</w:t>
            </w:r>
          </w:p>
        </w:tc>
        <w:tc>
          <w:tcPr>
            <w:tcW w:w="0" w:type="auto"/>
            <w:hideMark/>
          </w:tcPr>
          <w:p w14:paraId="71BB86D3" w14:textId="77777777" w:rsidR="001216F2" w:rsidRPr="001216F2" w:rsidRDefault="001216F2" w:rsidP="001216F2">
            <w:pPr>
              <w:jc w:val="center"/>
              <w:rPr>
                <w:rFonts w:ascii="Arial" w:eastAsia="Times New Roman" w:hAnsi="Arial" w:cs="Arial"/>
                <w:color w:val="222222"/>
                <w:sz w:val="20"/>
                <w:szCs w:val="20"/>
              </w:rPr>
            </w:pPr>
            <w:r w:rsidRPr="001216F2">
              <w:rPr>
                <w:rFonts w:ascii="Arial" w:eastAsia="Times New Roman" w:hAnsi="Arial" w:cs="Arial"/>
                <w:color w:val="222222"/>
                <w:sz w:val="20"/>
                <w:szCs w:val="20"/>
              </w:rPr>
              <w:t>0.94</w:t>
            </w:r>
          </w:p>
        </w:tc>
        <w:tc>
          <w:tcPr>
            <w:tcW w:w="0" w:type="auto"/>
            <w:hideMark/>
          </w:tcPr>
          <w:p w14:paraId="42303E05" w14:textId="77777777" w:rsidR="001216F2" w:rsidRPr="001216F2" w:rsidRDefault="001216F2" w:rsidP="001216F2">
            <w:pPr>
              <w:jc w:val="center"/>
              <w:rPr>
                <w:rFonts w:ascii="Arial" w:eastAsia="Times New Roman" w:hAnsi="Arial" w:cs="Arial"/>
                <w:color w:val="222222"/>
                <w:sz w:val="20"/>
                <w:szCs w:val="20"/>
              </w:rPr>
            </w:pPr>
            <w:r w:rsidRPr="001216F2">
              <w:rPr>
                <w:rFonts w:ascii="Arial" w:eastAsia="Times New Roman" w:hAnsi="Arial" w:cs="Arial"/>
                <w:color w:val="222222"/>
                <w:sz w:val="20"/>
                <w:szCs w:val="20"/>
              </w:rPr>
              <w:t>28.5</w:t>
            </w:r>
          </w:p>
        </w:tc>
        <w:tc>
          <w:tcPr>
            <w:tcW w:w="0" w:type="auto"/>
            <w:hideMark/>
          </w:tcPr>
          <w:p w14:paraId="4FC818E9" w14:textId="77777777" w:rsidR="001216F2" w:rsidRPr="001216F2" w:rsidRDefault="001216F2" w:rsidP="001216F2">
            <w:pPr>
              <w:jc w:val="center"/>
              <w:rPr>
                <w:rFonts w:ascii="Arial" w:eastAsia="Times New Roman" w:hAnsi="Arial" w:cs="Arial"/>
                <w:color w:val="222222"/>
                <w:sz w:val="20"/>
                <w:szCs w:val="20"/>
              </w:rPr>
            </w:pPr>
            <w:r w:rsidRPr="001216F2">
              <w:rPr>
                <w:rFonts w:ascii="Arial" w:eastAsia="Times New Roman" w:hAnsi="Arial" w:cs="Arial"/>
                <w:color w:val="222222"/>
                <w:sz w:val="20"/>
                <w:szCs w:val="20"/>
              </w:rPr>
              <w:t>35.5</w:t>
            </w:r>
          </w:p>
        </w:tc>
      </w:tr>
    </w:tbl>
    <w:p w14:paraId="5264C5EE" w14:textId="02054AFE" w:rsidR="00287AF0" w:rsidRPr="00287AF0" w:rsidRDefault="00287AF0" w:rsidP="00287AF0"/>
    <w:p w14:paraId="7F0A2375" w14:textId="77777777" w:rsidR="00287AF0" w:rsidRPr="00287AF0" w:rsidRDefault="00287AF0" w:rsidP="001216F2">
      <w:pPr>
        <w:pStyle w:val="Heading1"/>
      </w:pPr>
      <w:r w:rsidRPr="00287AF0">
        <w:t>4. Conclusions</w:t>
      </w:r>
    </w:p>
    <w:p w14:paraId="42FF4434" w14:textId="77777777" w:rsidR="00287AF0" w:rsidRPr="00287AF0" w:rsidRDefault="00287AF0" w:rsidP="00287AF0">
      <w:r w:rsidRPr="00287AF0">
        <w:t>In this paper we worked out theoretical basis for the description of all possible recombination pathways in the ozone forming reaction, without neglecting any process </w:t>
      </w:r>
      <w:r w:rsidRPr="00287AF0">
        <w:rPr>
          <w:i/>
          <w:iCs/>
        </w:rPr>
        <w:t>a priori</w:t>
      </w:r>
      <w:r w:rsidRPr="00287AF0">
        <w:t>, and without decoupling the individual pathways one from another. These pathways become physically distinct when a rare isotope of oxygen is introduced, such as </w:t>
      </w:r>
      <w:r w:rsidRPr="00287AF0">
        <w:rPr>
          <w:vertAlign w:val="superscript"/>
        </w:rPr>
        <w:t>18</w:t>
      </w:r>
      <w:r w:rsidRPr="00287AF0">
        <w:t>O, and therefore they represent a sensitive probe of fine details in the ozone forming reaction. Here we considered the cases of single and double substitutions with </w:t>
      </w:r>
      <w:r w:rsidRPr="00287AF0">
        <w:rPr>
          <w:vertAlign w:val="superscript"/>
        </w:rPr>
        <w:t>18</w:t>
      </w:r>
      <w:r w:rsidRPr="00287AF0">
        <w:t>O, but the cases of isotope </w:t>
      </w:r>
      <w:r w:rsidRPr="00287AF0">
        <w:rPr>
          <w:vertAlign w:val="superscript"/>
        </w:rPr>
        <w:t>17</w:t>
      </w:r>
      <w:r w:rsidRPr="00287AF0">
        <w:t>O can be described in a similar manner.</w:t>
      </w:r>
    </w:p>
    <w:p w14:paraId="55E84CBD" w14:textId="77777777" w:rsidR="00287AF0" w:rsidRPr="00287AF0" w:rsidRDefault="00287AF0" w:rsidP="00287AF0">
      <w:r w:rsidRPr="00287AF0">
        <w:t>One should realize that, in each isotopic case, on the global potential energy surface of O</w:t>
      </w:r>
      <w:r w:rsidRPr="00287AF0">
        <w:rPr>
          <w:vertAlign w:val="subscript"/>
        </w:rPr>
        <w:t>3</w:t>
      </w:r>
      <w:r w:rsidRPr="00287AF0">
        <w:t> there are two types of physically distinct entrance channels (one with homonuclear and the other with heteronuclear oxygen molecule) and two types of physically distinct product wells (one with symmetric and the other with asymmetric ozone molecules). This 2 × 2 combination leads to the appearance of </w:t>
      </w:r>
      <w:r w:rsidRPr="00287AF0">
        <w:rPr>
          <w:i/>
          <w:iCs/>
        </w:rPr>
        <w:t>four</w:t>
      </w:r>
      <w:r w:rsidRPr="00287AF0">
        <w:t xml:space="preserve"> physically distinct recombination pathways that are coupled. A consistent description of these processes can be achieved only if, for each metastable ozone state, there is a method of partitioning the rate of formation/decay between the two reagent </w:t>
      </w:r>
      <w:proofErr w:type="gramStart"/>
      <w:r w:rsidRPr="00287AF0">
        <w:t>channels, and</w:t>
      </w:r>
      <w:proofErr w:type="gramEnd"/>
      <w:r w:rsidRPr="00287AF0">
        <w:t xml:space="preserve"> splitting the rate of stabilization between the two product wells.</w:t>
      </w:r>
    </w:p>
    <w:p w14:paraId="4BD4E44C" w14:textId="77777777" w:rsidR="00287AF0" w:rsidRPr="00287AF0" w:rsidRDefault="00287AF0" w:rsidP="00287AF0">
      <w:r w:rsidRPr="00287AF0">
        <w:t>Using the database of metastable ozone states (scattering resonances computed earlier) as input parameters, we applied this theory to compute rate coefficients for four isotopically labeled recombination pathways in the cases of single and double substitutions with </w:t>
      </w:r>
      <w:r w:rsidRPr="00287AF0">
        <w:rPr>
          <w:vertAlign w:val="superscript"/>
        </w:rPr>
        <w:t>18</w:t>
      </w:r>
      <w:r w:rsidRPr="00287AF0">
        <w:t>O, eight rate coefficients total. Based on these data, the nascent isotope effects were determined and compared with available experimental data.</w:t>
      </w:r>
    </w:p>
    <w:p w14:paraId="41471831" w14:textId="4603473F" w:rsidR="00287AF0" w:rsidRPr="00287AF0" w:rsidRDefault="00287AF0" w:rsidP="00287AF0">
      <w:r w:rsidRPr="00287AF0">
        <w:t>To the best of our knowledge, this is the first theoretical work in which all four rate coefficients are determined simultaneously, including the insertion processes characterized by very small rates. Namely, the insertion of a rare isotope </w:t>
      </w:r>
      <w:r w:rsidRPr="00287AF0">
        <w:rPr>
          <w:vertAlign w:val="superscript"/>
        </w:rPr>
        <w:t>18</w:t>
      </w:r>
      <w:r w:rsidRPr="00287AF0">
        <w:t>O in between the atoms in </w:t>
      </w:r>
      <w:r w:rsidRPr="00287AF0">
        <w:rPr>
          <w:vertAlign w:val="superscript"/>
        </w:rPr>
        <w:t>16</w:t>
      </w:r>
      <w:r w:rsidRPr="00287AF0">
        <w:t>O</w:t>
      </w:r>
      <w:r w:rsidRPr="00287AF0">
        <w:rPr>
          <w:vertAlign w:val="superscript"/>
        </w:rPr>
        <w:t>16</w:t>
      </w:r>
      <w:r w:rsidRPr="00287AF0">
        <w:t>O, and the insertion of </w:t>
      </w:r>
      <w:r w:rsidRPr="00287AF0">
        <w:rPr>
          <w:vertAlign w:val="superscript"/>
        </w:rPr>
        <w:t>16</w:t>
      </w:r>
      <w:r w:rsidRPr="00287AF0">
        <w:t>O in between the atoms in </w:t>
      </w:r>
      <w:r w:rsidRPr="00287AF0">
        <w:rPr>
          <w:vertAlign w:val="superscript"/>
        </w:rPr>
        <w:t>18</w:t>
      </w:r>
      <w:r w:rsidRPr="00287AF0">
        <w:t>O</w:t>
      </w:r>
      <w:r w:rsidRPr="00287AF0">
        <w:rPr>
          <w:vertAlign w:val="superscript"/>
        </w:rPr>
        <w:t>18</w:t>
      </w:r>
      <w:r w:rsidRPr="00287AF0">
        <w:t xml:space="preserve">O, are found to be two orders of magnitude slower compared to the other six recombination rates, in agreement with experimental data of the </w:t>
      </w:r>
      <w:proofErr w:type="spellStart"/>
      <w:r w:rsidRPr="00287AF0">
        <w:t>Mauersberger</w:t>
      </w:r>
      <w:proofErr w:type="spellEnd"/>
      <w:r w:rsidRPr="00287AF0">
        <w:t xml:space="preserve"> group. Two possible pathways for the formation of each asymmetric ozone molecule (singly substituted </w:t>
      </w:r>
      <w:r w:rsidRPr="00287AF0">
        <w:rPr>
          <w:vertAlign w:val="superscript"/>
        </w:rPr>
        <w:t>16</w:t>
      </w:r>
      <w:r w:rsidRPr="00287AF0">
        <w:t>O</w:t>
      </w:r>
      <w:r w:rsidRPr="00287AF0">
        <w:rPr>
          <w:vertAlign w:val="superscript"/>
        </w:rPr>
        <w:t>16</w:t>
      </w:r>
      <w:r w:rsidRPr="00287AF0">
        <w:t>O</w:t>
      </w:r>
      <w:r w:rsidRPr="00287AF0">
        <w:rPr>
          <w:vertAlign w:val="superscript"/>
        </w:rPr>
        <w:t>18</w:t>
      </w:r>
      <w:r w:rsidRPr="00287AF0">
        <w:t>O and doubly substituted </w:t>
      </w:r>
      <w:r w:rsidRPr="00287AF0">
        <w:rPr>
          <w:vertAlign w:val="superscript"/>
        </w:rPr>
        <w:t>16</w:t>
      </w:r>
      <w:r w:rsidRPr="00287AF0">
        <w:t>O</w:t>
      </w:r>
      <w:r w:rsidRPr="00287AF0">
        <w:rPr>
          <w:vertAlign w:val="superscript"/>
        </w:rPr>
        <w:t>18</w:t>
      </w:r>
      <w:r w:rsidRPr="00287AF0">
        <w:t>O</w:t>
      </w:r>
      <w:r w:rsidRPr="00287AF0">
        <w:rPr>
          <w:vertAlign w:val="superscript"/>
        </w:rPr>
        <w:t>18</w:t>
      </w:r>
      <w:r w:rsidRPr="00287AF0">
        <w:t xml:space="preserve">O) indicate a pronounced, large isotope effect driven by </w:t>
      </w:r>
      <m:oMath>
        <m:r>
          <m:rPr>
            <m:sty m:val="p"/>
          </m:rPr>
          <w:rPr>
            <w:rFonts w:ascii="Cambria Math" w:hAnsi="Cambria Math"/>
          </w:rPr>
          <m:t>ΔZPE</m:t>
        </m:r>
      </m:oMath>
      <w:r w:rsidR="00D32CB1" w:rsidRPr="00287AF0">
        <w:t xml:space="preserve"> </w:t>
      </w:r>
      <w:r w:rsidRPr="00287AF0">
        <w:t>-difference, which is also in good agreement with available experimental data. The rate coefficient for the formation of each symmetric ozone molecule (singly substituted </w:t>
      </w:r>
      <w:r w:rsidRPr="00287AF0">
        <w:rPr>
          <w:vertAlign w:val="superscript"/>
        </w:rPr>
        <w:t>16</w:t>
      </w:r>
      <w:r w:rsidRPr="00287AF0">
        <w:t>O</w:t>
      </w:r>
      <w:r w:rsidRPr="00287AF0">
        <w:rPr>
          <w:vertAlign w:val="superscript"/>
        </w:rPr>
        <w:t>18</w:t>
      </w:r>
      <w:r w:rsidRPr="00287AF0">
        <w:t>O</w:t>
      </w:r>
      <w:r w:rsidRPr="00287AF0">
        <w:rPr>
          <w:vertAlign w:val="superscript"/>
        </w:rPr>
        <w:t>16</w:t>
      </w:r>
      <w:r w:rsidRPr="00287AF0">
        <w:t>O and doubly substituted </w:t>
      </w:r>
      <w:r w:rsidRPr="00287AF0">
        <w:rPr>
          <w:vertAlign w:val="superscript"/>
        </w:rPr>
        <w:t>18</w:t>
      </w:r>
      <w:r w:rsidRPr="00287AF0">
        <w:t>O</w:t>
      </w:r>
      <w:r w:rsidRPr="00287AF0">
        <w:rPr>
          <w:vertAlign w:val="superscript"/>
        </w:rPr>
        <w:t>16</w:t>
      </w:r>
      <w:r w:rsidRPr="00287AF0">
        <w:t>O</w:t>
      </w:r>
      <w:r w:rsidRPr="00287AF0">
        <w:rPr>
          <w:vertAlign w:val="superscript"/>
        </w:rPr>
        <w:t>18</w:t>
      </w:r>
      <w:r w:rsidRPr="00287AF0">
        <w:t>O) is found to be in between of those two for the asymmetric ozone molecule, again, in good agreement with experiment. The total formation rates of asymmetric ozone molecules are found to be somewhat larger than those of symmetric ozone molecules but unfortunately, not nearly as much as in the experiment (</w:t>
      </w:r>
      <w:r w:rsidRPr="00287AF0">
        <w:rPr>
          <w:i/>
          <w:iCs/>
        </w:rPr>
        <w:t>η</w:t>
      </w:r>
      <w:r w:rsidRPr="00287AF0">
        <w:t>-effect).</w:t>
      </w:r>
    </w:p>
    <w:p w14:paraId="5F77EECF" w14:textId="77777777" w:rsidR="00287AF0" w:rsidRPr="00287AF0" w:rsidRDefault="00287AF0" w:rsidP="00287AF0">
      <w:r w:rsidRPr="00287AF0">
        <w:t xml:space="preserve">We also took closer look at the distribution of resonance widths that determine lifetimes of the metastable ozone states. The distribution is several orders of magnitude broad. We found that the metastable states of ozone can be characterized based on localization of the wavefunction in different parts of the PES. Namely, the states with wavefunction localized in the covalent ozone well (those that are expected to participate actively in the ozone formation process) are typically narrow (width ~ 1 </w:t>
      </w:r>
      <w:proofErr w:type="gramStart"/>
      <w:r w:rsidRPr="00287AF0">
        <w:t>cm</w:t>
      </w:r>
      <w:r w:rsidRPr="00287AF0">
        <w:rPr>
          <w:vertAlign w:val="superscript"/>
        </w:rPr>
        <w:t>−1</w:t>
      </w:r>
      <w:proofErr w:type="gramEnd"/>
      <w:r w:rsidRPr="00287AF0">
        <w:t xml:space="preserve">) and long lived (~33 </w:t>
      </w:r>
      <w:proofErr w:type="spellStart"/>
      <w:r w:rsidRPr="00287AF0">
        <w:t>ps</w:t>
      </w:r>
      <w:proofErr w:type="spellEnd"/>
      <w:r w:rsidRPr="00287AF0">
        <w:t xml:space="preserve"> on average). In addition, there are many metastable states with wavefunctions delocalized over the van der Waals plateau of the PES. Such states are found to be less stable, ~ 1.2 </w:t>
      </w:r>
      <w:proofErr w:type="spellStart"/>
      <w:r w:rsidRPr="00287AF0">
        <w:t>ps</w:t>
      </w:r>
      <w:proofErr w:type="spellEnd"/>
      <w:r w:rsidRPr="00287AF0">
        <w:t xml:space="preserve"> on average, and are unlikely to participate in the ozone formation process (since their stabilization into the covalent ozone well is expected to be inefficient). Still, the distribution of widths of such resonances is mapped out here, and it is found to be quite different from the distribution of the localized ozone states. However, very similar distributions of resonance properties are found for </w:t>
      </w:r>
      <w:r w:rsidRPr="00287AF0">
        <w:rPr>
          <w:i/>
          <w:iCs/>
        </w:rPr>
        <w:t>symmetric</w:t>
      </w:r>
      <w:r w:rsidRPr="00287AF0">
        <w:t> and </w:t>
      </w:r>
      <w:r w:rsidRPr="00287AF0">
        <w:rPr>
          <w:i/>
          <w:iCs/>
        </w:rPr>
        <w:t>asymmetric</w:t>
      </w:r>
      <w:r w:rsidRPr="00287AF0">
        <w:t> ozone molecules, which seems to disproof a popular hypothesis that the symmetry driven </w:t>
      </w:r>
      <w:r w:rsidRPr="00287AF0">
        <w:rPr>
          <w:i/>
          <w:iCs/>
        </w:rPr>
        <w:t>η</w:t>
      </w:r>
      <w:r w:rsidRPr="00287AF0">
        <w:t>-effect is caused by the difference of lifetimes of the metastable states in symmetric and asymmetric ozone molecules.</w:t>
      </w:r>
    </w:p>
    <w:p w14:paraId="17116154" w14:textId="77777777" w:rsidR="00287AF0" w:rsidRPr="00287AF0" w:rsidRDefault="00287AF0" w:rsidP="00287AF0">
      <w:r w:rsidRPr="00287AF0">
        <w:t xml:space="preserve">The least rigorous component of present theory is a simplified description of stabilization step, which is the second step of the overall recombination process. Here it was assumed that all resonances are stabilized at the same rate. This was done on purpose in some sense, </w:t>
      </w:r>
      <w:proofErr w:type="gramStart"/>
      <w:r w:rsidRPr="00287AF0">
        <w:t>in order to</w:t>
      </w:r>
      <w:proofErr w:type="gramEnd"/>
      <w:r w:rsidRPr="00287AF0">
        <w:t xml:space="preserve"> focus on the properties of all resonances, regardless of their position in the spectrum, to determine what isotope effect may come from the properties of the metastable states alone, rather than from the collisions of the metastable ozone with bath gas. Obviously, a more rigorous description of the stabilization step is desirable and will be pursued in the future work.</w:t>
      </w:r>
    </w:p>
    <w:p w14:paraId="10CF9D19" w14:textId="77777777" w:rsidR="00287AF0" w:rsidRPr="00287AF0" w:rsidRDefault="00287AF0" w:rsidP="00551ECB">
      <w:pPr>
        <w:pStyle w:val="Heading1"/>
      </w:pPr>
      <w:r w:rsidRPr="00287AF0">
        <w:t>Supplementary Materials</w:t>
      </w:r>
    </w:p>
    <w:p w14:paraId="07CA89CC" w14:textId="77777777" w:rsidR="00287AF0" w:rsidRPr="00287AF0" w:rsidRDefault="00287AF0" w:rsidP="00287AF0">
      <w:r w:rsidRPr="00287AF0">
        <w:t>The following are available online. Section A, Section B and Section C of the Supplementary Material contain all formula for the case of doubly substituted ozone and some other useful equations, such as low- and high-pressure limits of the dynamical partition functions. Section D provides some technical details of our calculations.</w:t>
      </w:r>
    </w:p>
    <w:p w14:paraId="0015160E" w14:textId="77777777" w:rsidR="00287AF0" w:rsidRPr="00287AF0" w:rsidRDefault="00287AF0" w:rsidP="004744F8">
      <w:pPr>
        <w:pStyle w:val="Heading1"/>
      </w:pPr>
      <w:r w:rsidRPr="00287AF0">
        <w:t>Author Contributions</w:t>
      </w:r>
    </w:p>
    <w:p w14:paraId="43FBBA61" w14:textId="77777777" w:rsidR="00287AF0" w:rsidRPr="00287AF0" w:rsidRDefault="00287AF0" w:rsidP="00287AF0">
      <w:r w:rsidRPr="00287AF0">
        <w:t xml:space="preserve">Conceptualization, D.B.; methodology, </w:t>
      </w:r>
      <w:proofErr w:type="gramStart"/>
      <w:r w:rsidRPr="00287AF0">
        <w:t>E.G.;</w:t>
      </w:r>
      <w:proofErr w:type="gramEnd"/>
      <w:r w:rsidRPr="00287AF0">
        <w:t xml:space="preserve"> software, I.G. and A.T.; validation, E.G. and I.G.; formal analysis, E.G.; investigation, E.G.; resources, D.B.; data curation, A.T.; writing—original draft preparation, E.G.; writing—review and editing, D.B., I.G. and A.T.; visualization, E.G.; supervision, D.B.; project administration, D.B.; funding acquisition, D.B. All authors have read and agreed to the published version of the manuscript.</w:t>
      </w:r>
    </w:p>
    <w:p w14:paraId="2B29E3EC" w14:textId="77777777" w:rsidR="00287AF0" w:rsidRPr="00287AF0" w:rsidRDefault="00287AF0" w:rsidP="004744F8">
      <w:pPr>
        <w:pStyle w:val="Heading1"/>
      </w:pPr>
      <w:r w:rsidRPr="00287AF0">
        <w:t>Funding</w:t>
      </w:r>
    </w:p>
    <w:p w14:paraId="01199D32" w14:textId="77777777" w:rsidR="00287AF0" w:rsidRPr="00287AF0" w:rsidRDefault="00287AF0" w:rsidP="00287AF0">
      <w:r w:rsidRPr="00287AF0">
        <w:t xml:space="preserve">This research was funded by National Science Foundation, grant number AGS-1920523. I.G. was supported by </w:t>
      </w:r>
      <w:proofErr w:type="spellStart"/>
      <w:r w:rsidRPr="00287AF0">
        <w:t>MolSSI</w:t>
      </w:r>
      <w:proofErr w:type="spellEnd"/>
      <w:r w:rsidRPr="00287AF0">
        <w:t xml:space="preserve"> Investment Fellowship funded by National Science Foundation, grant number ACI-1547580. A.T. acknowledges that part of this work was done under the auspices of the US Department of Energy under Project No. 20180066DR of the Laboratory Directed Research and Development Program at Los Alamos National Laboratory. Los Alamos National Laboratory is operated by Triad National Security, LLC, for the National Nuclear Security Administration of the U.S. Department of Energy (Contract No. 89233218CNA000001)</w:t>
      </w:r>
      <w:proofErr w:type="gramStart"/>
      <w:r w:rsidRPr="00287AF0">
        <w:t>. ”</w:t>
      </w:r>
      <w:proofErr w:type="gramEnd"/>
    </w:p>
    <w:p w14:paraId="4EB02D14" w14:textId="77777777" w:rsidR="00287AF0" w:rsidRPr="00287AF0" w:rsidRDefault="00287AF0" w:rsidP="004744F8">
      <w:pPr>
        <w:pStyle w:val="Heading1"/>
      </w:pPr>
      <w:r w:rsidRPr="00287AF0">
        <w:t>Institutional Review Board Statement</w:t>
      </w:r>
    </w:p>
    <w:p w14:paraId="57BE2EA8" w14:textId="77777777" w:rsidR="00287AF0" w:rsidRPr="00287AF0" w:rsidRDefault="00287AF0" w:rsidP="00287AF0">
      <w:r w:rsidRPr="00287AF0">
        <w:t>Not applicable.</w:t>
      </w:r>
    </w:p>
    <w:p w14:paraId="3610D8E5" w14:textId="77777777" w:rsidR="00287AF0" w:rsidRPr="00287AF0" w:rsidRDefault="00287AF0" w:rsidP="004744F8">
      <w:pPr>
        <w:pStyle w:val="Heading1"/>
      </w:pPr>
      <w:r w:rsidRPr="00287AF0">
        <w:t>Informed Consent Statement</w:t>
      </w:r>
    </w:p>
    <w:p w14:paraId="3F5D9851" w14:textId="77777777" w:rsidR="00287AF0" w:rsidRPr="00287AF0" w:rsidRDefault="00287AF0" w:rsidP="00287AF0">
      <w:r w:rsidRPr="00287AF0">
        <w:t>Not applicable.</w:t>
      </w:r>
    </w:p>
    <w:p w14:paraId="04A92E13" w14:textId="77777777" w:rsidR="00287AF0" w:rsidRPr="00287AF0" w:rsidRDefault="00287AF0" w:rsidP="004744F8">
      <w:pPr>
        <w:pStyle w:val="Heading1"/>
      </w:pPr>
      <w:r w:rsidRPr="00287AF0">
        <w:t>Data Availability Statement</w:t>
      </w:r>
    </w:p>
    <w:p w14:paraId="69594FCA" w14:textId="77777777" w:rsidR="00287AF0" w:rsidRPr="00287AF0" w:rsidRDefault="00287AF0" w:rsidP="00287AF0">
      <w:r w:rsidRPr="00287AF0">
        <w:t>The data presented in this study are available on request from the corresponding author.</w:t>
      </w:r>
    </w:p>
    <w:p w14:paraId="2256DDC3" w14:textId="77777777" w:rsidR="00287AF0" w:rsidRPr="00287AF0" w:rsidRDefault="00287AF0" w:rsidP="004744F8">
      <w:pPr>
        <w:pStyle w:val="Heading1"/>
      </w:pPr>
      <w:r w:rsidRPr="00287AF0">
        <w:t>Acknowledgments</w:t>
      </w:r>
    </w:p>
    <w:p w14:paraId="79865276" w14:textId="77777777" w:rsidR="00287AF0" w:rsidRPr="00287AF0" w:rsidRDefault="00287AF0" w:rsidP="00287AF0">
      <w:r w:rsidRPr="00287AF0">
        <w:t>We used resources of the National Energy Research Scientific Computing Center, which is supported by the Office of Science of the U.S. Department of Energy under Contract No. DE-AC02-5CH11231.</w:t>
      </w:r>
    </w:p>
    <w:p w14:paraId="311663CB" w14:textId="77777777" w:rsidR="00287AF0" w:rsidRPr="00287AF0" w:rsidRDefault="00287AF0" w:rsidP="004744F8">
      <w:pPr>
        <w:pStyle w:val="Heading1"/>
      </w:pPr>
      <w:r w:rsidRPr="00287AF0">
        <w:t>Conflicts of Interest</w:t>
      </w:r>
    </w:p>
    <w:p w14:paraId="42FF1E04" w14:textId="77777777" w:rsidR="00287AF0" w:rsidRPr="00287AF0" w:rsidRDefault="00287AF0" w:rsidP="00287AF0">
      <w:r w:rsidRPr="00287AF0">
        <w:t>The authors declare no conflict of interest. The funders had no role in the design of the study; in the collection, analyses, or interpretation of data; in the writing of the manuscript, or in the decision to publish the results.</w:t>
      </w:r>
    </w:p>
    <w:p w14:paraId="502F4CEE" w14:textId="77777777" w:rsidR="00287AF0" w:rsidRPr="00287AF0" w:rsidRDefault="00287AF0" w:rsidP="004744F8">
      <w:pPr>
        <w:pStyle w:val="Heading1"/>
      </w:pPr>
      <w:r w:rsidRPr="00287AF0">
        <w:t>Sample Availability</w:t>
      </w:r>
    </w:p>
    <w:p w14:paraId="41A71942" w14:textId="77777777" w:rsidR="00287AF0" w:rsidRPr="00287AF0" w:rsidRDefault="00287AF0" w:rsidP="00287AF0">
      <w:r w:rsidRPr="00287AF0">
        <w:t>Not applicable.</w:t>
      </w:r>
    </w:p>
    <w:p w14:paraId="4280C7CD" w14:textId="77777777" w:rsidR="00287AF0" w:rsidRPr="00287AF0" w:rsidRDefault="00287AF0" w:rsidP="004744F8">
      <w:pPr>
        <w:pStyle w:val="Heading1"/>
      </w:pPr>
      <w:r w:rsidRPr="00287AF0">
        <w:t>References</w:t>
      </w:r>
    </w:p>
    <w:p w14:paraId="617DE09B" w14:textId="1A1710C8" w:rsidR="00287AF0" w:rsidRPr="00287AF0" w:rsidRDefault="00287AF0" w:rsidP="00527D71">
      <w:pPr>
        <w:numPr>
          <w:ilvl w:val="0"/>
          <w:numId w:val="18"/>
        </w:numPr>
        <w:spacing w:after="0"/>
      </w:pPr>
      <w:r w:rsidRPr="00287AF0">
        <w:t xml:space="preserve">Janssen, C.; Guenther, J.; </w:t>
      </w:r>
      <w:proofErr w:type="spellStart"/>
      <w:r w:rsidRPr="00287AF0">
        <w:t>Mauersberger</w:t>
      </w:r>
      <w:proofErr w:type="spellEnd"/>
      <w:r w:rsidRPr="00287AF0">
        <w:t xml:space="preserve">, K.; </w:t>
      </w:r>
      <w:proofErr w:type="spellStart"/>
      <w:r w:rsidRPr="00287AF0">
        <w:t>Krankowsky</w:t>
      </w:r>
      <w:proofErr w:type="spellEnd"/>
      <w:r w:rsidRPr="00287AF0">
        <w:t>, D. Kinetic origin of the ozone isotope effect: A critical analysis of enrichments and rate coefficients. </w:t>
      </w:r>
      <w:r w:rsidRPr="00287AF0">
        <w:rPr>
          <w:i/>
          <w:iCs/>
        </w:rPr>
        <w:t>Phys. Chem. Chem. Phys.</w:t>
      </w:r>
      <w:r w:rsidRPr="00287AF0">
        <w:t> </w:t>
      </w:r>
      <w:r w:rsidRPr="00287AF0">
        <w:rPr>
          <w:b/>
          <w:bCs/>
        </w:rPr>
        <w:t>2001</w:t>
      </w:r>
      <w:r w:rsidRPr="00287AF0">
        <w:t>, </w:t>
      </w:r>
      <w:r w:rsidRPr="00287AF0">
        <w:rPr>
          <w:i/>
          <w:iCs/>
        </w:rPr>
        <w:t>3</w:t>
      </w:r>
      <w:r w:rsidRPr="00287AF0">
        <w:t xml:space="preserve">, 4718–4721. </w:t>
      </w:r>
    </w:p>
    <w:p w14:paraId="351E920C" w14:textId="3E9AB263" w:rsidR="00287AF0" w:rsidRPr="00287AF0" w:rsidRDefault="00287AF0" w:rsidP="00527D71">
      <w:pPr>
        <w:numPr>
          <w:ilvl w:val="0"/>
          <w:numId w:val="18"/>
        </w:numPr>
        <w:spacing w:after="0"/>
      </w:pPr>
      <w:proofErr w:type="spellStart"/>
      <w:r w:rsidRPr="00287AF0">
        <w:t>Mauersberger</w:t>
      </w:r>
      <w:proofErr w:type="spellEnd"/>
      <w:r w:rsidRPr="00287AF0">
        <w:t xml:space="preserve">, K.; </w:t>
      </w:r>
      <w:proofErr w:type="spellStart"/>
      <w:r w:rsidRPr="00287AF0">
        <w:t>Erbacher</w:t>
      </w:r>
      <w:proofErr w:type="spellEnd"/>
      <w:r w:rsidRPr="00287AF0">
        <w:t xml:space="preserve">, B.; </w:t>
      </w:r>
      <w:proofErr w:type="spellStart"/>
      <w:r w:rsidRPr="00287AF0">
        <w:t>Krankowsky</w:t>
      </w:r>
      <w:proofErr w:type="spellEnd"/>
      <w:r w:rsidRPr="00287AF0">
        <w:t xml:space="preserve">, D.; Günther, J.; Nickel, R. Ozone isotope enrichment: </w:t>
      </w:r>
      <w:proofErr w:type="spellStart"/>
      <w:r w:rsidRPr="00287AF0">
        <w:t>Isotopomer</w:t>
      </w:r>
      <w:proofErr w:type="spellEnd"/>
      <w:r w:rsidRPr="00287AF0">
        <w:t>-specific rate coefficients. </w:t>
      </w:r>
      <w:r w:rsidRPr="00287AF0">
        <w:rPr>
          <w:i/>
          <w:iCs/>
        </w:rPr>
        <w:t>Science</w:t>
      </w:r>
      <w:r w:rsidRPr="00287AF0">
        <w:t> </w:t>
      </w:r>
      <w:r w:rsidRPr="00287AF0">
        <w:rPr>
          <w:b/>
          <w:bCs/>
        </w:rPr>
        <w:t>1999</w:t>
      </w:r>
      <w:r w:rsidRPr="00287AF0">
        <w:t>, </w:t>
      </w:r>
      <w:r w:rsidRPr="00287AF0">
        <w:rPr>
          <w:i/>
          <w:iCs/>
        </w:rPr>
        <w:t>283</w:t>
      </w:r>
      <w:r w:rsidRPr="00287AF0">
        <w:t xml:space="preserve">, 370–372. </w:t>
      </w:r>
    </w:p>
    <w:p w14:paraId="70D593DF" w14:textId="32437221" w:rsidR="00287AF0" w:rsidRPr="00287AF0" w:rsidRDefault="00287AF0" w:rsidP="00527D71">
      <w:pPr>
        <w:numPr>
          <w:ilvl w:val="0"/>
          <w:numId w:val="18"/>
        </w:numPr>
        <w:spacing w:after="0"/>
      </w:pPr>
      <w:r w:rsidRPr="00287AF0">
        <w:t xml:space="preserve">Janssen, C.; Guenther, R.; </w:t>
      </w:r>
      <w:proofErr w:type="spellStart"/>
      <w:r w:rsidRPr="00287AF0">
        <w:t>Krankowsky</w:t>
      </w:r>
      <w:proofErr w:type="spellEnd"/>
      <w:r w:rsidRPr="00287AF0">
        <w:t xml:space="preserve">, D.; </w:t>
      </w:r>
      <w:proofErr w:type="spellStart"/>
      <w:r w:rsidRPr="00287AF0">
        <w:t>Mauersberger</w:t>
      </w:r>
      <w:proofErr w:type="spellEnd"/>
      <w:r w:rsidRPr="00287AF0">
        <w:t xml:space="preserve">, K. Temperature dependence of ozone rate coefficients and </w:t>
      </w:r>
      <w:proofErr w:type="spellStart"/>
      <w:r w:rsidRPr="00287AF0">
        <w:t>isotopologue</w:t>
      </w:r>
      <w:proofErr w:type="spellEnd"/>
      <w:r w:rsidRPr="00287AF0">
        <w:t xml:space="preserve"> fractionation in </w:t>
      </w:r>
      <w:r w:rsidRPr="00287AF0">
        <w:rPr>
          <w:vertAlign w:val="superscript"/>
        </w:rPr>
        <w:t>16</w:t>
      </w:r>
      <w:r w:rsidRPr="00287AF0">
        <w:t>O–</w:t>
      </w:r>
      <w:r w:rsidRPr="00287AF0">
        <w:rPr>
          <w:vertAlign w:val="superscript"/>
        </w:rPr>
        <w:t>18</w:t>
      </w:r>
      <w:r w:rsidRPr="00287AF0">
        <w:t>O oxygen mixtures. </w:t>
      </w:r>
      <w:r w:rsidRPr="00287AF0">
        <w:rPr>
          <w:i/>
          <w:iCs/>
        </w:rPr>
        <w:t>Chem. Phys. Lett.</w:t>
      </w:r>
      <w:r w:rsidRPr="00287AF0">
        <w:t> </w:t>
      </w:r>
      <w:r w:rsidRPr="00287AF0">
        <w:rPr>
          <w:b/>
          <w:bCs/>
        </w:rPr>
        <w:t>2003</w:t>
      </w:r>
      <w:r w:rsidRPr="00287AF0">
        <w:t>, </w:t>
      </w:r>
      <w:r w:rsidRPr="00287AF0">
        <w:rPr>
          <w:i/>
          <w:iCs/>
        </w:rPr>
        <w:t>367</w:t>
      </w:r>
      <w:r w:rsidRPr="00287AF0">
        <w:t xml:space="preserve">, 34–38. </w:t>
      </w:r>
    </w:p>
    <w:p w14:paraId="4C96D715" w14:textId="236BBD42" w:rsidR="00287AF0" w:rsidRPr="00287AF0" w:rsidRDefault="00287AF0" w:rsidP="00527D71">
      <w:pPr>
        <w:numPr>
          <w:ilvl w:val="0"/>
          <w:numId w:val="18"/>
        </w:numPr>
        <w:spacing w:after="0"/>
      </w:pPr>
      <w:r w:rsidRPr="00287AF0">
        <w:t xml:space="preserve">Guenther, J.; </w:t>
      </w:r>
      <w:proofErr w:type="spellStart"/>
      <w:r w:rsidRPr="00287AF0">
        <w:t>Erbacher</w:t>
      </w:r>
      <w:proofErr w:type="spellEnd"/>
      <w:r w:rsidRPr="00287AF0">
        <w:t xml:space="preserve">, B.; </w:t>
      </w:r>
      <w:proofErr w:type="spellStart"/>
      <w:r w:rsidRPr="00287AF0">
        <w:t>Krankowsky</w:t>
      </w:r>
      <w:proofErr w:type="spellEnd"/>
      <w:r w:rsidRPr="00287AF0">
        <w:t xml:space="preserve">, D.; </w:t>
      </w:r>
      <w:proofErr w:type="spellStart"/>
      <w:r w:rsidRPr="00287AF0">
        <w:t>Mauersberger</w:t>
      </w:r>
      <w:proofErr w:type="spellEnd"/>
      <w:r w:rsidRPr="00287AF0">
        <w:t>, K. Pressure dependence of two relative ozone formation rate coefficients. </w:t>
      </w:r>
      <w:r w:rsidRPr="00287AF0">
        <w:rPr>
          <w:i/>
          <w:iCs/>
        </w:rPr>
        <w:t>Chem. Phys. Lett.</w:t>
      </w:r>
      <w:r w:rsidRPr="00287AF0">
        <w:t> </w:t>
      </w:r>
      <w:r w:rsidRPr="00287AF0">
        <w:rPr>
          <w:b/>
          <w:bCs/>
        </w:rPr>
        <w:t>1999</w:t>
      </w:r>
      <w:r w:rsidRPr="00287AF0">
        <w:t>, </w:t>
      </w:r>
      <w:r w:rsidRPr="00287AF0">
        <w:rPr>
          <w:i/>
          <w:iCs/>
        </w:rPr>
        <w:t>306</w:t>
      </w:r>
      <w:r w:rsidRPr="00287AF0">
        <w:t xml:space="preserve">, 209–221. </w:t>
      </w:r>
    </w:p>
    <w:p w14:paraId="51C6313F" w14:textId="65898DDA" w:rsidR="00287AF0" w:rsidRPr="00287AF0" w:rsidRDefault="00287AF0" w:rsidP="00527D71">
      <w:pPr>
        <w:numPr>
          <w:ilvl w:val="0"/>
          <w:numId w:val="18"/>
        </w:numPr>
        <w:spacing w:after="0"/>
      </w:pPr>
      <w:proofErr w:type="spellStart"/>
      <w:r w:rsidRPr="00287AF0">
        <w:t>Mauersberger</w:t>
      </w:r>
      <w:proofErr w:type="spellEnd"/>
      <w:r w:rsidRPr="00287AF0">
        <w:t xml:space="preserve">, K.; </w:t>
      </w:r>
      <w:proofErr w:type="spellStart"/>
      <w:r w:rsidRPr="00287AF0">
        <w:t>Krankowsky</w:t>
      </w:r>
      <w:proofErr w:type="spellEnd"/>
      <w:r w:rsidRPr="00287AF0">
        <w:t>, D.; Janssen, C. Oxygen isotope processes and transfer reactions. </w:t>
      </w:r>
      <w:r w:rsidRPr="00287AF0">
        <w:rPr>
          <w:i/>
          <w:iCs/>
        </w:rPr>
        <w:t>Space Sci. Rev.</w:t>
      </w:r>
      <w:r w:rsidRPr="00287AF0">
        <w:t> </w:t>
      </w:r>
      <w:r w:rsidRPr="00287AF0">
        <w:rPr>
          <w:b/>
          <w:bCs/>
        </w:rPr>
        <w:t>2003</w:t>
      </w:r>
      <w:r w:rsidRPr="00287AF0">
        <w:t>, </w:t>
      </w:r>
      <w:r w:rsidRPr="00287AF0">
        <w:rPr>
          <w:i/>
          <w:iCs/>
        </w:rPr>
        <w:t>106</w:t>
      </w:r>
      <w:r w:rsidRPr="00287AF0">
        <w:t xml:space="preserve">, 265–279. </w:t>
      </w:r>
    </w:p>
    <w:p w14:paraId="3B5C17F3" w14:textId="22F00D54" w:rsidR="00287AF0" w:rsidRPr="00287AF0" w:rsidRDefault="00287AF0" w:rsidP="00527D71">
      <w:pPr>
        <w:numPr>
          <w:ilvl w:val="0"/>
          <w:numId w:val="18"/>
        </w:numPr>
        <w:spacing w:after="0"/>
      </w:pPr>
      <w:r w:rsidRPr="00287AF0">
        <w:t>Janssen, C. Intramolecular isotope distribution in heavy ozone (</w:t>
      </w:r>
      <w:r w:rsidRPr="00287AF0">
        <w:rPr>
          <w:vertAlign w:val="superscript"/>
        </w:rPr>
        <w:t>16</w:t>
      </w:r>
      <w:r w:rsidRPr="00287AF0">
        <w:t>O</w:t>
      </w:r>
      <w:r w:rsidRPr="00287AF0">
        <w:rPr>
          <w:vertAlign w:val="superscript"/>
        </w:rPr>
        <w:t>18</w:t>
      </w:r>
      <w:r w:rsidRPr="00287AF0">
        <w:t>O</w:t>
      </w:r>
      <w:r w:rsidRPr="00287AF0">
        <w:rPr>
          <w:vertAlign w:val="superscript"/>
        </w:rPr>
        <w:t>16</w:t>
      </w:r>
      <w:r w:rsidRPr="00287AF0">
        <w:t>O and </w:t>
      </w:r>
      <w:r w:rsidRPr="00287AF0">
        <w:rPr>
          <w:vertAlign w:val="superscript"/>
        </w:rPr>
        <w:t>16</w:t>
      </w:r>
      <w:r w:rsidRPr="00287AF0">
        <w:t>O</w:t>
      </w:r>
      <w:r w:rsidRPr="00287AF0">
        <w:rPr>
          <w:vertAlign w:val="superscript"/>
        </w:rPr>
        <w:t>16</w:t>
      </w:r>
      <w:r w:rsidRPr="00287AF0">
        <w:t>O</w:t>
      </w:r>
      <w:r w:rsidRPr="00287AF0">
        <w:rPr>
          <w:vertAlign w:val="superscript"/>
        </w:rPr>
        <w:t>18</w:t>
      </w:r>
      <w:r w:rsidRPr="00287AF0">
        <w:t>O). </w:t>
      </w:r>
      <w:r w:rsidRPr="00287AF0">
        <w:rPr>
          <w:i/>
          <w:iCs/>
        </w:rPr>
        <w:t xml:space="preserve">J. </w:t>
      </w:r>
      <w:proofErr w:type="spellStart"/>
      <w:r w:rsidRPr="00287AF0">
        <w:rPr>
          <w:i/>
          <w:iCs/>
        </w:rPr>
        <w:t>Geophys</w:t>
      </w:r>
      <w:proofErr w:type="spellEnd"/>
      <w:r w:rsidRPr="00287AF0">
        <w:rPr>
          <w:i/>
          <w:iCs/>
        </w:rPr>
        <w:t>. Res.</w:t>
      </w:r>
      <w:r w:rsidRPr="00287AF0">
        <w:t> </w:t>
      </w:r>
      <w:r w:rsidRPr="00287AF0">
        <w:rPr>
          <w:b/>
          <w:bCs/>
        </w:rPr>
        <w:t>2005</w:t>
      </w:r>
      <w:r w:rsidRPr="00287AF0">
        <w:t>, </w:t>
      </w:r>
      <w:r w:rsidRPr="00287AF0">
        <w:rPr>
          <w:i/>
          <w:iCs/>
        </w:rPr>
        <w:t>110</w:t>
      </w:r>
      <w:r w:rsidRPr="00287AF0">
        <w:t xml:space="preserve">, D08308. </w:t>
      </w:r>
    </w:p>
    <w:p w14:paraId="570FABDA" w14:textId="4FAB55A6" w:rsidR="00287AF0" w:rsidRPr="00287AF0" w:rsidRDefault="00287AF0" w:rsidP="00527D71">
      <w:pPr>
        <w:numPr>
          <w:ilvl w:val="0"/>
          <w:numId w:val="18"/>
        </w:numPr>
        <w:spacing w:after="0"/>
      </w:pPr>
      <w:r w:rsidRPr="00287AF0">
        <w:t>Janssen, C. Investigation and assessment of an oxygen isotope anomaly. In </w:t>
      </w:r>
      <w:r w:rsidRPr="00287AF0">
        <w:rPr>
          <w:i/>
          <w:iCs/>
        </w:rPr>
        <w:t>Habilitation</w:t>
      </w:r>
      <w:r w:rsidRPr="00287AF0">
        <w:t xml:space="preserve">; University of Heidelberg: Heidelberg, Germany, 2004. </w:t>
      </w:r>
    </w:p>
    <w:p w14:paraId="0F40BD97" w14:textId="52897016" w:rsidR="00287AF0" w:rsidRPr="00287AF0" w:rsidRDefault="00287AF0" w:rsidP="00527D71">
      <w:pPr>
        <w:numPr>
          <w:ilvl w:val="0"/>
          <w:numId w:val="18"/>
        </w:numPr>
        <w:spacing w:after="0"/>
      </w:pPr>
      <w:proofErr w:type="spellStart"/>
      <w:r w:rsidRPr="00287AF0">
        <w:t>Tuzson</w:t>
      </w:r>
      <w:proofErr w:type="spellEnd"/>
      <w:r w:rsidRPr="00287AF0">
        <w:t xml:space="preserve">, B. Symmetry Specific Study of Ozone </w:t>
      </w:r>
      <w:proofErr w:type="spellStart"/>
      <w:r w:rsidRPr="00287AF0">
        <w:t>Isotopomer</w:t>
      </w:r>
      <w:proofErr w:type="spellEnd"/>
      <w:r w:rsidRPr="00287AF0">
        <w:t xml:space="preserve"> Formation. Ph. D. Thesis, University of Heidelberg, Heidelberg, Germany, 2005. </w:t>
      </w:r>
    </w:p>
    <w:p w14:paraId="41B5F2D7" w14:textId="761ADBC2" w:rsidR="00287AF0" w:rsidRPr="00287AF0" w:rsidRDefault="00287AF0" w:rsidP="00527D71">
      <w:pPr>
        <w:numPr>
          <w:ilvl w:val="0"/>
          <w:numId w:val="18"/>
        </w:numPr>
        <w:spacing w:after="0"/>
      </w:pPr>
      <w:r w:rsidRPr="00287AF0">
        <w:t xml:space="preserve">Guenther, J.; </w:t>
      </w:r>
      <w:proofErr w:type="spellStart"/>
      <w:r w:rsidRPr="00287AF0">
        <w:t>Krankowsky</w:t>
      </w:r>
      <w:proofErr w:type="spellEnd"/>
      <w:r w:rsidRPr="00287AF0">
        <w:t xml:space="preserve">, D.; </w:t>
      </w:r>
      <w:proofErr w:type="spellStart"/>
      <w:r w:rsidRPr="00287AF0">
        <w:t>Mauersberger</w:t>
      </w:r>
      <w:proofErr w:type="spellEnd"/>
      <w:r w:rsidRPr="00287AF0">
        <w:t>, K. Third-body dependence of rate coefficients for ozone formation in </w:t>
      </w:r>
      <w:r w:rsidRPr="00287AF0">
        <w:rPr>
          <w:vertAlign w:val="superscript"/>
        </w:rPr>
        <w:t>16</w:t>
      </w:r>
      <w:r w:rsidRPr="00287AF0">
        <w:t>O–</w:t>
      </w:r>
      <w:r w:rsidRPr="00287AF0">
        <w:rPr>
          <w:vertAlign w:val="superscript"/>
        </w:rPr>
        <w:t>18</w:t>
      </w:r>
      <w:r w:rsidRPr="00287AF0">
        <w:t>O mixtures. </w:t>
      </w:r>
      <w:r w:rsidRPr="00287AF0">
        <w:rPr>
          <w:i/>
          <w:iCs/>
        </w:rPr>
        <w:t>Chem. Phys. Lett.</w:t>
      </w:r>
      <w:r w:rsidRPr="00287AF0">
        <w:t> </w:t>
      </w:r>
      <w:r w:rsidRPr="00287AF0">
        <w:rPr>
          <w:b/>
          <w:bCs/>
        </w:rPr>
        <w:t>2000</w:t>
      </w:r>
      <w:r w:rsidRPr="00287AF0">
        <w:t>, </w:t>
      </w:r>
      <w:r w:rsidRPr="00287AF0">
        <w:rPr>
          <w:i/>
          <w:iCs/>
        </w:rPr>
        <w:t>324</w:t>
      </w:r>
      <w:r w:rsidRPr="00287AF0">
        <w:t xml:space="preserve">, 31–36. </w:t>
      </w:r>
    </w:p>
    <w:p w14:paraId="7C3209A7" w14:textId="3E5BF1BA" w:rsidR="00287AF0" w:rsidRPr="00287AF0" w:rsidRDefault="00287AF0" w:rsidP="00527D71">
      <w:pPr>
        <w:numPr>
          <w:ilvl w:val="0"/>
          <w:numId w:val="18"/>
        </w:numPr>
        <w:spacing w:after="0"/>
      </w:pPr>
      <w:proofErr w:type="spellStart"/>
      <w:r w:rsidRPr="00287AF0">
        <w:t>Hathorn</w:t>
      </w:r>
      <w:proofErr w:type="spellEnd"/>
      <w:r w:rsidRPr="00287AF0">
        <w:t>, B.C.; Marcus, R.A. An intramolecular theory of the mass independent isotope effect for ozone. I. </w:t>
      </w:r>
      <w:r w:rsidRPr="00287AF0">
        <w:rPr>
          <w:i/>
          <w:iCs/>
        </w:rPr>
        <w:t>J. Chem. Phys.</w:t>
      </w:r>
      <w:r w:rsidRPr="00287AF0">
        <w:t> </w:t>
      </w:r>
      <w:r w:rsidRPr="00287AF0">
        <w:rPr>
          <w:b/>
          <w:bCs/>
        </w:rPr>
        <w:t>1999</w:t>
      </w:r>
      <w:r w:rsidRPr="00287AF0">
        <w:t>, </w:t>
      </w:r>
      <w:r w:rsidRPr="00287AF0">
        <w:rPr>
          <w:i/>
          <w:iCs/>
        </w:rPr>
        <w:t>111</w:t>
      </w:r>
      <w:r w:rsidRPr="00287AF0">
        <w:t xml:space="preserve">, 4087–4100. </w:t>
      </w:r>
    </w:p>
    <w:p w14:paraId="26A94CEC" w14:textId="1900CAE6" w:rsidR="00287AF0" w:rsidRPr="00287AF0" w:rsidRDefault="00287AF0" w:rsidP="00527D71">
      <w:pPr>
        <w:numPr>
          <w:ilvl w:val="0"/>
          <w:numId w:val="18"/>
        </w:numPr>
        <w:spacing w:after="0"/>
      </w:pPr>
      <w:proofErr w:type="spellStart"/>
      <w:r w:rsidRPr="00287AF0">
        <w:t>Hathorn</w:t>
      </w:r>
      <w:proofErr w:type="spellEnd"/>
      <w:r w:rsidRPr="00287AF0">
        <w:t>, B.C.; Marcus, R.A. An Intramolecular theory of the mass-independent isotope effect for ozone. II. Numerical implementation at low pressures using a loose transition state. </w:t>
      </w:r>
      <w:r w:rsidRPr="00287AF0">
        <w:rPr>
          <w:i/>
          <w:iCs/>
        </w:rPr>
        <w:t>J. Chem. Phys.</w:t>
      </w:r>
      <w:r w:rsidRPr="00287AF0">
        <w:t> </w:t>
      </w:r>
      <w:r w:rsidRPr="00287AF0">
        <w:rPr>
          <w:b/>
          <w:bCs/>
        </w:rPr>
        <w:t>2000</w:t>
      </w:r>
      <w:r w:rsidRPr="00287AF0">
        <w:t>, </w:t>
      </w:r>
      <w:r w:rsidRPr="00287AF0">
        <w:rPr>
          <w:i/>
          <w:iCs/>
        </w:rPr>
        <w:t>113</w:t>
      </w:r>
      <w:r w:rsidRPr="00287AF0">
        <w:t xml:space="preserve">, 9497–9509. </w:t>
      </w:r>
    </w:p>
    <w:p w14:paraId="47F8B9F3" w14:textId="59F95490" w:rsidR="00287AF0" w:rsidRPr="00287AF0" w:rsidRDefault="00287AF0" w:rsidP="00527D71">
      <w:pPr>
        <w:numPr>
          <w:ilvl w:val="0"/>
          <w:numId w:val="18"/>
        </w:numPr>
        <w:spacing w:after="0"/>
      </w:pPr>
      <w:r w:rsidRPr="00287AF0">
        <w:t xml:space="preserve">Janssen, C.; Marcus, R.A. Does symmetry drive isotopic anomalies in ozone </w:t>
      </w:r>
      <w:proofErr w:type="spellStart"/>
      <w:r w:rsidRPr="00287AF0">
        <w:t>isotopomer</w:t>
      </w:r>
      <w:proofErr w:type="spellEnd"/>
      <w:r w:rsidRPr="00287AF0">
        <w:t xml:space="preserve"> formation? </w:t>
      </w:r>
      <w:r w:rsidRPr="00287AF0">
        <w:rPr>
          <w:i/>
          <w:iCs/>
        </w:rPr>
        <w:t>Science</w:t>
      </w:r>
      <w:r w:rsidRPr="00287AF0">
        <w:t> </w:t>
      </w:r>
      <w:r w:rsidRPr="00287AF0">
        <w:rPr>
          <w:b/>
          <w:bCs/>
        </w:rPr>
        <w:t>2001</w:t>
      </w:r>
      <w:r w:rsidRPr="00287AF0">
        <w:t>, </w:t>
      </w:r>
      <w:r w:rsidRPr="00287AF0">
        <w:rPr>
          <w:i/>
          <w:iCs/>
        </w:rPr>
        <w:t>294</w:t>
      </w:r>
      <w:r w:rsidRPr="00287AF0">
        <w:t xml:space="preserve">, 951a. </w:t>
      </w:r>
    </w:p>
    <w:p w14:paraId="2C026C4E" w14:textId="19741897" w:rsidR="00287AF0" w:rsidRPr="00287AF0" w:rsidRDefault="00287AF0" w:rsidP="00527D71">
      <w:pPr>
        <w:numPr>
          <w:ilvl w:val="0"/>
          <w:numId w:val="18"/>
        </w:numPr>
        <w:spacing w:after="0"/>
      </w:pPr>
      <w:r w:rsidRPr="00287AF0">
        <w:t>Gao, Y.Q.; Marcus, R.A. Strange and unconventional isotope effects in ozone formation. </w:t>
      </w:r>
      <w:r w:rsidRPr="00287AF0">
        <w:rPr>
          <w:i/>
          <w:iCs/>
        </w:rPr>
        <w:t>Science</w:t>
      </w:r>
      <w:r w:rsidRPr="00287AF0">
        <w:t> </w:t>
      </w:r>
      <w:r w:rsidRPr="00287AF0">
        <w:rPr>
          <w:b/>
          <w:bCs/>
        </w:rPr>
        <w:t>2001</w:t>
      </w:r>
      <w:r w:rsidRPr="00287AF0">
        <w:t>, </w:t>
      </w:r>
      <w:r w:rsidRPr="00287AF0">
        <w:rPr>
          <w:i/>
          <w:iCs/>
        </w:rPr>
        <w:t>293</w:t>
      </w:r>
      <w:r w:rsidRPr="00287AF0">
        <w:t xml:space="preserve">, 259–263. </w:t>
      </w:r>
    </w:p>
    <w:p w14:paraId="7401BBAF" w14:textId="6E9F1093" w:rsidR="00287AF0" w:rsidRPr="00287AF0" w:rsidRDefault="00287AF0" w:rsidP="00527D71">
      <w:pPr>
        <w:numPr>
          <w:ilvl w:val="0"/>
          <w:numId w:val="18"/>
        </w:numPr>
        <w:spacing w:after="0"/>
      </w:pPr>
      <w:r w:rsidRPr="00287AF0">
        <w:t xml:space="preserve">Babikov, D.; Kendrick, B.K.; Walker, R.B.; Pack, R.T.; </w:t>
      </w:r>
      <w:proofErr w:type="spellStart"/>
      <w:r w:rsidRPr="00287AF0">
        <w:t>Fleurat-Lesard</w:t>
      </w:r>
      <w:proofErr w:type="spellEnd"/>
      <w:r w:rsidRPr="00287AF0">
        <w:t>, P.; Schinke, R. Formation of ozone: Metastable states and anomalous isotope effect. </w:t>
      </w:r>
      <w:r w:rsidRPr="00287AF0">
        <w:rPr>
          <w:i/>
          <w:iCs/>
        </w:rPr>
        <w:t>J. Chem. Phys.</w:t>
      </w:r>
      <w:r w:rsidRPr="00287AF0">
        <w:t> </w:t>
      </w:r>
      <w:r w:rsidRPr="00287AF0">
        <w:rPr>
          <w:b/>
          <w:bCs/>
        </w:rPr>
        <w:t>2003</w:t>
      </w:r>
      <w:r w:rsidRPr="00287AF0">
        <w:t>, </w:t>
      </w:r>
      <w:r w:rsidRPr="00287AF0">
        <w:rPr>
          <w:i/>
          <w:iCs/>
        </w:rPr>
        <w:t>119</w:t>
      </w:r>
      <w:r w:rsidRPr="00287AF0">
        <w:t xml:space="preserve">, 2577–2589. </w:t>
      </w:r>
    </w:p>
    <w:p w14:paraId="018A1021" w14:textId="3C311DAC" w:rsidR="00287AF0" w:rsidRPr="00287AF0" w:rsidRDefault="00287AF0" w:rsidP="00527D71">
      <w:pPr>
        <w:numPr>
          <w:ilvl w:val="0"/>
          <w:numId w:val="18"/>
        </w:numPr>
        <w:spacing w:after="0"/>
      </w:pPr>
      <w:r w:rsidRPr="00287AF0">
        <w:t xml:space="preserve">Babikov, D.; Kendrick, B.K.; Walker, R.B.; Pack, R.T.; </w:t>
      </w:r>
      <w:proofErr w:type="spellStart"/>
      <w:r w:rsidRPr="00287AF0">
        <w:t>Fleurat-Lesard</w:t>
      </w:r>
      <w:proofErr w:type="spellEnd"/>
      <w:r w:rsidRPr="00287AF0">
        <w:t>, P.; Schinke, R. Metastable states of ozone calculated on an accurate potential energy surface. </w:t>
      </w:r>
      <w:r w:rsidRPr="00287AF0">
        <w:rPr>
          <w:i/>
          <w:iCs/>
        </w:rPr>
        <w:t>J. Chem. Phys.</w:t>
      </w:r>
      <w:r w:rsidRPr="00287AF0">
        <w:t> </w:t>
      </w:r>
      <w:r w:rsidRPr="00287AF0">
        <w:rPr>
          <w:b/>
          <w:bCs/>
        </w:rPr>
        <w:t>2003</w:t>
      </w:r>
      <w:r w:rsidRPr="00287AF0">
        <w:t>, </w:t>
      </w:r>
      <w:r w:rsidRPr="00287AF0">
        <w:rPr>
          <w:i/>
          <w:iCs/>
        </w:rPr>
        <w:t>118</w:t>
      </w:r>
      <w:r w:rsidRPr="00287AF0">
        <w:t xml:space="preserve">, 6298–6308. </w:t>
      </w:r>
    </w:p>
    <w:p w14:paraId="289976AA" w14:textId="103F6466" w:rsidR="00287AF0" w:rsidRPr="00287AF0" w:rsidRDefault="00287AF0" w:rsidP="00527D71">
      <w:pPr>
        <w:numPr>
          <w:ilvl w:val="0"/>
          <w:numId w:val="18"/>
        </w:numPr>
        <w:spacing w:after="0"/>
      </w:pPr>
      <w:r w:rsidRPr="00287AF0">
        <w:t>Babikov, D.; Kendrick, B.K.; Walker, R.B.; Schinke, R.; Pack, R.T. Quantum origin of an anomalous isotope effect in ozone formation. </w:t>
      </w:r>
      <w:r w:rsidRPr="00287AF0">
        <w:rPr>
          <w:i/>
          <w:iCs/>
        </w:rPr>
        <w:t>Chem. Phys. Lett.</w:t>
      </w:r>
      <w:r w:rsidRPr="00287AF0">
        <w:t> </w:t>
      </w:r>
      <w:r w:rsidRPr="00287AF0">
        <w:rPr>
          <w:b/>
          <w:bCs/>
        </w:rPr>
        <w:t>2003</w:t>
      </w:r>
      <w:r w:rsidRPr="00287AF0">
        <w:t>, </w:t>
      </w:r>
      <w:r w:rsidRPr="00287AF0">
        <w:rPr>
          <w:i/>
          <w:iCs/>
        </w:rPr>
        <w:t>372</w:t>
      </w:r>
      <w:r w:rsidRPr="00287AF0">
        <w:t xml:space="preserve">, 686–691. </w:t>
      </w:r>
    </w:p>
    <w:p w14:paraId="226A25D6" w14:textId="102D2391" w:rsidR="00287AF0" w:rsidRPr="00287AF0" w:rsidRDefault="00287AF0" w:rsidP="00527D71">
      <w:pPr>
        <w:numPr>
          <w:ilvl w:val="0"/>
          <w:numId w:val="18"/>
        </w:numPr>
        <w:spacing w:after="0"/>
      </w:pPr>
      <w:proofErr w:type="spellStart"/>
      <w:r w:rsidRPr="00287AF0">
        <w:t>Grebenshchikov</w:t>
      </w:r>
      <w:proofErr w:type="spellEnd"/>
      <w:r w:rsidRPr="00287AF0">
        <w:t>, S.Y.; Schinke, R. Towards quantum mechanical description of the unconventional mass-dependent isotope effect in ozone: Resonance recombination in the strong collision approximation. </w:t>
      </w:r>
      <w:r w:rsidRPr="00287AF0">
        <w:rPr>
          <w:i/>
          <w:iCs/>
        </w:rPr>
        <w:t>J. Chem. Phys.</w:t>
      </w:r>
      <w:r w:rsidRPr="00287AF0">
        <w:t> </w:t>
      </w:r>
      <w:r w:rsidRPr="00287AF0">
        <w:rPr>
          <w:b/>
          <w:bCs/>
        </w:rPr>
        <w:t>2009</w:t>
      </w:r>
      <w:r w:rsidRPr="00287AF0">
        <w:t>, </w:t>
      </w:r>
      <w:r w:rsidRPr="00287AF0">
        <w:rPr>
          <w:i/>
          <w:iCs/>
        </w:rPr>
        <w:t>131</w:t>
      </w:r>
      <w:r w:rsidRPr="00287AF0">
        <w:t xml:space="preserve">, 181103. </w:t>
      </w:r>
    </w:p>
    <w:p w14:paraId="5D3A4C0F" w14:textId="77540BCB" w:rsidR="00287AF0" w:rsidRPr="00287AF0" w:rsidRDefault="00287AF0" w:rsidP="00527D71">
      <w:pPr>
        <w:numPr>
          <w:ilvl w:val="0"/>
          <w:numId w:val="18"/>
        </w:numPr>
        <w:spacing w:after="0"/>
      </w:pPr>
      <w:proofErr w:type="spellStart"/>
      <w:r w:rsidRPr="00287AF0">
        <w:t>Kryvohuz</w:t>
      </w:r>
      <w:proofErr w:type="spellEnd"/>
      <w:r w:rsidRPr="00287AF0">
        <w:t>, M.; Marcus, R.A. Coriolis coupling as a source of non-RRKM effects in triatomic near-symmetric top molecules: Diffusive intramolecular energy exchange between rotational and vibrational degrees of freedom. </w:t>
      </w:r>
      <w:r w:rsidRPr="00287AF0">
        <w:rPr>
          <w:i/>
          <w:iCs/>
        </w:rPr>
        <w:t>J. Chem. Phys.</w:t>
      </w:r>
      <w:r w:rsidRPr="00287AF0">
        <w:t> </w:t>
      </w:r>
      <w:r w:rsidRPr="00287AF0">
        <w:rPr>
          <w:b/>
          <w:bCs/>
        </w:rPr>
        <w:t>2010</w:t>
      </w:r>
      <w:r w:rsidRPr="00287AF0">
        <w:t>, </w:t>
      </w:r>
      <w:r w:rsidRPr="00287AF0">
        <w:rPr>
          <w:i/>
          <w:iCs/>
        </w:rPr>
        <w:t>132</w:t>
      </w:r>
      <w:r w:rsidRPr="00287AF0">
        <w:t xml:space="preserve">, 224304. </w:t>
      </w:r>
    </w:p>
    <w:p w14:paraId="2084BE52" w14:textId="31791E03" w:rsidR="00287AF0" w:rsidRPr="00287AF0" w:rsidRDefault="00287AF0" w:rsidP="00527D71">
      <w:pPr>
        <w:numPr>
          <w:ilvl w:val="0"/>
          <w:numId w:val="18"/>
        </w:numPr>
        <w:spacing w:after="0"/>
      </w:pPr>
      <w:proofErr w:type="spellStart"/>
      <w:r w:rsidRPr="00287AF0">
        <w:t>Kryvohuz</w:t>
      </w:r>
      <w:proofErr w:type="spellEnd"/>
      <w:r w:rsidRPr="00287AF0">
        <w:t>, M.; Marcus, R.A. Coriolis coupling as a source of non-RRKM effects in ozone molecule: Lifetime statistics of vibrationally excited ozone molecules. </w:t>
      </w:r>
      <w:r w:rsidRPr="00287AF0">
        <w:rPr>
          <w:i/>
          <w:iCs/>
        </w:rPr>
        <w:t>J. Chem. Phys.</w:t>
      </w:r>
      <w:r w:rsidRPr="00287AF0">
        <w:t> </w:t>
      </w:r>
      <w:r w:rsidRPr="00287AF0">
        <w:rPr>
          <w:b/>
          <w:bCs/>
        </w:rPr>
        <w:t>2010</w:t>
      </w:r>
      <w:r w:rsidRPr="00287AF0">
        <w:t>, </w:t>
      </w:r>
      <w:r w:rsidRPr="00287AF0">
        <w:rPr>
          <w:i/>
          <w:iCs/>
        </w:rPr>
        <w:t>132</w:t>
      </w:r>
      <w:r w:rsidRPr="00287AF0">
        <w:t xml:space="preserve">, 224305. </w:t>
      </w:r>
    </w:p>
    <w:p w14:paraId="1F8609F0" w14:textId="723C37A2" w:rsidR="00287AF0" w:rsidRPr="00287AF0" w:rsidRDefault="00287AF0" w:rsidP="00527D71">
      <w:pPr>
        <w:numPr>
          <w:ilvl w:val="0"/>
          <w:numId w:val="18"/>
        </w:numPr>
        <w:spacing w:after="0"/>
      </w:pPr>
      <w:r w:rsidRPr="00287AF0">
        <w:t>Ivanov, M.V.; Babikov, D. On molecular origin of mass-independent fractionation of oxygen isotopes in the ozone forming recombination reaction. </w:t>
      </w:r>
      <w:r w:rsidRPr="00287AF0">
        <w:rPr>
          <w:i/>
          <w:iCs/>
        </w:rPr>
        <w:t>Proc. Nat. Acad. Sci. USA</w:t>
      </w:r>
      <w:r w:rsidRPr="00287AF0">
        <w:t> </w:t>
      </w:r>
      <w:r w:rsidRPr="00287AF0">
        <w:rPr>
          <w:b/>
          <w:bCs/>
        </w:rPr>
        <w:t>2013</w:t>
      </w:r>
      <w:r w:rsidRPr="00287AF0">
        <w:t>, </w:t>
      </w:r>
      <w:r w:rsidRPr="00287AF0">
        <w:rPr>
          <w:i/>
          <w:iCs/>
        </w:rPr>
        <w:t>110</w:t>
      </w:r>
      <w:r w:rsidRPr="00287AF0">
        <w:t xml:space="preserve">, 17708–17713. </w:t>
      </w:r>
    </w:p>
    <w:p w14:paraId="7437EDDD" w14:textId="111F78FE" w:rsidR="00287AF0" w:rsidRPr="00287AF0" w:rsidRDefault="00287AF0" w:rsidP="00527D71">
      <w:pPr>
        <w:numPr>
          <w:ilvl w:val="0"/>
          <w:numId w:val="18"/>
        </w:numPr>
        <w:spacing w:after="0"/>
      </w:pPr>
      <w:proofErr w:type="spellStart"/>
      <w:r w:rsidRPr="00287AF0">
        <w:t>Teplukhin</w:t>
      </w:r>
      <w:proofErr w:type="spellEnd"/>
      <w:r w:rsidRPr="00287AF0">
        <w:t>, A.; Babikov, D. Several levels of theory for description of isotope effects in ozone: Symmetry effect and mass effect. </w:t>
      </w:r>
      <w:r w:rsidRPr="00287AF0">
        <w:rPr>
          <w:i/>
          <w:iCs/>
        </w:rPr>
        <w:t>J. Phys. Chem. A</w:t>
      </w:r>
      <w:r w:rsidRPr="00287AF0">
        <w:t> </w:t>
      </w:r>
      <w:r w:rsidRPr="00287AF0">
        <w:rPr>
          <w:b/>
          <w:bCs/>
        </w:rPr>
        <w:t>2018</w:t>
      </w:r>
      <w:r w:rsidRPr="00287AF0">
        <w:t>, </w:t>
      </w:r>
      <w:r w:rsidRPr="00287AF0">
        <w:rPr>
          <w:i/>
          <w:iCs/>
        </w:rPr>
        <w:t>122</w:t>
      </w:r>
      <w:r w:rsidRPr="00287AF0">
        <w:t xml:space="preserve">, 9177–9190. </w:t>
      </w:r>
    </w:p>
    <w:p w14:paraId="20AD2189" w14:textId="41716BB2" w:rsidR="00287AF0" w:rsidRPr="00287AF0" w:rsidRDefault="00287AF0" w:rsidP="00527D71">
      <w:pPr>
        <w:numPr>
          <w:ilvl w:val="0"/>
          <w:numId w:val="18"/>
        </w:numPr>
        <w:spacing w:after="0"/>
      </w:pPr>
      <w:proofErr w:type="spellStart"/>
      <w:r w:rsidRPr="00287AF0">
        <w:t>Teplukhin</w:t>
      </w:r>
      <w:proofErr w:type="spellEnd"/>
      <w:r w:rsidRPr="00287AF0">
        <w:t xml:space="preserve">, A.; </w:t>
      </w:r>
      <w:proofErr w:type="spellStart"/>
      <w:r w:rsidRPr="00287AF0">
        <w:t>Gayday</w:t>
      </w:r>
      <w:proofErr w:type="spellEnd"/>
      <w:r w:rsidRPr="00287AF0">
        <w:t>, I.; Babikov, D. Several levels of theory for description of isotope effects in ozone: Effect of resonance lifetimes and channel couplings. </w:t>
      </w:r>
      <w:r w:rsidRPr="00287AF0">
        <w:rPr>
          <w:i/>
          <w:iCs/>
        </w:rPr>
        <w:t>J. Chem. Phys.</w:t>
      </w:r>
      <w:r w:rsidRPr="00287AF0">
        <w:t> </w:t>
      </w:r>
      <w:r w:rsidRPr="00287AF0">
        <w:rPr>
          <w:b/>
          <w:bCs/>
        </w:rPr>
        <w:t>2018</w:t>
      </w:r>
      <w:r w:rsidRPr="00287AF0">
        <w:t>, </w:t>
      </w:r>
      <w:r w:rsidRPr="00287AF0">
        <w:rPr>
          <w:i/>
          <w:iCs/>
        </w:rPr>
        <w:t>149</w:t>
      </w:r>
      <w:r w:rsidRPr="00287AF0">
        <w:t xml:space="preserve">, 164302. </w:t>
      </w:r>
    </w:p>
    <w:p w14:paraId="2CEC4E20" w14:textId="25F71A2A" w:rsidR="00287AF0" w:rsidRPr="00287AF0" w:rsidRDefault="00287AF0" w:rsidP="00527D71">
      <w:pPr>
        <w:numPr>
          <w:ilvl w:val="0"/>
          <w:numId w:val="18"/>
        </w:numPr>
        <w:spacing w:after="0"/>
      </w:pPr>
      <w:proofErr w:type="spellStart"/>
      <w:r w:rsidRPr="00287AF0">
        <w:t>Gayday</w:t>
      </w:r>
      <w:proofErr w:type="spellEnd"/>
      <w:r w:rsidRPr="00287AF0">
        <w:t xml:space="preserve">, I.; </w:t>
      </w:r>
      <w:proofErr w:type="spellStart"/>
      <w:r w:rsidRPr="00287AF0">
        <w:t>Teplukhin</w:t>
      </w:r>
      <w:proofErr w:type="spellEnd"/>
      <w:r w:rsidRPr="00287AF0">
        <w:t xml:space="preserve">, A.; Kendrick, B.K.; Babikov, D. Theoretical treatment of the Coriolis effect using </w:t>
      </w:r>
      <w:proofErr w:type="spellStart"/>
      <w:r w:rsidRPr="00287AF0">
        <w:t>hyperspherical</w:t>
      </w:r>
      <w:proofErr w:type="spellEnd"/>
      <w:r w:rsidRPr="00287AF0">
        <w:t xml:space="preserve"> coordinates, with application to the </w:t>
      </w:r>
      <w:proofErr w:type="spellStart"/>
      <w:r w:rsidRPr="00287AF0">
        <w:t>ro</w:t>
      </w:r>
      <w:proofErr w:type="spellEnd"/>
      <w:r w:rsidRPr="00287AF0">
        <w:t>-vibrational spectrum of ozone. </w:t>
      </w:r>
      <w:r w:rsidRPr="00287AF0">
        <w:rPr>
          <w:i/>
          <w:iCs/>
        </w:rPr>
        <w:t>J. Phys. Chem. A</w:t>
      </w:r>
      <w:r w:rsidRPr="00287AF0">
        <w:t> </w:t>
      </w:r>
      <w:r w:rsidRPr="00287AF0">
        <w:rPr>
          <w:b/>
          <w:bCs/>
        </w:rPr>
        <w:t>2020</w:t>
      </w:r>
      <w:r w:rsidRPr="00287AF0">
        <w:t>, </w:t>
      </w:r>
      <w:r w:rsidRPr="00287AF0">
        <w:rPr>
          <w:i/>
          <w:iCs/>
        </w:rPr>
        <w:t>124</w:t>
      </w:r>
      <w:r w:rsidRPr="00287AF0">
        <w:t xml:space="preserve">, 2808–2819. </w:t>
      </w:r>
    </w:p>
    <w:p w14:paraId="007DF4CD" w14:textId="2A93CC34" w:rsidR="00287AF0" w:rsidRPr="00287AF0" w:rsidRDefault="00287AF0" w:rsidP="00527D71">
      <w:pPr>
        <w:numPr>
          <w:ilvl w:val="0"/>
          <w:numId w:val="18"/>
        </w:numPr>
        <w:spacing w:after="0"/>
      </w:pPr>
      <w:proofErr w:type="spellStart"/>
      <w:r w:rsidRPr="00287AF0">
        <w:t>Gayday</w:t>
      </w:r>
      <w:proofErr w:type="spellEnd"/>
      <w:r w:rsidRPr="00287AF0">
        <w:t xml:space="preserve">, I.; </w:t>
      </w:r>
      <w:proofErr w:type="spellStart"/>
      <w:r w:rsidRPr="00287AF0">
        <w:t>Teplukhin</w:t>
      </w:r>
      <w:proofErr w:type="spellEnd"/>
      <w:r w:rsidRPr="00287AF0">
        <w:t xml:space="preserve">, A.; Kendrick, B.K.; Babikov, D. The role of rotation–vibration coupling in symmetric and asymmetric </w:t>
      </w:r>
      <w:proofErr w:type="spellStart"/>
      <w:r w:rsidRPr="00287AF0">
        <w:t>isotopomers</w:t>
      </w:r>
      <w:proofErr w:type="spellEnd"/>
      <w:r w:rsidRPr="00287AF0">
        <w:t xml:space="preserve"> of ozone. </w:t>
      </w:r>
      <w:r w:rsidRPr="00287AF0">
        <w:rPr>
          <w:i/>
          <w:iCs/>
        </w:rPr>
        <w:t>J. Chem. Phys.</w:t>
      </w:r>
      <w:r w:rsidRPr="00287AF0">
        <w:t> </w:t>
      </w:r>
      <w:r w:rsidRPr="00287AF0">
        <w:rPr>
          <w:b/>
          <w:bCs/>
        </w:rPr>
        <w:t>2020</w:t>
      </w:r>
      <w:r w:rsidRPr="00287AF0">
        <w:t>, </w:t>
      </w:r>
      <w:r w:rsidRPr="00287AF0">
        <w:rPr>
          <w:i/>
          <w:iCs/>
        </w:rPr>
        <w:t>152</w:t>
      </w:r>
      <w:r w:rsidRPr="00287AF0">
        <w:t xml:space="preserve">, 144104. </w:t>
      </w:r>
    </w:p>
    <w:p w14:paraId="7B250169" w14:textId="52D75870" w:rsidR="00287AF0" w:rsidRPr="00287AF0" w:rsidRDefault="00287AF0" w:rsidP="00527D71">
      <w:pPr>
        <w:numPr>
          <w:ilvl w:val="0"/>
          <w:numId w:val="18"/>
        </w:numPr>
        <w:spacing w:after="0"/>
      </w:pPr>
      <w:r w:rsidRPr="00287AF0">
        <w:t xml:space="preserve">Bowman, J.M.; Houston, P.L. </w:t>
      </w:r>
      <w:proofErr w:type="gramStart"/>
      <w:r w:rsidRPr="00287AF0">
        <w:t>Theories</w:t>
      </w:r>
      <w:proofErr w:type="gramEnd"/>
      <w:r w:rsidRPr="00287AF0">
        <w:t xml:space="preserve"> and simulations of roaming. </w:t>
      </w:r>
      <w:r w:rsidRPr="00287AF0">
        <w:rPr>
          <w:i/>
          <w:iCs/>
        </w:rPr>
        <w:t>Chem. Soc. Rev.</w:t>
      </w:r>
      <w:r w:rsidRPr="00287AF0">
        <w:t> </w:t>
      </w:r>
      <w:r w:rsidRPr="00287AF0">
        <w:rPr>
          <w:b/>
          <w:bCs/>
        </w:rPr>
        <w:t>2017</w:t>
      </w:r>
      <w:r w:rsidRPr="00287AF0">
        <w:t>, </w:t>
      </w:r>
      <w:r w:rsidRPr="00287AF0">
        <w:rPr>
          <w:i/>
          <w:iCs/>
        </w:rPr>
        <w:t>46</w:t>
      </w:r>
      <w:r w:rsidRPr="00287AF0">
        <w:t xml:space="preserve">, 7615–7624. </w:t>
      </w:r>
    </w:p>
    <w:p w14:paraId="55B4080A" w14:textId="42772001" w:rsidR="00287AF0" w:rsidRPr="00287AF0" w:rsidRDefault="00287AF0" w:rsidP="00527D71">
      <w:pPr>
        <w:numPr>
          <w:ilvl w:val="0"/>
          <w:numId w:val="18"/>
        </w:numPr>
        <w:spacing w:after="0"/>
      </w:pPr>
      <w:r w:rsidRPr="00287AF0">
        <w:t xml:space="preserve">Yuen, C.H.; Lapierre, D.; </w:t>
      </w:r>
      <w:proofErr w:type="spellStart"/>
      <w:r w:rsidRPr="00287AF0">
        <w:t>Gatti</w:t>
      </w:r>
      <w:proofErr w:type="spellEnd"/>
      <w:r w:rsidRPr="00287AF0">
        <w:t xml:space="preserve">, F.; </w:t>
      </w:r>
      <w:proofErr w:type="spellStart"/>
      <w:r w:rsidRPr="00287AF0">
        <w:t>Kokoouline</w:t>
      </w:r>
      <w:proofErr w:type="spellEnd"/>
      <w:r w:rsidRPr="00287AF0">
        <w:t xml:space="preserve">, V.; </w:t>
      </w:r>
      <w:proofErr w:type="spellStart"/>
      <w:r w:rsidRPr="00287AF0">
        <w:t>Tyuterev</w:t>
      </w:r>
      <w:proofErr w:type="spellEnd"/>
      <w:r w:rsidRPr="00287AF0">
        <w:t>, V.G. The role of ozone vibrational resonances in the isotope exchange reaction </w:t>
      </w:r>
      <w:r w:rsidRPr="00287AF0">
        <w:rPr>
          <w:vertAlign w:val="superscript"/>
        </w:rPr>
        <w:t>16</w:t>
      </w:r>
      <w:r w:rsidRPr="00287AF0">
        <w:t>O</w:t>
      </w:r>
      <w:r w:rsidRPr="00287AF0">
        <w:rPr>
          <w:vertAlign w:val="superscript"/>
        </w:rPr>
        <w:t>16</w:t>
      </w:r>
      <w:r w:rsidRPr="00287AF0">
        <w:t>O + </w:t>
      </w:r>
      <w:r w:rsidRPr="00287AF0">
        <w:rPr>
          <w:vertAlign w:val="superscript"/>
        </w:rPr>
        <w:t>18</w:t>
      </w:r>
      <w:r w:rsidRPr="00287AF0">
        <w:t>O → </w:t>
      </w:r>
      <w:r w:rsidRPr="00287AF0">
        <w:rPr>
          <w:vertAlign w:val="superscript"/>
        </w:rPr>
        <w:t>18</w:t>
      </w:r>
      <w:r w:rsidRPr="00287AF0">
        <w:t>O</w:t>
      </w:r>
      <w:r w:rsidRPr="00287AF0">
        <w:rPr>
          <w:vertAlign w:val="superscript"/>
        </w:rPr>
        <w:t>16</w:t>
      </w:r>
      <w:r w:rsidRPr="00287AF0">
        <w:t>O + </w:t>
      </w:r>
      <w:r w:rsidRPr="00287AF0">
        <w:rPr>
          <w:vertAlign w:val="superscript"/>
        </w:rPr>
        <w:t>16</w:t>
      </w:r>
      <w:r w:rsidRPr="00287AF0">
        <w:t>O: The time-dependent picture. </w:t>
      </w:r>
      <w:r w:rsidRPr="00287AF0">
        <w:rPr>
          <w:i/>
          <w:iCs/>
        </w:rPr>
        <w:t>J. Phys. Chem. A</w:t>
      </w:r>
      <w:r w:rsidRPr="00287AF0">
        <w:t> </w:t>
      </w:r>
      <w:r w:rsidRPr="00287AF0">
        <w:rPr>
          <w:b/>
          <w:bCs/>
        </w:rPr>
        <w:t>2019</w:t>
      </w:r>
      <w:r w:rsidRPr="00287AF0">
        <w:t>, </w:t>
      </w:r>
      <w:r w:rsidRPr="00287AF0">
        <w:rPr>
          <w:i/>
          <w:iCs/>
        </w:rPr>
        <w:t>123</w:t>
      </w:r>
      <w:r w:rsidRPr="00287AF0">
        <w:t xml:space="preserve">, 7733–7743. </w:t>
      </w:r>
    </w:p>
    <w:p w14:paraId="76A5466A" w14:textId="2B9BED58" w:rsidR="00287AF0" w:rsidRPr="00287AF0" w:rsidRDefault="00287AF0" w:rsidP="00527D71">
      <w:pPr>
        <w:numPr>
          <w:ilvl w:val="0"/>
          <w:numId w:val="18"/>
        </w:numPr>
        <w:spacing w:after="0"/>
      </w:pPr>
      <w:proofErr w:type="spellStart"/>
      <w:r w:rsidRPr="00287AF0">
        <w:t>Mauguière</w:t>
      </w:r>
      <w:proofErr w:type="spellEnd"/>
      <w:r w:rsidRPr="00287AF0">
        <w:t xml:space="preserve"> F. A., L.; Collins, P.; </w:t>
      </w:r>
      <w:proofErr w:type="spellStart"/>
      <w:r w:rsidRPr="00287AF0">
        <w:t>Stamatiadis</w:t>
      </w:r>
      <w:proofErr w:type="spellEnd"/>
      <w:r w:rsidRPr="00287AF0">
        <w:t xml:space="preserve">, S.; Li, A.; Ezra G., S.; </w:t>
      </w:r>
      <w:proofErr w:type="spellStart"/>
      <w:r w:rsidRPr="00287AF0">
        <w:t>Farantos</w:t>
      </w:r>
      <w:proofErr w:type="spellEnd"/>
      <w:r w:rsidRPr="00287AF0">
        <w:t xml:space="preserve"> S., C.; Kramer Z., C.; Carpenter B., K.; Wiggins, S.; Guo, H. Toward understanding the roaming mechanism in H + </w:t>
      </w:r>
      <w:proofErr w:type="spellStart"/>
      <w:r w:rsidRPr="00287AF0">
        <w:t>MgH</w:t>
      </w:r>
      <w:proofErr w:type="spellEnd"/>
      <w:r w:rsidRPr="00287AF0">
        <w:t xml:space="preserve"> → Mg + HH reaction. </w:t>
      </w:r>
      <w:r w:rsidRPr="00287AF0">
        <w:rPr>
          <w:i/>
          <w:iCs/>
        </w:rPr>
        <w:t>J. Phys. Chem. A</w:t>
      </w:r>
      <w:r w:rsidRPr="00287AF0">
        <w:t> </w:t>
      </w:r>
      <w:r w:rsidRPr="00287AF0">
        <w:rPr>
          <w:b/>
          <w:bCs/>
        </w:rPr>
        <w:t>2016</w:t>
      </w:r>
      <w:r w:rsidRPr="00287AF0">
        <w:t>, </w:t>
      </w:r>
      <w:r w:rsidRPr="00287AF0">
        <w:rPr>
          <w:i/>
          <w:iCs/>
        </w:rPr>
        <w:t>120</w:t>
      </w:r>
      <w:r w:rsidRPr="00287AF0">
        <w:t xml:space="preserve">, 5145–5154. </w:t>
      </w:r>
    </w:p>
    <w:p w14:paraId="3D8B4818" w14:textId="75EA4D1D" w:rsidR="00287AF0" w:rsidRPr="00287AF0" w:rsidRDefault="00287AF0" w:rsidP="00527D71">
      <w:pPr>
        <w:numPr>
          <w:ilvl w:val="0"/>
          <w:numId w:val="18"/>
        </w:numPr>
        <w:spacing w:after="0"/>
      </w:pPr>
      <w:proofErr w:type="spellStart"/>
      <w:r w:rsidRPr="00287AF0">
        <w:t>Coletti</w:t>
      </w:r>
      <w:proofErr w:type="spellEnd"/>
      <w:r w:rsidRPr="00287AF0">
        <w:t>, C.; Billing, G. Vibrational energy transfer in molecular oxygen collisions. </w:t>
      </w:r>
      <w:r w:rsidRPr="00287AF0">
        <w:rPr>
          <w:i/>
          <w:iCs/>
        </w:rPr>
        <w:t>Chem. Phys. Lett.</w:t>
      </w:r>
      <w:r w:rsidRPr="00287AF0">
        <w:t> </w:t>
      </w:r>
      <w:r w:rsidRPr="00287AF0">
        <w:rPr>
          <w:b/>
          <w:bCs/>
        </w:rPr>
        <w:t>2002</w:t>
      </w:r>
      <w:r w:rsidRPr="00287AF0">
        <w:t>, </w:t>
      </w:r>
      <w:r w:rsidRPr="00287AF0">
        <w:rPr>
          <w:i/>
          <w:iCs/>
        </w:rPr>
        <w:t>356</w:t>
      </w:r>
      <w:r w:rsidRPr="00287AF0">
        <w:t xml:space="preserve">, 14–22. </w:t>
      </w:r>
    </w:p>
    <w:p w14:paraId="235996AA" w14:textId="7CF5D012" w:rsidR="00287AF0" w:rsidRPr="00287AF0" w:rsidRDefault="00287AF0" w:rsidP="00527D71">
      <w:pPr>
        <w:numPr>
          <w:ilvl w:val="0"/>
          <w:numId w:val="18"/>
        </w:numPr>
        <w:spacing w:after="0"/>
      </w:pPr>
      <w:r w:rsidRPr="00287AF0">
        <w:t>Charlo, D.; Clary, D.C. Quantum-mechanical calculations on termolecular association reactions XY + Z + M→XYZ + M: Application to ozone formation. </w:t>
      </w:r>
      <w:r w:rsidRPr="00287AF0">
        <w:rPr>
          <w:i/>
          <w:iCs/>
        </w:rPr>
        <w:t>J. Chem. Phys.</w:t>
      </w:r>
      <w:r w:rsidRPr="00287AF0">
        <w:t> </w:t>
      </w:r>
      <w:r w:rsidRPr="00287AF0">
        <w:rPr>
          <w:b/>
          <w:bCs/>
        </w:rPr>
        <w:t>2002</w:t>
      </w:r>
      <w:r w:rsidRPr="00287AF0">
        <w:t>, </w:t>
      </w:r>
      <w:r w:rsidRPr="00287AF0">
        <w:rPr>
          <w:i/>
          <w:iCs/>
        </w:rPr>
        <w:t>117</w:t>
      </w:r>
      <w:r w:rsidRPr="00287AF0">
        <w:t xml:space="preserve">, 1660–1672. </w:t>
      </w:r>
    </w:p>
    <w:p w14:paraId="3EF5B859" w14:textId="7C9BEC43" w:rsidR="00287AF0" w:rsidRPr="00287AF0" w:rsidRDefault="00287AF0" w:rsidP="00527D71">
      <w:pPr>
        <w:numPr>
          <w:ilvl w:val="0"/>
          <w:numId w:val="18"/>
        </w:numPr>
        <w:spacing w:after="0"/>
      </w:pPr>
      <w:r w:rsidRPr="00287AF0">
        <w:t>Charlo, D.; Clary, D.C. Quantum-mechanical calculations on pressure and temperature dependence of three-body recombination reactions: Application to ozone formation rates. </w:t>
      </w:r>
      <w:r w:rsidRPr="00287AF0">
        <w:rPr>
          <w:i/>
          <w:iCs/>
        </w:rPr>
        <w:t>J. Chem. Phys.</w:t>
      </w:r>
      <w:r w:rsidRPr="00287AF0">
        <w:t> </w:t>
      </w:r>
      <w:r w:rsidRPr="00287AF0">
        <w:rPr>
          <w:b/>
          <w:bCs/>
        </w:rPr>
        <w:t>2004</w:t>
      </w:r>
      <w:r w:rsidRPr="00287AF0">
        <w:t>, </w:t>
      </w:r>
      <w:r w:rsidRPr="00287AF0">
        <w:rPr>
          <w:i/>
          <w:iCs/>
        </w:rPr>
        <w:t>120</w:t>
      </w:r>
      <w:r w:rsidRPr="00287AF0">
        <w:t xml:space="preserve">, 2700–2707. </w:t>
      </w:r>
    </w:p>
    <w:p w14:paraId="73ADF7D5" w14:textId="0203AB0E" w:rsidR="00287AF0" w:rsidRPr="00287AF0" w:rsidRDefault="00287AF0" w:rsidP="00527D71">
      <w:pPr>
        <w:numPr>
          <w:ilvl w:val="0"/>
          <w:numId w:val="18"/>
        </w:numPr>
        <w:spacing w:after="0"/>
      </w:pPr>
      <w:proofErr w:type="spellStart"/>
      <w:r w:rsidRPr="00287AF0">
        <w:t>Xie</w:t>
      </w:r>
      <w:proofErr w:type="spellEnd"/>
      <w:r w:rsidRPr="00287AF0">
        <w:t>, T.; Bowman, J.M. Quantum inelastic scattering study of isotope effects in ozone stabilization dynamics. </w:t>
      </w:r>
      <w:r w:rsidRPr="00287AF0">
        <w:rPr>
          <w:i/>
          <w:iCs/>
        </w:rPr>
        <w:t>Chem. Phys. Lett.</w:t>
      </w:r>
      <w:r w:rsidRPr="00287AF0">
        <w:t> </w:t>
      </w:r>
      <w:r w:rsidRPr="00287AF0">
        <w:rPr>
          <w:b/>
          <w:bCs/>
        </w:rPr>
        <w:t>2005</w:t>
      </w:r>
      <w:r w:rsidRPr="00287AF0">
        <w:t>, </w:t>
      </w:r>
      <w:r w:rsidRPr="00287AF0">
        <w:rPr>
          <w:i/>
          <w:iCs/>
        </w:rPr>
        <w:t>412</w:t>
      </w:r>
      <w:r w:rsidRPr="00287AF0">
        <w:t xml:space="preserve">, 131–134. </w:t>
      </w:r>
    </w:p>
    <w:p w14:paraId="7409ADD9" w14:textId="7235EC74" w:rsidR="00287AF0" w:rsidRPr="00287AF0" w:rsidRDefault="00287AF0" w:rsidP="00527D71">
      <w:pPr>
        <w:numPr>
          <w:ilvl w:val="0"/>
          <w:numId w:val="18"/>
        </w:numPr>
        <w:spacing w:after="0"/>
      </w:pPr>
      <w:r w:rsidRPr="00287AF0">
        <w:t>Ivanov, M.V.; Babikov, D. On stabilization of scattering resonances in recombination reaction that forms ozone. </w:t>
      </w:r>
      <w:r w:rsidRPr="00287AF0">
        <w:rPr>
          <w:i/>
          <w:iCs/>
        </w:rPr>
        <w:t>J. Chem. Phys.</w:t>
      </w:r>
      <w:r w:rsidRPr="00287AF0">
        <w:t> </w:t>
      </w:r>
      <w:r w:rsidRPr="00287AF0">
        <w:rPr>
          <w:b/>
          <w:bCs/>
        </w:rPr>
        <w:t>2016</w:t>
      </w:r>
      <w:r w:rsidRPr="00287AF0">
        <w:t>, </w:t>
      </w:r>
      <w:r w:rsidRPr="00287AF0">
        <w:rPr>
          <w:i/>
          <w:iCs/>
        </w:rPr>
        <w:t>144</w:t>
      </w:r>
      <w:r w:rsidRPr="00287AF0">
        <w:t xml:space="preserve">, 154301. </w:t>
      </w:r>
    </w:p>
    <w:p w14:paraId="325F4742" w14:textId="58255736" w:rsidR="00287AF0" w:rsidRPr="00287AF0" w:rsidRDefault="00287AF0" w:rsidP="00527D71">
      <w:pPr>
        <w:numPr>
          <w:ilvl w:val="0"/>
          <w:numId w:val="18"/>
        </w:numPr>
        <w:spacing w:after="0"/>
      </w:pPr>
      <w:r w:rsidRPr="00287AF0">
        <w:t xml:space="preserve">Luther, K.; </w:t>
      </w:r>
      <w:proofErr w:type="spellStart"/>
      <w:r w:rsidRPr="00287AF0">
        <w:t>Oum</w:t>
      </w:r>
      <w:proofErr w:type="spellEnd"/>
      <w:r w:rsidRPr="00287AF0">
        <w:t xml:space="preserve">, K.; </w:t>
      </w:r>
      <w:proofErr w:type="spellStart"/>
      <w:r w:rsidRPr="00287AF0">
        <w:t>Troe</w:t>
      </w:r>
      <w:proofErr w:type="spellEnd"/>
      <w:r w:rsidRPr="00287AF0">
        <w:t>, J. The role of the radical-complex mechanism in the ozone recombination/dissociation reaction. </w:t>
      </w:r>
      <w:r w:rsidRPr="00287AF0">
        <w:rPr>
          <w:i/>
          <w:iCs/>
        </w:rPr>
        <w:t>Phys. Chem. Chem. Phys.</w:t>
      </w:r>
      <w:r w:rsidRPr="00287AF0">
        <w:t> </w:t>
      </w:r>
      <w:r w:rsidRPr="00287AF0">
        <w:rPr>
          <w:b/>
          <w:bCs/>
        </w:rPr>
        <w:t>2005</w:t>
      </w:r>
      <w:r w:rsidRPr="00287AF0">
        <w:t>, </w:t>
      </w:r>
      <w:r w:rsidRPr="00287AF0">
        <w:rPr>
          <w:i/>
          <w:iCs/>
        </w:rPr>
        <w:t>7</w:t>
      </w:r>
      <w:r w:rsidRPr="00287AF0">
        <w:t xml:space="preserve">, 2764–2770. </w:t>
      </w:r>
    </w:p>
    <w:p w14:paraId="0C3D7856" w14:textId="4FEF172E" w:rsidR="00287AF0" w:rsidRPr="00287AF0" w:rsidRDefault="00287AF0" w:rsidP="00527D71">
      <w:pPr>
        <w:numPr>
          <w:ilvl w:val="0"/>
          <w:numId w:val="18"/>
        </w:numPr>
        <w:spacing w:after="0"/>
      </w:pPr>
      <w:r w:rsidRPr="00287AF0">
        <w:t xml:space="preserve">Bare, T.; </w:t>
      </w:r>
      <w:proofErr w:type="spellStart"/>
      <w:r w:rsidRPr="00287AF0">
        <w:t>Hase</w:t>
      </w:r>
      <w:proofErr w:type="spellEnd"/>
      <w:r w:rsidRPr="00287AF0">
        <w:t>, W. Unimolecular reaction dynamics. In </w:t>
      </w:r>
      <w:r w:rsidRPr="00287AF0">
        <w:rPr>
          <w:i/>
          <w:iCs/>
        </w:rPr>
        <w:t>Theory and Experiment</w:t>
      </w:r>
      <w:r w:rsidRPr="00287AF0">
        <w:t xml:space="preserve">; Oxford University Press: New York, NY, USA, 1996. </w:t>
      </w:r>
    </w:p>
    <w:p w14:paraId="2D3E280D" w14:textId="15C7E6F3" w:rsidR="00287AF0" w:rsidRPr="00287AF0" w:rsidRDefault="00287AF0" w:rsidP="00527D71">
      <w:pPr>
        <w:numPr>
          <w:ilvl w:val="0"/>
          <w:numId w:val="18"/>
        </w:numPr>
        <w:spacing w:after="0"/>
      </w:pPr>
      <w:r w:rsidRPr="00287AF0">
        <w:t>Ivanov, M.; Babikov, D. Collisional stabilization of van der Waals states in ozone. </w:t>
      </w:r>
      <w:r w:rsidRPr="00287AF0">
        <w:rPr>
          <w:i/>
          <w:iCs/>
        </w:rPr>
        <w:t>J. Chem. Phys.</w:t>
      </w:r>
      <w:r w:rsidRPr="00287AF0">
        <w:t> </w:t>
      </w:r>
      <w:r w:rsidRPr="00287AF0">
        <w:rPr>
          <w:b/>
          <w:bCs/>
        </w:rPr>
        <w:t>2011</w:t>
      </w:r>
      <w:r w:rsidRPr="00287AF0">
        <w:t>, </w:t>
      </w:r>
      <w:r w:rsidRPr="00287AF0">
        <w:rPr>
          <w:i/>
          <w:iCs/>
        </w:rPr>
        <w:t>134</w:t>
      </w:r>
      <w:r w:rsidRPr="00287AF0">
        <w:t xml:space="preserve">, 174308. </w:t>
      </w:r>
    </w:p>
    <w:p w14:paraId="44934607" w14:textId="1DBB8865" w:rsidR="00287AF0" w:rsidRPr="00287AF0" w:rsidRDefault="00287AF0" w:rsidP="00527D71">
      <w:pPr>
        <w:numPr>
          <w:ilvl w:val="0"/>
          <w:numId w:val="18"/>
        </w:numPr>
        <w:spacing w:after="0"/>
      </w:pPr>
      <w:proofErr w:type="spellStart"/>
      <w:r w:rsidRPr="00287AF0">
        <w:t>Gayday</w:t>
      </w:r>
      <w:proofErr w:type="spellEnd"/>
      <w:r w:rsidRPr="00287AF0">
        <w:t xml:space="preserve">, I.; </w:t>
      </w:r>
      <w:proofErr w:type="spellStart"/>
      <w:r w:rsidRPr="00287AF0">
        <w:t>Grushnikova</w:t>
      </w:r>
      <w:proofErr w:type="spellEnd"/>
      <w:r w:rsidRPr="00287AF0">
        <w:t xml:space="preserve">, E.; Babikov, D. Influence of the Coriolis effect on the properties of scattering resonances in symmetric and asymmetric </w:t>
      </w:r>
      <w:proofErr w:type="spellStart"/>
      <w:r w:rsidRPr="00287AF0">
        <w:t>isotopomers</w:t>
      </w:r>
      <w:proofErr w:type="spellEnd"/>
      <w:r w:rsidRPr="00287AF0">
        <w:t xml:space="preserve"> of ozone. </w:t>
      </w:r>
      <w:r w:rsidRPr="00287AF0">
        <w:rPr>
          <w:i/>
          <w:iCs/>
        </w:rPr>
        <w:t>Phys. Chem. Chem. Phys.</w:t>
      </w:r>
      <w:r w:rsidRPr="00287AF0">
        <w:t> </w:t>
      </w:r>
      <w:r w:rsidRPr="00287AF0">
        <w:rPr>
          <w:b/>
          <w:bCs/>
        </w:rPr>
        <w:t>2020</w:t>
      </w:r>
      <w:r w:rsidRPr="00287AF0">
        <w:t>, </w:t>
      </w:r>
      <w:r w:rsidRPr="00287AF0">
        <w:rPr>
          <w:i/>
          <w:iCs/>
        </w:rPr>
        <w:t>22</w:t>
      </w:r>
      <w:r w:rsidRPr="00287AF0">
        <w:t xml:space="preserve">, 27560–27571. </w:t>
      </w:r>
    </w:p>
    <w:p w14:paraId="60F24312" w14:textId="78BE526E" w:rsidR="00287AF0" w:rsidRPr="00287AF0" w:rsidRDefault="00287AF0" w:rsidP="00527D71">
      <w:pPr>
        <w:numPr>
          <w:ilvl w:val="0"/>
          <w:numId w:val="18"/>
        </w:numPr>
        <w:spacing w:after="0"/>
      </w:pPr>
      <w:proofErr w:type="spellStart"/>
      <w:r w:rsidRPr="00287AF0">
        <w:t>Kokoouline</w:t>
      </w:r>
      <w:proofErr w:type="spellEnd"/>
      <w:r w:rsidRPr="00287AF0">
        <w:t xml:space="preserve">, V.; Lapierre, D.; Alijah, A.; </w:t>
      </w:r>
      <w:proofErr w:type="spellStart"/>
      <w:r w:rsidRPr="00287AF0">
        <w:t>Tyuterev</w:t>
      </w:r>
      <w:proofErr w:type="spellEnd"/>
      <w:r w:rsidRPr="00287AF0">
        <w:t xml:space="preserve">, V. Localized and delocalized bound states of the main </w:t>
      </w:r>
      <w:proofErr w:type="spellStart"/>
      <w:r w:rsidRPr="00287AF0">
        <w:t>isotopologue</w:t>
      </w:r>
      <w:proofErr w:type="spellEnd"/>
      <w:r w:rsidRPr="00287AF0">
        <w:t> </w:t>
      </w:r>
      <w:r w:rsidRPr="00287AF0">
        <w:rPr>
          <w:vertAlign w:val="superscript"/>
        </w:rPr>
        <w:t>48</w:t>
      </w:r>
      <w:r w:rsidRPr="00287AF0">
        <w:t>O</w:t>
      </w:r>
      <w:r w:rsidRPr="00287AF0">
        <w:rPr>
          <w:vertAlign w:val="subscript"/>
        </w:rPr>
        <w:t>3</w:t>
      </w:r>
      <w:r w:rsidRPr="00287AF0">
        <w:t> and of </w:t>
      </w:r>
      <w:r w:rsidRPr="00287AF0">
        <w:rPr>
          <w:vertAlign w:val="superscript"/>
        </w:rPr>
        <w:t>18</w:t>
      </w:r>
      <w:r w:rsidRPr="00287AF0">
        <w:t>O-enriched </w:t>
      </w:r>
      <w:r w:rsidRPr="00287AF0">
        <w:rPr>
          <w:vertAlign w:val="superscript"/>
        </w:rPr>
        <w:t>50</w:t>
      </w:r>
      <w:r w:rsidRPr="00287AF0">
        <w:t>O</w:t>
      </w:r>
      <w:r w:rsidRPr="00287AF0">
        <w:rPr>
          <w:vertAlign w:val="subscript"/>
        </w:rPr>
        <w:t>3</w:t>
      </w:r>
      <w:r w:rsidRPr="00287AF0">
        <w:t> </w:t>
      </w:r>
      <w:proofErr w:type="spellStart"/>
      <w:r w:rsidRPr="00287AF0">
        <w:t>isotopomers</w:t>
      </w:r>
      <w:proofErr w:type="spellEnd"/>
      <w:r w:rsidRPr="00287AF0">
        <w:t xml:space="preserve"> of the ozone molecule near the dissociation threshold. </w:t>
      </w:r>
      <w:r w:rsidRPr="00287AF0">
        <w:rPr>
          <w:i/>
          <w:iCs/>
        </w:rPr>
        <w:t>Phys. Chem. Chem. Phys.</w:t>
      </w:r>
      <w:r w:rsidRPr="00287AF0">
        <w:t> </w:t>
      </w:r>
      <w:r w:rsidRPr="00287AF0">
        <w:rPr>
          <w:b/>
          <w:bCs/>
        </w:rPr>
        <w:t>2020</w:t>
      </w:r>
      <w:r w:rsidRPr="00287AF0">
        <w:t>, </w:t>
      </w:r>
      <w:r w:rsidRPr="00287AF0">
        <w:rPr>
          <w:i/>
          <w:iCs/>
        </w:rPr>
        <w:t>22</w:t>
      </w:r>
      <w:r w:rsidRPr="00287AF0">
        <w:t xml:space="preserve">, 15885–15899. </w:t>
      </w:r>
    </w:p>
    <w:p w14:paraId="49040326" w14:textId="23C26F7A" w:rsidR="00287AF0" w:rsidRPr="00287AF0" w:rsidRDefault="00287AF0" w:rsidP="00527D71">
      <w:pPr>
        <w:numPr>
          <w:ilvl w:val="0"/>
          <w:numId w:val="18"/>
        </w:numPr>
        <w:spacing w:after="0"/>
      </w:pPr>
      <w:r w:rsidRPr="00287AF0">
        <w:t>Reinhardt, P.; Robert, F. On the mass independent isotope fractionation in ozone. </w:t>
      </w:r>
      <w:r w:rsidRPr="00287AF0">
        <w:rPr>
          <w:i/>
          <w:iCs/>
        </w:rPr>
        <w:t>Chem. Phys.</w:t>
      </w:r>
      <w:r w:rsidRPr="00287AF0">
        <w:t> </w:t>
      </w:r>
      <w:r w:rsidRPr="00287AF0">
        <w:rPr>
          <w:b/>
          <w:bCs/>
        </w:rPr>
        <w:t>2018</w:t>
      </w:r>
      <w:r w:rsidRPr="00287AF0">
        <w:t>, </w:t>
      </w:r>
      <w:r w:rsidRPr="00287AF0">
        <w:rPr>
          <w:i/>
          <w:iCs/>
        </w:rPr>
        <w:t>513</w:t>
      </w:r>
      <w:r w:rsidRPr="00287AF0">
        <w:t xml:space="preserve">, 287–294. </w:t>
      </w:r>
    </w:p>
    <w:p w14:paraId="492EEDC5" w14:textId="7EE6E96C" w:rsidR="00E410BA" w:rsidRPr="00E410BA" w:rsidRDefault="00287AF0" w:rsidP="00527D71">
      <w:pPr>
        <w:numPr>
          <w:ilvl w:val="0"/>
          <w:numId w:val="18"/>
        </w:numPr>
        <w:spacing w:after="0"/>
      </w:pPr>
      <w:r w:rsidRPr="00287AF0">
        <w:t xml:space="preserve">Robert, F.; </w:t>
      </w:r>
      <w:proofErr w:type="spellStart"/>
      <w:r w:rsidRPr="00287AF0">
        <w:t>Baraut-Guinet</w:t>
      </w:r>
      <w:proofErr w:type="spellEnd"/>
      <w:r w:rsidRPr="00287AF0">
        <w:t xml:space="preserve">, L.; </w:t>
      </w:r>
      <w:proofErr w:type="spellStart"/>
      <w:r w:rsidRPr="00287AF0">
        <w:t>Cartigny</w:t>
      </w:r>
      <w:proofErr w:type="spellEnd"/>
      <w:r w:rsidRPr="00287AF0">
        <w:t>, P.; Reinhardt, P. An experimental test for the mass independent isotopic fractionation mechanism proposed for ozone. </w:t>
      </w:r>
      <w:r w:rsidRPr="00EB4552">
        <w:rPr>
          <w:i/>
          <w:iCs/>
        </w:rPr>
        <w:t>Chem. Phys.</w:t>
      </w:r>
      <w:r w:rsidRPr="00287AF0">
        <w:t> </w:t>
      </w:r>
      <w:r w:rsidRPr="00EB4552">
        <w:rPr>
          <w:b/>
          <w:bCs/>
        </w:rPr>
        <w:t>2019</w:t>
      </w:r>
      <w:r w:rsidRPr="00287AF0">
        <w:t>, </w:t>
      </w:r>
      <w:r w:rsidRPr="00EB4552">
        <w:rPr>
          <w:i/>
          <w:iCs/>
        </w:rPr>
        <w:t>523</w:t>
      </w:r>
      <w:r w:rsidRPr="00287AF0">
        <w:t xml:space="preserve">, 191–197. </w:t>
      </w:r>
    </w:p>
    <w:sectPr w:rsidR="00E410BA" w:rsidRPr="00E410BA"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athJax_Math-italic">
    <w:altName w:val="Cambria"/>
    <w:panose1 w:val="00000000000000000000"/>
    <w:charset w:val="00"/>
    <w:family w:val="roman"/>
    <w:notTrueType/>
    <w:pitch w:val="default"/>
  </w:font>
  <w:font w:name="MathJax_Size1">
    <w:altName w:val="Cambria"/>
    <w:panose1 w:val="00000000000000000000"/>
    <w:charset w:val="00"/>
    <w:family w:val="roman"/>
    <w:notTrueType/>
    <w:pitch w:val="default"/>
  </w:font>
  <w:font w:name="MathJax_Main-bold">
    <w:altName w:val="Cambria"/>
    <w:panose1 w:val="00000000000000000000"/>
    <w:charset w:val="00"/>
    <w:family w:val="roman"/>
    <w:notTrueType/>
    <w:pitch w:val="default"/>
  </w:font>
  <w:font w:name="MathJax_Main">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F56F09"/>
    <w:multiLevelType w:val="multilevel"/>
    <w:tmpl w:val="176AC4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15"/>
  </w:num>
  <w:num w:numId="4">
    <w:abstractNumId w:val="5"/>
  </w:num>
  <w:num w:numId="5">
    <w:abstractNumId w:val="12"/>
  </w:num>
  <w:num w:numId="6">
    <w:abstractNumId w:val="16"/>
  </w:num>
  <w:num w:numId="7">
    <w:abstractNumId w:val="1"/>
  </w:num>
  <w:num w:numId="8">
    <w:abstractNumId w:val="11"/>
  </w:num>
  <w:num w:numId="9">
    <w:abstractNumId w:val="9"/>
  </w:num>
  <w:num w:numId="10">
    <w:abstractNumId w:val="4"/>
  </w:num>
  <w:num w:numId="11">
    <w:abstractNumId w:val="13"/>
  </w:num>
  <w:num w:numId="12">
    <w:abstractNumId w:val="17"/>
  </w:num>
  <w:num w:numId="13">
    <w:abstractNumId w:val="10"/>
  </w:num>
  <w:num w:numId="14">
    <w:abstractNumId w:val="7"/>
  </w:num>
  <w:num w:numId="15">
    <w:abstractNumId w:val="14"/>
  </w:num>
  <w:num w:numId="16">
    <w:abstractNumId w:val="8"/>
  </w:num>
  <w:num w:numId="17">
    <w:abstractNumId w:val="6"/>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qsH352t1krSJZuI+iZ9/qwDfS1VEvYIkL6T8Z6l/zzPuD9g++ivHABaKkuAPvVap6mbxrKH16FBQdmBSNO4VLw==" w:salt="osFEj2HXNNrkCog7CF0Ld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0DA4"/>
    <w:rsid w:val="0002206B"/>
    <w:rsid w:val="000233C1"/>
    <w:rsid w:val="00024048"/>
    <w:rsid w:val="00026BC7"/>
    <w:rsid w:val="0003036D"/>
    <w:rsid w:val="00030508"/>
    <w:rsid w:val="00034205"/>
    <w:rsid w:val="00035704"/>
    <w:rsid w:val="00041388"/>
    <w:rsid w:val="00041C27"/>
    <w:rsid w:val="000437DE"/>
    <w:rsid w:val="00043C8E"/>
    <w:rsid w:val="00044EBA"/>
    <w:rsid w:val="0004637E"/>
    <w:rsid w:val="0004686F"/>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38C"/>
    <w:rsid w:val="000846CC"/>
    <w:rsid w:val="00085797"/>
    <w:rsid w:val="0008674C"/>
    <w:rsid w:val="00087367"/>
    <w:rsid w:val="0009064A"/>
    <w:rsid w:val="00091815"/>
    <w:rsid w:val="0009195F"/>
    <w:rsid w:val="00092DFF"/>
    <w:rsid w:val="00093C1A"/>
    <w:rsid w:val="000964FE"/>
    <w:rsid w:val="00097FBC"/>
    <w:rsid w:val="000A0975"/>
    <w:rsid w:val="000A266C"/>
    <w:rsid w:val="000A7622"/>
    <w:rsid w:val="000A7F84"/>
    <w:rsid w:val="000B1EEB"/>
    <w:rsid w:val="000B22D3"/>
    <w:rsid w:val="000B25A4"/>
    <w:rsid w:val="000B2768"/>
    <w:rsid w:val="000B33FA"/>
    <w:rsid w:val="000B3464"/>
    <w:rsid w:val="000B389E"/>
    <w:rsid w:val="000B501D"/>
    <w:rsid w:val="000B5170"/>
    <w:rsid w:val="000C0E5B"/>
    <w:rsid w:val="000C6BA7"/>
    <w:rsid w:val="000D3573"/>
    <w:rsid w:val="000D4F0B"/>
    <w:rsid w:val="000D6BF2"/>
    <w:rsid w:val="000E0C11"/>
    <w:rsid w:val="000E69EF"/>
    <w:rsid w:val="000E7C46"/>
    <w:rsid w:val="000F0449"/>
    <w:rsid w:val="000F08DA"/>
    <w:rsid w:val="000F14F0"/>
    <w:rsid w:val="000F1D5E"/>
    <w:rsid w:val="000F33D0"/>
    <w:rsid w:val="000F7FB1"/>
    <w:rsid w:val="00101A98"/>
    <w:rsid w:val="00104CE6"/>
    <w:rsid w:val="00107EA8"/>
    <w:rsid w:val="001118B8"/>
    <w:rsid w:val="00114114"/>
    <w:rsid w:val="00117F89"/>
    <w:rsid w:val="00120313"/>
    <w:rsid w:val="001210F7"/>
    <w:rsid w:val="00121209"/>
    <w:rsid w:val="001216F2"/>
    <w:rsid w:val="001233A5"/>
    <w:rsid w:val="00123BC0"/>
    <w:rsid w:val="00123E80"/>
    <w:rsid w:val="00126439"/>
    <w:rsid w:val="00126F90"/>
    <w:rsid w:val="0013073E"/>
    <w:rsid w:val="00131A15"/>
    <w:rsid w:val="00131C28"/>
    <w:rsid w:val="00134CF7"/>
    <w:rsid w:val="0014182B"/>
    <w:rsid w:val="00143EE9"/>
    <w:rsid w:val="0014490B"/>
    <w:rsid w:val="00146A5C"/>
    <w:rsid w:val="00146E50"/>
    <w:rsid w:val="00150DB6"/>
    <w:rsid w:val="00154D34"/>
    <w:rsid w:val="00160E1F"/>
    <w:rsid w:val="00161372"/>
    <w:rsid w:val="001622DB"/>
    <w:rsid w:val="00163F71"/>
    <w:rsid w:val="0016565C"/>
    <w:rsid w:val="00173556"/>
    <w:rsid w:val="0018114F"/>
    <w:rsid w:val="00181ADF"/>
    <w:rsid w:val="00183A38"/>
    <w:rsid w:val="001854EA"/>
    <w:rsid w:val="00185C26"/>
    <w:rsid w:val="00196C7C"/>
    <w:rsid w:val="001A1C43"/>
    <w:rsid w:val="001A1C71"/>
    <w:rsid w:val="001A1DF4"/>
    <w:rsid w:val="001A34C4"/>
    <w:rsid w:val="001B14B5"/>
    <w:rsid w:val="001B6E76"/>
    <w:rsid w:val="001C1510"/>
    <w:rsid w:val="001C1785"/>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314B8"/>
    <w:rsid w:val="0023169B"/>
    <w:rsid w:val="00236E2E"/>
    <w:rsid w:val="0024134B"/>
    <w:rsid w:val="00251132"/>
    <w:rsid w:val="002535DF"/>
    <w:rsid w:val="002558EB"/>
    <w:rsid w:val="00255B43"/>
    <w:rsid w:val="00255BDC"/>
    <w:rsid w:val="00255BEA"/>
    <w:rsid w:val="00261403"/>
    <w:rsid w:val="00261F59"/>
    <w:rsid w:val="00270B36"/>
    <w:rsid w:val="002711EA"/>
    <w:rsid w:val="00272AF4"/>
    <w:rsid w:val="0027310E"/>
    <w:rsid w:val="00276C06"/>
    <w:rsid w:val="00280198"/>
    <w:rsid w:val="00282094"/>
    <w:rsid w:val="002843BC"/>
    <w:rsid w:val="00284A84"/>
    <w:rsid w:val="00284ED3"/>
    <w:rsid w:val="002857A1"/>
    <w:rsid w:val="00287AF0"/>
    <w:rsid w:val="0029129F"/>
    <w:rsid w:val="00296B90"/>
    <w:rsid w:val="00297296"/>
    <w:rsid w:val="002A0668"/>
    <w:rsid w:val="002A1080"/>
    <w:rsid w:val="002A5F52"/>
    <w:rsid w:val="002A6B8B"/>
    <w:rsid w:val="002A7FBB"/>
    <w:rsid w:val="002B1ED8"/>
    <w:rsid w:val="002B45EC"/>
    <w:rsid w:val="002B62C6"/>
    <w:rsid w:val="002C17A7"/>
    <w:rsid w:val="002C2DA5"/>
    <w:rsid w:val="002C4714"/>
    <w:rsid w:val="002C6160"/>
    <w:rsid w:val="002D02F2"/>
    <w:rsid w:val="002D28EA"/>
    <w:rsid w:val="002D35D3"/>
    <w:rsid w:val="002D51BB"/>
    <w:rsid w:val="002D5BAE"/>
    <w:rsid w:val="002D5DDC"/>
    <w:rsid w:val="002D6AA3"/>
    <w:rsid w:val="002E5C33"/>
    <w:rsid w:val="002E5D29"/>
    <w:rsid w:val="002F2DA7"/>
    <w:rsid w:val="00300EE4"/>
    <w:rsid w:val="0030197F"/>
    <w:rsid w:val="0030223E"/>
    <w:rsid w:val="00303A1E"/>
    <w:rsid w:val="00303BBD"/>
    <w:rsid w:val="003044CF"/>
    <w:rsid w:val="00306899"/>
    <w:rsid w:val="00313440"/>
    <w:rsid w:val="00314FCD"/>
    <w:rsid w:val="00321DD1"/>
    <w:rsid w:val="00324290"/>
    <w:rsid w:val="00331737"/>
    <w:rsid w:val="0033243D"/>
    <w:rsid w:val="0033354D"/>
    <w:rsid w:val="003341C5"/>
    <w:rsid w:val="0033652E"/>
    <w:rsid w:val="00340617"/>
    <w:rsid w:val="00340B13"/>
    <w:rsid w:val="00340CDB"/>
    <w:rsid w:val="003427C6"/>
    <w:rsid w:val="00343472"/>
    <w:rsid w:val="003455AA"/>
    <w:rsid w:val="00347634"/>
    <w:rsid w:val="00351E90"/>
    <w:rsid w:val="003561BC"/>
    <w:rsid w:val="00360206"/>
    <w:rsid w:val="003624EE"/>
    <w:rsid w:val="003632E1"/>
    <w:rsid w:val="00363CD3"/>
    <w:rsid w:val="003656A9"/>
    <w:rsid w:val="00366084"/>
    <w:rsid w:val="00366852"/>
    <w:rsid w:val="003706EF"/>
    <w:rsid w:val="00370BE4"/>
    <w:rsid w:val="00371D56"/>
    <w:rsid w:val="0037755D"/>
    <w:rsid w:val="00377CE2"/>
    <w:rsid w:val="00381F0E"/>
    <w:rsid w:val="0038549B"/>
    <w:rsid w:val="0038628A"/>
    <w:rsid w:val="0038634F"/>
    <w:rsid w:val="00391BEA"/>
    <w:rsid w:val="00391C48"/>
    <w:rsid w:val="00392BD5"/>
    <w:rsid w:val="00394337"/>
    <w:rsid w:val="00395178"/>
    <w:rsid w:val="003A437A"/>
    <w:rsid w:val="003A503E"/>
    <w:rsid w:val="003A6039"/>
    <w:rsid w:val="003B021E"/>
    <w:rsid w:val="003B41D5"/>
    <w:rsid w:val="003B47FA"/>
    <w:rsid w:val="003B6208"/>
    <w:rsid w:val="003B7F8F"/>
    <w:rsid w:val="003C2CB3"/>
    <w:rsid w:val="003C3A3F"/>
    <w:rsid w:val="003C4172"/>
    <w:rsid w:val="003C437D"/>
    <w:rsid w:val="003C4456"/>
    <w:rsid w:val="003D3301"/>
    <w:rsid w:val="003D4641"/>
    <w:rsid w:val="003E05B7"/>
    <w:rsid w:val="003E0C0A"/>
    <w:rsid w:val="003E1DFB"/>
    <w:rsid w:val="003E3CC3"/>
    <w:rsid w:val="003E6CFF"/>
    <w:rsid w:val="003F3B84"/>
    <w:rsid w:val="004010E3"/>
    <w:rsid w:val="004055B8"/>
    <w:rsid w:val="004061C0"/>
    <w:rsid w:val="0040709D"/>
    <w:rsid w:val="004122F9"/>
    <w:rsid w:val="004124D3"/>
    <w:rsid w:val="0041274C"/>
    <w:rsid w:val="004139BA"/>
    <w:rsid w:val="00414591"/>
    <w:rsid w:val="00420101"/>
    <w:rsid w:val="00421CBC"/>
    <w:rsid w:val="00424F73"/>
    <w:rsid w:val="0043008C"/>
    <w:rsid w:val="00430B91"/>
    <w:rsid w:val="004374EF"/>
    <w:rsid w:val="00440F61"/>
    <w:rsid w:val="004441CB"/>
    <w:rsid w:val="00450DB8"/>
    <w:rsid w:val="00453D2C"/>
    <w:rsid w:val="00454632"/>
    <w:rsid w:val="00454851"/>
    <w:rsid w:val="00456070"/>
    <w:rsid w:val="00456B26"/>
    <w:rsid w:val="004570E7"/>
    <w:rsid w:val="00460A1D"/>
    <w:rsid w:val="004613DF"/>
    <w:rsid w:val="0046180D"/>
    <w:rsid w:val="00461BB2"/>
    <w:rsid w:val="00463F96"/>
    <w:rsid w:val="004660BE"/>
    <w:rsid w:val="0046696C"/>
    <w:rsid w:val="00466DD7"/>
    <w:rsid w:val="00471F7D"/>
    <w:rsid w:val="00473B19"/>
    <w:rsid w:val="004744F8"/>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A53E7"/>
    <w:rsid w:val="004B2226"/>
    <w:rsid w:val="004B23D1"/>
    <w:rsid w:val="004B6BED"/>
    <w:rsid w:val="004B77C2"/>
    <w:rsid w:val="004C0B3D"/>
    <w:rsid w:val="004C2D7B"/>
    <w:rsid w:val="004C45D2"/>
    <w:rsid w:val="004C47D8"/>
    <w:rsid w:val="004C5EEF"/>
    <w:rsid w:val="004D118A"/>
    <w:rsid w:val="004D1CB9"/>
    <w:rsid w:val="004D21C9"/>
    <w:rsid w:val="004E08C8"/>
    <w:rsid w:val="004E34F8"/>
    <w:rsid w:val="004E3C84"/>
    <w:rsid w:val="004E528B"/>
    <w:rsid w:val="004E62F9"/>
    <w:rsid w:val="004E7D07"/>
    <w:rsid w:val="004F146C"/>
    <w:rsid w:val="004F1F3C"/>
    <w:rsid w:val="004F657B"/>
    <w:rsid w:val="00503A86"/>
    <w:rsid w:val="00503FC1"/>
    <w:rsid w:val="0050408D"/>
    <w:rsid w:val="00504C6A"/>
    <w:rsid w:val="00505E05"/>
    <w:rsid w:val="00510364"/>
    <w:rsid w:val="005116C9"/>
    <w:rsid w:val="0051195E"/>
    <w:rsid w:val="00511BEE"/>
    <w:rsid w:val="00512151"/>
    <w:rsid w:val="005175E9"/>
    <w:rsid w:val="00520368"/>
    <w:rsid w:val="0052161A"/>
    <w:rsid w:val="0052658A"/>
    <w:rsid w:val="00527D71"/>
    <w:rsid w:val="00533270"/>
    <w:rsid w:val="00536547"/>
    <w:rsid w:val="0053760F"/>
    <w:rsid w:val="00540146"/>
    <w:rsid w:val="00543C22"/>
    <w:rsid w:val="0054405B"/>
    <w:rsid w:val="0054567F"/>
    <w:rsid w:val="00546B44"/>
    <w:rsid w:val="0055086E"/>
    <w:rsid w:val="00551ECB"/>
    <w:rsid w:val="00553291"/>
    <w:rsid w:val="005537C8"/>
    <w:rsid w:val="005546FF"/>
    <w:rsid w:val="00556B72"/>
    <w:rsid w:val="005605E4"/>
    <w:rsid w:val="00563D7B"/>
    <w:rsid w:val="00563E3B"/>
    <w:rsid w:val="005643C8"/>
    <w:rsid w:val="005673D1"/>
    <w:rsid w:val="00570F38"/>
    <w:rsid w:val="00573955"/>
    <w:rsid w:val="00580E33"/>
    <w:rsid w:val="00583225"/>
    <w:rsid w:val="0058724D"/>
    <w:rsid w:val="005957AA"/>
    <w:rsid w:val="00596593"/>
    <w:rsid w:val="00596A35"/>
    <w:rsid w:val="005979CD"/>
    <w:rsid w:val="005A12F0"/>
    <w:rsid w:val="005A197D"/>
    <w:rsid w:val="005A5291"/>
    <w:rsid w:val="005A52DF"/>
    <w:rsid w:val="005A6FD1"/>
    <w:rsid w:val="005B08F1"/>
    <w:rsid w:val="005B47BC"/>
    <w:rsid w:val="005C00EC"/>
    <w:rsid w:val="005C15C9"/>
    <w:rsid w:val="005C30E9"/>
    <w:rsid w:val="005C4868"/>
    <w:rsid w:val="005C663B"/>
    <w:rsid w:val="005D1C38"/>
    <w:rsid w:val="005D1ED6"/>
    <w:rsid w:val="005D291C"/>
    <w:rsid w:val="005D767A"/>
    <w:rsid w:val="005E0476"/>
    <w:rsid w:val="005E2396"/>
    <w:rsid w:val="005E2628"/>
    <w:rsid w:val="005E5F66"/>
    <w:rsid w:val="005F42BA"/>
    <w:rsid w:val="005F46EC"/>
    <w:rsid w:val="005F49C9"/>
    <w:rsid w:val="005F71CE"/>
    <w:rsid w:val="005F7A68"/>
    <w:rsid w:val="00601980"/>
    <w:rsid w:val="0060332C"/>
    <w:rsid w:val="00604C5A"/>
    <w:rsid w:val="00605752"/>
    <w:rsid w:val="00607F1D"/>
    <w:rsid w:val="00610C8A"/>
    <w:rsid w:val="00612DE8"/>
    <w:rsid w:val="00615A83"/>
    <w:rsid w:val="00620EA0"/>
    <w:rsid w:val="00623E47"/>
    <w:rsid w:val="00624CD2"/>
    <w:rsid w:val="0062795C"/>
    <w:rsid w:val="00631A06"/>
    <w:rsid w:val="00633B60"/>
    <w:rsid w:val="00633D28"/>
    <w:rsid w:val="00633F1B"/>
    <w:rsid w:val="00634D07"/>
    <w:rsid w:val="00635799"/>
    <w:rsid w:val="00636A77"/>
    <w:rsid w:val="0064051B"/>
    <w:rsid w:val="00645D2C"/>
    <w:rsid w:val="006460C7"/>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284E"/>
    <w:rsid w:val="00693B53"/>
    <w:rsid w:val="006959B1"/>
    <w:rsid w:val="00696FAF"/>
    <w:rsid w:val="00697377"/>
    <w:rsid w:val="006A1F61"/>
    <w:rsid w:val="006A533C"/>
    <w:rsid w:val="006A5E52"/>
    <w:rsid w:val="006A712D"/>
    <w:rsid w:val="006A7B71"/>
    <w:rsid w:val="006B20FD"/>
    <w:rsid w:val="006B3B2B"/>
    <w:rsid w:val="006C024E"/>
    <w:rsid w:val="006C5432"/>
    <w:rsid w:val="006C7ED1"/>
    <w:rsid w:val="006D6557"/>
    <w:rsid w:val="006D75E1"/>
    <w:rsid w:val="006D7670"/>
    <w:rsid w:val="006E10F4"/>
    <w:rsid w:val="006E10FD"/>
    <w:rsid w:val="006E2996"/>
    <w:rsid w:val="006E2EEC"/>
    <w:rsid w:val="006E471E"/>
    <w:rsid w:val="006E4859"/>
    <w:rsid w:val="006F24E3"/>
    <w:rsid w:val="00702A89"/>
    <w:rsid w:val="00702DFE"/>
    <w:rsid w:val="00704CBC"/>
    <w:rsid w:val="007065D3"/>
    <w:rsid w:val="007071B1"/>
    <w:rsid w:val="00707A38"/>
    <w:rsid w:val="00707EC1"/>
    <w:rsid w:val="00710582"/>
    <w:rsid w:val="00713FCB"/>
    <w:rsid w:val="007148DB"/>
    <w:rsid w:val="00714EE9"/>
    <w:rsid w:val="00717D95"/>
    <w:rsid w:val="00722D5C"/>
    <w:rsid w:val="007246B0"/>
    <w:rsid w:val="007258CB"/>
    <w:rsid w:val="00730E29"/>
    <w:rsid w:val="00732FF6"/>
    <w:rsid w:val="00735393"/>
    <w:rsid w:val="00735DFB"/>
    <w:rsid w:val="00744557"/>
    <w:rsid w:val="00745E32"/>
    <w:rsid w:val="007466F7"/>
    <w:rsid w:val="00747ABA"/>
    <w:rsid w:val="00751C64"/>
    <w:rsid w:val="00757D89"/>
    <w:rsid w:val="0076194B"/>
    <w:rsid w:val="00762626"/>
    <w:rsid w:val="00763676"/>
    <w:rsid w:val="00772776"/>
    <w:rsid w:val="007765AA"/>
    <w:rsid w:val="00776E56"/>
    <w:rsid w:val="00781619"/>
    <w:rsid w:val="0079146B"/>
    <w:rsid w:val="00791DD5"/>
    <w:rsid w:val="00796875"/>
    <w:rsid w:val="0079756E"/>
    <w:rsid w:val="007A1233"/>
    <w:rsid w:val="007A258F"/>
    <w:rsid w:val="007A3B3A"/>
    <w:rsid w:val="007B0518"/>
    <w:rsid w:val="007B0BBA"/>
    <w:rsid w:val="007C16F7"/>
    <w:rsid w:val="007D25DB"/>
    <w:rsid w:val="007D2B04"/>
    <w:rsid w:val="007D51E8"/>
    <w:rsid w:val="007D655B"/>
    <w:rsid w:val="007D762B"/>
    <w:rsid w:val="007D7C64"/>
    <w:rsid w:val="007E2BF9"/>
    <w:rsid w:val="007E2E07"/>
    <w:rsid w:val="007E491C"/>
    <w:rsid w:val="007E53E2"/>
    <w:rsid w:val="007E604C"/>
    <w:rsid w:val="007E714E"/>
    <w:rsid w:val="007F0413"/>
    <w:rsid w:val="007F12C0"/>
    <w:rsid w:val="007F336A"/>
    <w:rsid w:val="007F4E20"/>
    <w:rsid w:val="007F7A0B"/>
    <w:rsid w:val="0080037D"/>
    <w:rsid w:val="00803DC6"/>
    <w:rsid w:val="008061E0"/>
    <w:rsid w:val="0080711D"/>
    <w:rsid w:val="00813292"/>
    <w:rsid w:val="00813E40"/>
    <w:rsid w:val="00816489"/>
    <w:rsid w:val="00817C16"/>
    <w:rsid w:val="00820049"/>
    <w:rsid w:val="0082013E"/>
    <w:rsid w:val="00822617"/>
    <w:rsid w:val="00822E9A"/>
    <w:rsid w:val="00824B15"/>
    <w:rsid w:val="008322E3"/>
    <w:rsid w:val="00834DF7"/>
    <w:rsid w:val="00836F01"/>
    <w:rsid w:val="008406F5"/>
    <w:rsid w:val="00841F1E"/>
    <w:rsid w:val="00842203"/>
    <w:rsid w:val="00850E3E"/>
    <w:rsid w:val="008525DE"/>
    <w:rsid w:val="00852DA6"/>
    <w:rsid w:val="00853253"/>
    <w:rsid w:val="00864432"/>
    <w:rsid w:val="008649A3"/>
    <w:rsid w:val="0086670A"/>
    <w:rsid w:val="00870BA1"/>
    <w:rsid w:val="00873CDE"/>
    <w:rsid w:val="00874421"/>
    <w:rsid w:val="00875997"/>
    <w:rsid w:val="0087796C"/>
    <w:rsid w:val="00880932"/>
    <w:rsid w:val="008825B5"/>
    <w:rsid w:val="00885E74"/>
    <w:rsid w:val="00886B14"/>
    <w:rsid w:val="00886B29"/>
    <w:rsid w:val="008927F4"/>
    <w:rsid w:val="00893B58"/>
    <w:rsid w:val="00894E4C"/>
    <w:rsid w:val="0089642A"/>
    <w:rsid w:val="008A1743"/>
    <w:rsid w:val="008A23DD"/>
    <w:rsid w:val="008A28AF"/>
    <w:rsid w:val="008A595C"/>
    <w:rsid w:val="008A6C51"/>
    <w:rsid w:val="008B0727"/>
    <w:rsid w:val="008B15CF"/>
    <w:rsid w:val="008B2242"/>
    <w:rsid w:val="008B4AD1"/>
    <w:rsid w:val="008B6D93"/>
    <w:rsid w:val="008B7AF1"/>
    <w:rsid w:val="008C0BEC"/>
    <w:rsid w:val="008C3543"/>
    <w:rsid w:val="008D0690"/>
    <w:rsid w:val="008D0F0D"/>
    <w:rsid w:val="008D0FF2"/>
    <w:rsid w:val="008D14D6"/>
    <w:rsid w:val="008D1D7F"/>
    <w:rsid w:val="008D3526"/>
    <w:rsid w:val="008F0401"/>
    <w:rsid w:val="008F04C1"/>
    <w:rsid w:val="008F2457"/>
    <w:rsid w:val="008F252A"/>
    <w:rsid w:val="008F33B2"/>
    <w:rsid w:val="008F6A80"/>
    <w:rsid w:val="008F6AFD"/>
    <w:rsid w:val="008F7645"/>
    <w:rsid w:val="008F78BE"/>
    <w:rsid w:val="0090248F"/>
    <w:rsid w:val="00902F25"/>
    <w:rsid w:val="0090362C"/>
    <w:rsid w:val="0090407E"/>
    <w:rsid w:val="00904476"/>
    <w:rsid w:val="00905334"/>
    <w:rsid w:val="00906BA8"/>
    <w:rsid w:val="00907837"/>
    <w:rsid w:val="00907ABB"/>
    <w:rsid w:val="00911307"/>
    <w:rsid w:val="00915110"/>
    <w:rsid w:val="009151B5"/>
    <w:rsid w:val="00916ADA"/>
    <w:rsid w:val="00916C64"/>
    <w:rsid w:val="00922363"/>
    <w:rsid w:val="00925107"/>
    <w:rsid w:val="00925421"/>
    <w:rsid w:val="009267EE"/>
    <w:rsid w:val="00927998"/>
    <w:rsid w:val="00932185"/>
    <w:rsid w:val="009346E4"/>
    <w:rsid w:val="00935F23"/>
    <w:rsid w:val="009372D8"/>
    <w:rsid w:val="00937D12"/>
    <w:rsid w:val="00940ED2"/>
    <w:rsid w:val="009466DE"/>
    <w:rsid w:val="00946997"/>
    <w:rsid w:val="00947355"/>
    <w:rsid w:val="0094737A"/>
    <w:rsid w:val="00950094"/>
    <w:rsid w:val="0095139E"/>
    <w:rsid w:val="00951536"/>
    <w:rsid w:val="00952B32"/>
    <w:rsid w:val="00952C61"/>
    <w:rsid w:val="00954B3E"/>
    <w:rsid w:val="009554A6"/>
    <w:rsid w:val="009555CC"/>
    <w:rsid w:val="00956FEB"/>
    <w:rsid w:val="009650D5"/>
    <w:rsid w:val="0096535F"/>
    <w:rsid w:val="00965F35"/>
    <w:rsid w:val="00966500"/>
    <w:rsid w:val="009729A3"/>
    <w:rsid w:val="009732A9"/>
    <w:rsid w:val="00977C0E"/>
    <w:rsid w:val="00977F1D"/>
    <w:rsid w:val="00982217"/>
    <w:rsid w:val="00984B39"/>
    <w:rsid w:val="00985150"/>
    <w:rsid w:val="00986A83"/>
    <w:rsid w:val="00990645"/>
    <w:rsid w:val="0099526E"/>
    <w:rsid w:val="009A130B"/>
    <w:rsid w:val="009A2639"/>
    <w:rsid w:val="009A397F"/>
    <w:rsid w:val="009A491D"/>
    <w:rsid w:val="009B4F83"/>
    <w:rsid w:val="009B6983"/>
    <w:rsid w:val="009C5450"/>
    <w:rsid w:val="009C5716"/>
    <w:rsid w:val="009C5F32"/>
    <w:rsid w:val="009D316A"/>
    <w:rsid w:val="009D3527"/>
    <w:rsid w:val="009D5368"/>
    <w:rsid w:val="009D54DF"/>
    <w:rsid w:val="009E56AC"/>
    <w:rsid w:val="009E56AF"/>
    <w:rsid w:val="009E678D"/>
    <w:rsid w:val="009F0837"/>
    <w:rsid w:val="009F2715"/>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07ED"/>
    <w:rsid w:val="00A42169"/>
    <w:rsid w:val="00A424F1"/>
    <w:rsid w:val="00A426B2"/>
    <w:rsid w:val="00A45EE8"/>
    <w:rsid w:val="00A465FC"/>
    <w:rsid w:val="00A47B50"/>
    <w:rsid w:val="00A50459"/>
    <w:rsid w:val="00A506CB"/>
    <w:rsid w:val="00A52369"/>
    <w:rsid w:val="00A52A88"/>
    <w:rsid w:val="00A55701"/>
    <w:rsid w:val="00A56ED1"/>
    <w:rsid w:val="00A608E5"/>
    <w:rsid w:val="00A648A4"/>
    <w:rsid w:val="00A650B2"/>
    <w:rsid w:val="00A67A08"/>
    <w:rsid w:val="00A70325"/>
    <w:rsid w:val="00A7290A"/>
    <w:rsid w:val="00A75006"/>
    <w:rsid w:val="00A77644"/>
    <w:rsid w:val="00A81E28"/>
    <w:rsid w:val="00A82932"/>
    <w:rsid w:val="00A82D07"/>
    <w:rsid w:val="00A868FB"/>
    <w:rsid w:val="00A90625"/>
    <w:rsid w:val="00A915ED"/>
    <w:rsid w:val="00A91CF2"/>
    <w:rsid w:val="00A93BA4"/>
    <w:rsid w:val="00A9416E"/>
    <w:rsid w:val="00AA493D"/>
    <w:rsid w:val="00AA539B"/>
    <w:rsid w:val="00AB2E74"/>
    <w:rsid w:val="00AB4807"/>
    <w:rsid w:val="00AB4813"/>
    <w:rsid w:val="00AC0052"/>
    <w:rsid w:val="00AC04D6"/>
    <w:rsid w:val="00AC1F8B"/>
    <w:rsid w:val="00AD0685"/>
    <w:rsid w:val="00AD38C1"/>
    <w:rsid w:val="00AD482D"/>
    <w:rsid w:val="00AD5699"/>
    <w:rsid w:val="00AD5A78"/>
    <w:rsid w:val="00AE1517"/>
    <w:rsid w:val="00AE4078"/>
    <w:rsid w:val="00AE4230"/>
    <w:rsid w:val="00AE5918"/>
    <w:rsid w:val="00AE69D7"/>
    <w:rsid w:val="00AE71AA"/>
    <w:rsid w:val="00AF1374"/>
    <w:rsid w:val="00AF1E8A"/>
    <w:rsid w:val="00AF29B1"/>
    <w:rsid w:val="00AF2DE8"/>
    <w:rsid w:val="00AF5947"/>
    <w:rsid w:val="00AF692A"/>
    <w:rsid w:val="00AF6D69"/>
    <w:rsid w:val="00AF7626"/>
    <w:rsid w:val="00B03D08"/>
    <w:rsid w:val="00B05BF7"/>
    <w:rsid w:val="00B079F6"/>
    <w:rsid w:val="00B1094A"/>
    <w:rsid w:val="00B129D1"/>
    <w:rsid w:val="00B12F61"/>
    <w:rsid w:val="00B14CBC"/>
    <w:rsid w:val="00B1760D"/>
    <w:rsid w:val="00B17C7B"/>
    <w:rsid w:val="00B17FF0"/>
    <w:rsid w:val="00B30468"/>
    <w:rsid w:val="00B32160"/>
    <w:rsid w:val="00B32B07"/>
    <w:rsid w:val="00B336E9"/>
    <w:rsid w:val="00B3397D"/>
    <w:rsid w:val="00B3426B"/>
    <w:rsid w:val="00B34F7B"/>
    <w:rsid w:val="00B35999"/>
    <w:rsid w:val="00B36F4E"/>
    <w:rsid w:val="00B44237"/>
    <w:rsid w:val="00B47D09"/>
    <w:rsid w:val="00B50108"/>
    <w:rsid w:val="00B525D3"/>
    <w:rsid w:val="00B52D3A"/>
    <w:rsid w:val="00B55B5C"/>
    <w:rsid w:val="00B56290"/>
    <w:rsid w:val="00B61B54"/>
    <w:rsid w:val="00B6351D"/>
    <w:rsid w:val="00B64203"/>
    <w:rsid w:val="00B6519E"/>
    <w:rsid w:val="00B66AF1"/>
    <w:rsid w:val="00B70245"/>
    <w:rsid w:val="00B703C2"/>
    <w:rsid w:val="00B72DE9"/>
    <w:rsid w:val="00B74E41"/>
    <w:rsid w:val="00B7740D"/>
    <w:rsid w:val="00B82F58"/>
    <w:rsid w:val="00B839A9"/>
    <w:rsid w:val="00B84BD7"/>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22D"/>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2471"/>
    <w:rsid w:val="00BD439F"/>
    <w:rsid w:val="00BD4F14"/>
    <w:rsid w:val="00BD5ED8"/>
    <w:rsid w:val="00BE2644"/>
    <w:rsid w:val="00BE42F3"/>
    <w:rsid w:val="00BE4A5C"/>
    <w:rsid w:val="00BE551C"/>
    <w:rsid w:val="00BF2584"/>
    <w:rsid w:val="00BF387A"/>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3262"/>
    <w:rsid w:val="00C47122"/>
    <w:rsid w:val="00C475D0"/>
    <w:rsid w:val="00C47959"/>
    <w:rsid w:val="00C47CEA"/>
    <w:rsid w:val="00C515E0"/>
    <w:rsid w:val="00C531A3"/>
    <w:rsid w:val="00C54BD3"/>
    <w:rsid w:val="00C57F24"/>
    <w:rsid w:val="00C63EA6"/>
    <w:rsid w:val="00C6619F"/>
    <w:rsid w:val="00C6624A"/>
    <w:rsid w:val="00C66FEC"/>
    <w:rsid w:val="00C742C3"/>
    <w:rsid w:val="00C75559"/>
    <w:rsid w:val="00C76D88"/>
    <w:rsid w:val="00C7785D"/>
    <w:rsid w:val="00C77A26"/>
    <w:rsid w:val="00C803F7"/>
    <w:rsid w:val="00C839BF"/>
    <w:rsid w:val="00C85BDD"/>
    <w:rsid w:val="00C86B81"/>
    <w:rsid w:val="00C91557"/>
    <w:rsid w:val="00C92F74"/>
    <w:rsid w:val="00C92FD6"/>
    <w:rsid w:val="00C94D94"/>
    <w:rsid w:val="00C97803"/>
    <w:rsid w:val="00CA1C19"/>
    <w:rsid w:val="00CA204D"/>
    <w:rsid w:val="00CA2E14"/>
    <w:rsid w:val="00CA60CD"/>
    <w:rsid w:val="00CA6709"/>
    <w:rsid w:val="00CB10E9"/>
    <w:rsid w:val="00CB11D6"/>
    <w:rsid w:val="00CB5475"/>
    <w:rsid w:val="00CB665E"/>
    <w:rsid w:val="00CB6E09"/>
    <w:rsid w:val="00CC09A7"/>
    <w:rsid w:val="00CC0FD9"/>
    <w:rsid w:val="00CC1F8F"/>
    <w:rsid w:val="00CC4FEC"/>
    <w:rsid w:val="00CC63DA"/>
    <w:rsid w:val="00CD0392"/>
    <w:rsid w:val="00CD139B"/>
    <w:rsid w:val="00CD28C8"/>
    <w:rsid w:val="00CD5E59"/>
    <w:rsid w:val="00CD7831"/>
    <w:rsid w:val="00CD7F14"/>
    <w:rsid w:val="00CE05D4"/>
    <w:rsid w:val="00CE4712"/>
    <w:rsid w:val="00CF369D"/>
    <w:rsid w:val="00CF53EE"/>
    <w:rsid w:val="00D01E5B"/>
    <w:rsid w:val="00D02378"/>
    <w:rsid w:val="00D02BE9"/>
    <w:rsid w:val="00D101DD"/>
    <w:rsid w:val="00D12B2D"/>
    <w:rsid w:val="00D14423"/>
    <w:rsid w:val="00D15F27"/>
    <w:rsid w:val="00D162A6"/>
    <w:rsid w:val="00D17394"/>
    <w:rsid w:val="00D17B7F"/>
    <w:rsid w:val="00D21541"/>
    <w:rsid w:val="00D23FFF"/>
    <w:rsid w:val="00D2778A"/>
    <w:rsid w:val="00D31043"/>
    <w:rsid w:val="00D32077"/>
    <w:rsid w:val="00D324C0"/>
    <w:rsid w:val="00D32CB1"/>
    <w:rsid w:val="00D32D1A"/>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484"/>
    <w:rsid w:val="00D9581C"/>
    <w:rsid w:val="00D95DCB"/>
    <w:rsid w:val="00D96228"/>
    <w:rsid w:val="00DA0FF1"/>
    <w:rsid w:val="00DA5459"/>
    <w:rsid w:val="00DA619A"/>
    <w:rsid w:val="00DA63CA"/>
    <w:rsid w:val="00DB357A"/>
    <w:rsid w:val="00DB4233"/>
    <w:rsid w:val="00DB5097"/>
    <w:rsid w:val="00DC2157"/>
    <w:rsid w:val="00DC4F7C"/>
    <w:rsid w:val="00DC7134"/>
    <w:rsid w:val="00DC7C2C"/>
    <w:rsid w:val="00DD2256"/>
    <w:rsid w:val="00DD4B55"/>
    <w:rsid w:val="00DD5871"/>
    <w:rsid w:val="00DE0875"/>
    <w:rsid w:val="00DE2F66"/>
    <w:rsid w:val="00DE3FE3"/>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10BA"/>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8638E"/>
    <w:rsid w:val="00E90CA1"/>
    <w:rsid w:val="00E91D25"/>
    <w:rsid w:val="00E95F4D"/>
    <w:rsid w:val="00E97067"/>
    <w:rsid w:val="00EA6E8E"/>
    <w:rsid w:val="00EA7978"/>
    <w:rsid w:val="00EA7D19"/>
    <w:rsid w:val="00EB4552"/>
    <w:rsid w:val="00EB4B50"/>
    <w:rsid w:val="00EB7F70"/>
    <w:rsid w:val="00EC2C5A"/>
    <w:rsid w:val="00EC47BF"/>
    <w:rsid w:val="00EC4C2A"/>
    <w:rsid w:val="00EC4DC9"/>
    <w:rsid w:val="00EC6764"/>
    <w:rsid w:val="00EC726F"/>
    <w:rsid w:val="00EC7743"/>
    <w:rsid w:val="00EC7B8C"/>
    <w:rsid w:val="00ED2540"/>
    <w:rsid w:val="00ED48A6"/>
    <w:rsid w:val="00ED521A"/>
    <w:rsid w:val="00EE1F48"/>
    <w:rsid w:val="00EE2AE1"/>
    <w:rsid w:val="00EE3C5A"/>
    <w:rsid w:val="00EE4E0F"/>
    <w:rsid w:val="00EE504D"/>
    <w:rsid w:val="00EE75E3"/>
    <w:rsid w:val="00EE7777"/>
    <w:rsid w:val="00EF0C86"/>
    <w:rsid w:val="00EF2D7A"/>
    <w:rsid w:val="00EF586D"/>
    <w:rsid w:val="00EF5D7F"/>
    <w:rsid w:val="00F00B9A"/>
    <w:rsid w:val="00F0246E"/>
    <w:rsid w:val="00F026DB"/>
    <w:rsid w:val="00F04133"/>
    <w:rsid w:val="00F12233"/>
    <w:rsid w:val="00F12786"/>
    <w:rsid w:val="00F12B1E"/>
    <w:rsid w:val="00F12CE1"/>
    <w:rsid w:val="00F14096"/>
    <w:rsid w:val="00F14820"/>
    <w:rsid w:val="00F30DED"/>
    <w:rsid w:val="00F31DB2"/>
    <w:rsid w:val="00F360AB"/>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0E25"/>
    <w:rsid w:val="00FB3A37"/>
    <w:rsid w:val="00FB635D"/>
    <w:rsid w:val="00FB6BC1"/>
    <w:rsid w:val="00FC0EED"/>
    <w:rsid w:val="00FC11D2"/>
    <w:rsid w:val="00FC1405"/>
    <w:rsid w:val="00FC4F3E"/>
    <w:rsid w:val="00FD0FFF"/>
    <w:rsid w:val="00FD6044"/>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5D7F"/>
  </w:style>
  <w:style w:type="paragraph" w:styleId="Heading1">
    <w:name w:val="heading 1"/>
    <w:basedOn w:val="Normal"/>
    <w:next w:val="Normal"/>
    <w:link w:val="Heading1Char"/>
    <w:uiPriority w:val="9"/>
    <w:qFormat/>
    <w:rsid w:val="00EF5D7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EF5D7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EF5D7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EF5D7F"/>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EF5D7F"/>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EF5D7F"/>
    <w:pPr>
      <w:keepNext/>
      <w:keepLines/>
      <w:spacing w:before="40" w:after="0"/>
      <w:outlineLvl w:val="5"/>
    </w:pPr>
  </w:style>
  <w:style w:type="paragraph" w:styleId="Heading7">
    <w:name w:val="heading 7"/>
    <w:basedOn w:val="Normal"/>
    <w:next w:val="Normal"/>
    <w:link w:val="Heading7Char"/>
    <w:uiPriority w:val="9"/>
    <w:semiHidden/>
    <w:unhideWhenUsed/>
    <w:qFormat/>
    <w:rsid w:val="00EF5D7F"/>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EF5D7F"/>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EF5D7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5D7F"/>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EF5D7F"/>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EF5D7F"/>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EF5D7F"/>
    <w:rPr>
      <w:i/>
      <w:iCs/>
    </w:rPr>
  </w:style>
  <w:style w:type="character" w:customStyle="1" w:styleId="Heading5Char">
    <w:name w:val="Heading 5 Char"/>
    <w:basedOn w:val="DefaultParagraphFont"/>
    <w:link w:val="Heading5"/>
    <w:uiPriority w:val="9"/>
    <w:semiHidden/>
    <w:rsid w:val="00EF5D7F"/>
    <w:rPr>
      <w:color w:val="404040" w:themeColor="text1" w:themeTint="BF"/>
    </w:rPr>
  </w:style>
  <w:style w:type="character" w:customStyle="1" w:styleId="Heading6Char">
    <w:name w:val="Heading 6 Char"/>
    <w:basedOn w:val="DefaultParagraphFont"/>
    <w:link w:val="Heading6"/>
    <w:uiPriority w:val="9"/>
    <w:semiHidden/>
    <w:rsid w:val="00EF5D7F"/>
  </w:style>
  <w:style w:type="character" w:customStyle="1" w:styleId="Heading7Char">
    <w:name w:val="Heading 7 Char"/>
    <w:basedOn w:val="DefaultParagraphFont"/>
    <w:link w:val="Heading7"/>
    <w:uiPriority w:val="9"/>
    <w:semiHidden/>
    <w:rsid w:val="00EF5D7F"/>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EF5D7F"/>
    <w:rPr>
      <w:color w:val="262626" w:themeColor="text1" w:themeTint="D9"/>
      <w:sz w:val="21"/>
      <w:szCs w:val="21"/>
    </w:rPr>
  </w:style>
  <w:style w:type="character" w:customStyle="1" w:styleId="Heading9Char">
    <w:name w:val="Heading 9 Char"/>
    <w:basedOn w:val="DefaultParagraphFont"/>
    <w:link w:val="Heading9"/>
    <w:uiPriority w:val="9"/>
    <w:semiHidden/>
    <w:rsid w:val="00EF5D7F"/>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EF5D7F"/>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EF5D7F"/>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EF5D7F"/>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EF5D7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EF5D7F"/>
    <w:rPr>
      <w:color w:val="5A5A5A" w:themeColor="text1" w:themeTint="A5"/>
      <w:spacing w:val="15"/>
    </w:rPr>
  </w:style>
  <w:style w:type="character" w:styleId="Strong">
    <w:name w:val="Strong"/>
    <w:basedOn w:val="DefaultParagraphFont"/>
    <w:uiPriority w:val="22"/>
    <w:qFormat/>
    <w:rsid w:val="00EF5D7F"/>
    <w:rPr>
      <w:b/>
      <w:bCs/>
      <w:color w:val="auto"/>
    </w:rPr>
  </w:style>
  <w:style w:type="character" w:styleId="Emphasis">
    <w:name w:val="Emphasis"/>
    <w:basedOn w:val="DefaultParagraphFont"/>
    <w:uiPriority w:val="20"/>
    <w:qFormat/>
    <w:rsid w:val="00EF5D7F"/>
    <w:rPr>
      <w:i/>
      <w:iCs/>
      <w:color w:val="auto"/>
    </w:rPr>
  </w:style>
  <w:style w:type="paragraph" w:styleId="NoSpacing">
    <w:name w:val="No Spacing"/>
    <w:uiPriority w:val="1"/>
    <w:qFormat/>
    <w:rsid w:val="00EF5D7F"/>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EF5D7F"/>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EF5D7F"/>
    <w:rPr>
      <w:i/>
      <w:iCs/>
      <w:color w:val="404040" w:themeColor="text1" w:themeTint="BF"/>
    </w:rPr>
  </w:style>
  <w:style w:type="paragraph" w:styleId="IntenseQuote">
    <w:name w:val="Intense Quote"/>
    <w:basedOn w:val="Normal"/>
    <w:next w:val="Normal"/>
    <w:link w:val="IntenseQuoteChar"/>
    <w:uiPriority w:val="30"/>
    <w:qFormat/>
    <w:rsid w:val="00EF5D7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EF5D7F"/>
    <w:rPr>
      <w:i/>
      <w:iCs/>
      <w:color w:val="404040" w:themeColor="text1" w:themeTint="BF"/>
    </w:rPr>
  </w:style>
  <w:style w:type="character" w:styleId="SubtleEmphasis">
    <w:name w:val="Subtle Emphasis"/>
    <w:basedOn w:val="DefaultParagraphFont"/>
    <w:uiPriority w:val="19"/>
    <w:qFormat/>
    <w:rsid w:val="00EF5D7F"/>
    <w:rPr>
      <w:i/>
      <w:iCs/>
      <w:color w:val="404040" w:themeColor="text1" w:themeTint="BF"/>
    </w:rPr>
  </w:style>
  <w:style w:type="character" w:styleId="IntenseEmphasis">
    <w:name w:val="Intense Emphasis"/>
    <w:basedOn w:val="DefaultParagraphFont"/>
    <w:uiPriority w:val="21"/>
    <w:qFormat/>
    <w:rsid w:val="00EF5D7F"/>
    <w:rPr>
      <w:b/>
      <w:bCs/>
      <w:i/>
      <w:iCs/>
      <w:color w:val="auto"/>
    </w:rPr>
  </w:style>
  <w:style w:type="character" w:styleId="SubtleReference">
    <w:name w:val="Subtle Reference"/>
    <w:basedOn w:val="DefaultParagraphFont"/>
    <w:uiPriority w:val="31"/>
    <w:qFormat/>
    <w:rsid w:val="00EF5D7F"/>
    <w:rPr>
      <w:smallCaps/>
      <w:color w:val="404040" w:themeColor="text1" w:themeTint="BF"/>
    </w:rPr>
  </w:style>
  <w:style w:type="character" w:styleId="IntenseReference">
    <w:name w:val="Intense Reference"/>
    <w:basedOn w:val="DefaultParagraphFont"/>
    <w:uiPriority w:val="32"/>
    <w:qFormat/>
    <w:rsid w:val="00EF5D7F"/>
    <w:rPr>
      <w:b/>
      <w:bCs/>
      <w:smallCaps/>
      <w:color w:val="404040" w:themeColor="text1" w:themeTint="BF"/>
      <w:spacing w:val="5"/>
    </w:rPr>
  </w:style>
  <w:style w:type="character" w:styleId="BookTitle">
    <w:name w:val="Book Title"/>
    <w:basedOn w:val="DefaultParagraphFont"/>
    <w:uiPriority w:val="33"/>
    <w:qFormat/>
    <w:rsid w:val="00EF5D7F"/>
    <w:rPr>
      <w:b/>
      <w:bCs/>
      <w:i/>
      <w:iCs/>
      <w:spacing w:val="5"/>
    </w:rPr>
  </w:style>
  <w:style w:type="paragraph" w:styleId="TOCHeading">
    <w:name w:val="TOC Heading"/>
    <w:basedOn w:val="Heading1"/>
    <w:next w:val="Normal"/>
    <w:uiPriority w:val="39"/>
    <w:semiHidden/>
    <w:unhideWhenUsed/>
    <w:qFormat/>
    <w:rsid w:val="00EF5D7F"/>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287AF0"/>
  </w:style>
  <w:style w:type="character" w:customStyle="1" w:styleId="mathjax">
    <w:name w:val="mathjax"/>
    <w:basedOn w:val="DefaultParagraphFont"/>
    <w:rsid w:val="00287AF0"/>
  </w:style>
  <w:style w:type="character" w:customStyle="1" w:styleId="mrow">
    <w:name w:val="mrow"/>
    <w:basedOn w:val="DefaultParagraphFont"/>
    <w:rsid w:val="00287AF0"/>
  </w:style>
  <w:style w:type="character" w:customStyle="1" w:styleId="semantics">
    <w:name w:val="semantics"/>
    <w:basedOn w:val="DefaultParagraphFont"/>
    <w:rsid w:val="00287AF0"/>
  </w:style>
  <w:style w:type="character" w:customStyle="1" w:styleId="mo">
    <w:name w:val="mo"/>
    <w:basedOn w:val="DefaultParagraphFont"/>
    <w:rsid w:val="00287AF0"/>
  </w:style>
  <w:style w:type="character" w:customStyle="1" w:styleId="mmultiscripts">
    <w:name w:val="mmultiscripts"/>
    <w:basedOn w:val="DefaultParagraphFont"/>
    <w:rsid w:val="00287AF0"/>
  </w:style>
  <w:style w:type="character" w:customStyle="1" w:styleId="mi">
    <w:name w:val="mi"/>
    <w:basedOn w:val="DefaultParagraphFont"/>
    <w:rsid w:val="00287AF0"/>
  </w:style>
  <w:style w:type="character" w:customStyle="1" w:styleId="mn">
    <w:name w:val="mn"/>
    <w:basedOn w:val="DefaultParagraphFont"/>
    <w:rsid w:val="00287AF0"/>
  </w:style>
  <w:style w:type="character" w:customStyle="1" w:styleId="mover">
    <w:name w:val="mover"/>
    <w:basedOn w:val="DefaultParagraphFont"/>
    <w:rsid w:val="00287AF0"/>
  </w:style>
  <w:style w:type="character" w:customStyle="1" w:styleId="msub">
    <w:name w:val="msub"/>
    <w:basedOn w:val="DefaultParagraphFont"/>
    <w:rsid w:val="00287AF0"/>
  </w:style>
  <w:style w:type="character" w:customStyle="1" w:styleId="msubsup">
    <w:name w:val="msubsup"/>
    <w:basedOn w:val="DefaultParagraphFont"/>
    <w:rsid w:val="00287AF0"/>
  </w:style>
  <w:style w:type="character" w:customStyle="1" w:styleId="mfrac">
    <w:name w:val="mfrac"/>
    <w:basedOn w:val="DefaultParagraphFont"/>
    <w:rsid w:val="00287AF0"/>
  </w:style>
  <w:style w:type="character" w:customStyle="1" w:styleId="msup">
    <w:name w:val="msup"/>
    <w:basedOn w:val="DefaultParagraphFont"/>
    <w:rsid w:val="00287AF0"/>
  </w:style>
  <w:style w:type="character" w:customStyle="1" w:styleId="msqrt">
    <w:name w:val="msqrt"/>
    <w:basedOn w:val="DefaultParagraphFont"/>
    <w:rsid w:val="00287AF0"/>
  </w:style>
  <w:style w:type="character" w:customStyle="1" w:styleId="munder">
    <w:name w:val="munder"/>
    <w:basedOn w:val="DefaultParagraphFont"/>
    <w:rsid w:val="00287AF0"/>
  </w:style>
  <w:style w:type="character" w:customStyle="1" w:styleId="mstyle">
    <w:name w:val="mstyle"/>
    <w:basedOn w:val="DefaultParagraphFont"/>
    <w:rsid w:val="00287AF0"/>
  </w:style>
  <w:style w:type="character" w:customStyle="1" w:styleId="mspace">
    <w:name w:val="mspace"/>
    <w:basedOn w:val="DefaultParagraphFont"/>
    <w:rsid w:val="00287AF0"/>
  </w:style>
  <w:style w:type="character" w:customStyle="1" w:styleId="html-graphic">
    <w:name w:val="html-graphic"/>
    <w:basedOn w:val="DefaultParagraphFont"/>
    <w:rsid w:val="00287AF0"/>
  </w:style>
  <w:style w:type="character" w:customStyle="1" w:styleId="mtext">
    <w:name w:val="mtext"/>
    <w:basedOn w:val="DefaultParagraphFont"/>
    <w:rsid w:val="00287AF0"/>
  </w:style>
  <w:style w:type="paragraph" w:customStyle="1" w:styleId="html-x">
    <w:name w:val="html-x"/>
    <w:basedOn w:val="Normal"/>
    <w:rsid w:val="00287AF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287AF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590270">
      <w:bodyDiv w:val="1"/>
      <w:marLeft w:val="0"/>
      <w:marRight w:val="0"/>
      <w:marTop w:val="0"/>
      <w:marBottom w:val="0"/>
      <w:divBdr>
        <w:top w:val="none" w:sz="0" w:space="0" w:color="auto"/>
        <w:left w:val="none" w:sz="0" w:space="0" w:color="auto"/>
        <w:bottom w:val="none" w:sz="0" w:space="0" w:color="auto"/>
        <w:right w:val="none" w:sz="0" w:space="0" w:color="auto"/>
      </w:divBdr>
    </w:div>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8848630">
      <w:bodyDiv w:val="1"/>
      <w:marLeft w:val="0"/>
      <w:marRight w:val="0"/>
      <w:marTop w:val="0"/>
      <w:marBottom w:val="0"/>
      <w:divBdr>
        <w:top w:val="none" w:sz="0" w:space="0" w:color="auto"/>
        <w:left w:val="none" w:sz="0" w:space="0" w:color="auto"/>
        <w:bottom w:val="none" w:sz="0" w:space="0" w:color="auto"/>
        <w:right w:val="none" w:sz="0" w:space="0" w:color="auto"/>
      </w:divBdr>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195919698">
      <w:bodyDiv w:val="1"/>
      <w:marLeft w:val="0"/>
      <w:marRight w:val="0"/>
      <w:marTop w:val="0"/>
      <w:marBottom w:val="0"/>
      <w:divBdr>
        <w:top w:val="none" w:sz="0" w:space="0" w:color="auto"/>
        <w:left w:val="none" w:sz="0" w:space="0" w:color="auto"/>
        <w:bottom w:val="none" w:sz="0" w:space="0" w:color="auto"/>
        <w:right w:val="none" w:sz="0" w:space="0" w:color="auto"/>
      </w:divBdr>
      <w:divsChild>
        <w:div w:id="1993751993">
          <w:marLeft w:val="0"/>
          <w:marRight w:val="0"/>
          <w:marTop w:val="0"/>
          <w:marBottom w:val="0"/>
          <w:divBdr>
            <w:top w:val="none" w:sz="0" w:space="0" w:color="auto"/>
            <w:left w:val="none" w:sz="0" w:space="0" w:color="auto"/>
            <w:bottom w:val="none" w:sz="0" w:space="0" w:color="auto"/>
            <w:right w:val="none" w:sz="0" w:space="0" w:color="auto"/>
          </w:divBdr>
          <w:divsChild>
            <w:div w:id="1149395214">
              <w:marLeft w:val="0"/>
              <w:marRight w:val="0"/>
              <w:marTop w:val="0"/>
              <w:marBottom w:val="0"/>
              <w:divBdr>
                <w:top w:val="none" w:sz="0" w:space="0" w:color="auto"/>
                <w:left w:val="none" w:sz="0" w:space="0" w:color="auto"/>
                <w:bottom w:val="none" w:sz="0" w:space="0" w:color="auto"/>
                <w:right w:val="none" w:sz="0" w:space="0" w:color="auto"/>
              </w:divBdr>
              <w:divsChild>
                <w:div w:id="887566666">
                  <w:marLeft w:val="0"/>
                  <w:marRight w:val="0"/>
                  <w:marTop w:val="0"/>
                  <w:marBottom w:val="0"/>
                  <w:divBdr>
                    <w:top w:val="none" w:sz="0" w:space="0" w:color="auto"/>
                    <w:left w:val="none" w:sz="0" w:space="0" w:color="auto"/>
                    <w:bottom w:val="none" w:sz="0" w:space="0" w:color="auto"/>
                    <w:right w:val="none" w:sz="0" w:space="0" w:color="auto"/>
                  </w:divBdr>
                </w:div>
                <w:div w:id="2062973916">
                  <w:marLeft w:val="0"/>
                  <w:marRight w:val="0"/>
                  <w:marTop w:val="0"/>
                  <w:marBottom w:val="0"/>
                  <w:divBdr>
                    <w:top w:val="none" w:sz="0" w:space="0" w:color="auto"/>
                    <w:left w:val="none" w:sz="0" w:space="0" w:color="auto"/>
                    <w:bottom w:val="none" w:sz="0" w:space="0" w:color="auto"/>
                    <w:right w:val="none" w:sz="0" w:space="0" w:color="auto"/>
                  </w:divBdr>
                </w:div>
                <w:div w:id="109119461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86410861">
          <w:marLeft w:val="0"/>
          <w:marRight w:val="0"/>
          <w:marTop w:val="0"/>
          <w:marBottom w:val="0"/>
          <w:divBdr>
            <w:top w:val="none" w:sz="0" w:space="0" w:color="auto"/>
            <w:left w:val="none" w:sz="0" w:space="0" w:color="auto"/>
            <w:bottom w:val="none" w:sz="0" w:space="0" w:color="auto"/>
            <w:right w:val="none" w:sz="0" w:space="0" w:color="auto"/>
          </w:divBdr>
          <w:divsChild>
            <w:div w:id="188615701">
              <w:marLeft w:val="0"/>
              <w:marRight w:val="0"/>
              <w:marTop w:val="360"/>
              <w:marBottom w:val="0"/>
              <w:divBdr>
                <w:top w:val="none" w:sz="0" w:space="0" w:color="auto"/>
                <w:left w:val="none" w:sz="0" w:space="0" w:color="auto"/>
                <w:bottom w:val="none" w:sz="0" w:space="0" w:color="auto"/>
                <w:right w:val="none" w:sz="0" w:space="0" w:color="auto"/>
              </w:divBdr>
              <w:divsChild>
                <w:div w:id="265163946">
                  <w:marLeft w:val="0"/>
                  <w:marRight w:val="0"/>
                  <w:marTop w:val="0"/>
                  <w:marBottom w:val="0"/>
                  <w:divBdr>
                    <w:top w:val="none" w:sz="0" w:space="0" w:color="auto"/>
                    <w:left w:val="none" w:sz="0" w:space="0" w:color="auto"/>
                    <w:bottom w:val="none" w:sz="0" w:space="0" w:color="auto"/>
                    <w:right w:val="none" w:sz="0" w:space="0" w:color="auto"/>
                  </w:divBdr>
                </w:div>
                <w:div w:id="1929656516">
                  <w:marLeft w:val="0"/>
                  <w:marRight w:val="0"/>
                  <w:marTop w:val="0"/>
                  <w:marBottom w:val="0"/>
                  <w:divBdr>
                    <w:top w:val="none" w:sz="0" w:space="0" w:color="auto"/>
                    <w:left w:val="none" w:sz="0" w:space="0" w:color="auto"/>
                    <w:bottom w:val="none" w:sz="0" w:space="0" w:color="auto"/>
                    <w:right w:val="none" w:sz="0" w:space="0" w:color="auto"/>
                  </w:divBdr>
                </w:div>
                <w:div w:id="1063335032">
                  <w:marLeft w:val="0"/>
                  <w:marRight w:val="0"/>
                  <w:marTop w:val="0"/>
                  <w:marBottom w:val="0"/>
                  <w:divBdr>
                    <w:top w:val="none" w:sz="0" w:space="0" w:color="auto"/>
                    <w:left w:val="none" w:sz="0" w:space="0" w:color="auto"/>
                    <w:bottom w:val="none" w:sz="0" w:space="0" w:color="auto"/>
                    <w:right w:val="none" w:sz="0" w:space="0" w:color="auto"/>
                  </w:divBdr>
                </w:div>
                <w:div w:id="231474874">
                  <w:marLeft w:val="0"/>
                  <w:marRight w:val="0"/>
                  <w:marTop w:val="0"/>
                  <w:marBottom w:val="0"/>
                  <w:divBdr>
                    <w:top w:val="none" w:sz="0" w:space="0" w:color="auto"/>
                    <w:left w:val="none" w:sz="0" w:space="0" w:color="auto"/>
                    <w:bottom w:val="none" w:sz="0" w:space="0" w:color="auto"/>
                    <w:right w:val="none" w:sz="0" w:space="0" w:color="auto"/>
                  </w:divBdr>
                  <w:divsChild>
                    <w:div w:id="1350912219">
                      <w:marLeft w:val="0"/>
                      <w:marRight w:val="0"/>
                      <w:marTop w:val="120"/>
                      <w:marBottom w:val="120"/>
                      <w:divBdr>
                        <w:top w:val="none" w:sz="0" w:space="0" w:color="auto"/>
                        <w:left w:val="none" w:sz="0" w:space="0" w:color="auto"/>
                        <w:bottom w:val="none" w:sz="0" w:space="0" w:color="auto"/>
                        <w:right w:val="none" w:sz="0" w:space="0" w:color="auto"/>
                      </w:divBdr>
                      <w:divsChild>
                        <w:div w:id="1797092645">
                          <w:marLeft w:val="0"/>
                          <w:marRight w:val="0"/>
                          <w:marTop w:val="0"/>
                          <w:marBottom w:val="0"/>
                          <w:divBdr>
                            <w:top w:val="none" w:sz="0" w:space="0" w:color="auto"/>
                            <w:left w:val="none" w:sz="0" w:space="0" w:color="auto"/>
                            <w:bottom w:val="none" w:sz="0" w:space="0" w:color="auto"/>
                            <w:right w:val="none" w:sz="0" w:space="0" w:color="auto"/>
                          </w:divBdr>
                          <w:divsChild>
                            <w:div w:id="1793474100">
                              <w:marLeft w:val="0"/>
                              <w:marRight w:val="0"/>
                              <w:marTop w:val="240"/>
                              <w:marBottom w:val="240"/>
                              <w:divBdr>
                                <w:top w:val="none" w:sz="0" w:space="0" w:color="auto"/>
                                <w:left w:val="none" w:sz="0" w:space="0" w:color="auto"/>
                                <w:bottom w:val="none" w:sz="0" w:space="0" w:color="auto"/>
                                <w:right w:val="none" w:sz="0" w:space="0" w:color="auto"/>
                              </w:divBdr>
                            </w:div>
                          </w:divsChild>
                        </w:div>
                        <w:div w:id="964388596">
                          <w:marLeft w:val="0"/>
                          <w:marRight w:val="0"/>
                          <w:marTop w:val="0"/>
                          <w:marBottom w:val="0"/>
                          <w:divBdr>
                            <w:top w:val="none" w:sz="0" w:space="0" w:color="auto"/>
                            <w:left w:val="none" w:sz="0" w:space="0" w:color="auto"/>
                            <w:bottom w:val="none" w:sz="0" w:space="0" w:color="auto"/>
                            <w:right w:val="none" w:sz="0" w:space="0" w:color="auto"/>
                          </w:divBdr>
                        </w:div>
                      </w:divsChild>
                    </w:div>
                    <w:div w:id="1532642953">
                      <w:marLeft w:val="0"/>
                      <w:marRight w:val="0"/>
                      <w:marTop w:val="120"/>
                      <w:marBottom w:val="120"/>
                      <w:divBdr>
                        <w:top w:val="none" w:sz="0" w:space="0" w:color="auto"/>
                        <w:left w:val="none" w:sz="0" w:space="0" w:color="auto"/>
                        <w:bottom w:val="none" w:sz="0" w:space="0" w:color="auto"/>
                        <w:right w:val="none" w:sz="0" w:space="0" w:color="auto"/>
                      </w:divBdr>
                      <w:divsChild>
                        <w:div w:id="1197162838">
                          <w:marLeft w:val="0"/>
                          <w:marRight w:val="0"/>
                          <w:marTop w:val="0"/>
                          <w:marBottom w:val="0"/>
                          <w:divBdr>
                            <w:top w:val="none" w:sz="0" w:space="0" w:color="auto"/>
                            <w:left w:val="none" w:sz="0" w:space="0" w:color="auto"/>
                            <w:bottom w:val="none" w:sz="0" w:space="0" w:color="auto"/>
                            <w:right w:val="none" w:sz="0" w:space="0" w:color="auto"/>
                          </w:divBdr>
                          <w:divsChild>
                            <w:div w:id="271589820">
                              <w:marLeft w:val="0"/>
                              <w:marRight w:val="0"/>
                              <w:marTop w:val="240"/>
                              <w:marBottom w:val="240"/>
                              <w:divBdr>
                                <w:top w:val="none" w:sz="0" w:space="0" w:color="auto"/>
                                <w:left w:val="none" w:sz="0" w:space="0" w:color="auto"/>
                                <w:bottom w:val="none" w:sz="0" w:space="0" w:color="auto"/>
                                <w:right w:val="none" w:sz="0" w:space="0" w:color="auto"/>
                              </w:divBdr>
                            </w:div>
                          </w:divsChild>
                        </w:div>
                        <w:div w:id="259534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822303">
                  <w:marLeft w:val="0"/>
                  <w:marRight w:val="0"/>
                  <w:marTop w:val="0"/>
                  <w:marBottom w:val="0"/>
                  <w:divBdr>
                    <w:top w:val="none" w:sz="0" w:space="0" w:color="auto"/>
                    <w:left w:val="none" w:sz="0" w:space="0" w:color="auto"/>
                    <w:bottom w:val="none" w:sz="0" w:space="0" w:color="auto"/>
                    <w:right w:val="none" w:sz="0" w:space="0" w:color="auto"/>
                  </w:divBdr>
                </w:div>
                <w:div w:id="752046205">
                  <w:marLeft w:val="0"/>
                  <w:marRight w:val="0"/>
                  <w:marTop w:val="240"/>
                  <w:marBottom w:val="240"/>
                  <w:divBdr>
                    <w:top w:val="none" w:sz="0" w:space="0" w:color="auto"/>
                    <w:left w:val="none" w:sz="0" w:space="0" w:color="auto"/>
                    <w:bottom w:val="none" w:sz="0" w:space="0" w:color="auto"/>
                    <w:right w:val="none" w:sz="0" w:space="0" w:color="auto"/>
                  </w:divBdr>
                  <w:divsChild>
                    <w:div w:id="1647394271">
                      <w:marLeft w:val="103"/>
                      <w:marRight w:val="206"/>
                      <w:marTop w:val="240"/>
                      <w:marBottom w:val="240"/>
                      <w:divBdr>
                        <w:top w:val="none" w:sz="0" w:space="0" w:color="auto"/>
                        <w:left w:val="none" w:sz="0" w:space="0" w:color="auto"/>
                        <w:bottom w:val="none" w:sz="0" w:space="0" w:color="auto"/>
                        <w:right w:val="none" w:sz="0" w:space="0" w:color="auto"/>
                      </w:divBdr>
                      <w:divsChild>
                        <w:div w:id="2116055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778696">
                  <w:marLeft w:val="0"/>
                  <w:marRight w:val="0"/>
                  <w:marTop w:val="0"/>
                  <w:marBottom w:val="0"/>
                  <w:divBdr>
                    <w:top w:val="none" w:sz="0" w:space="0" w:color="auto"/>
                    <w:left w:val="none" w:sz="0" w:space="0" w:color="auto"/>
                    <w:bottom w:val="none" w:sz="0" w:space="0" w:color="auto"/>
                    <w:right w:val="none" w:sz="0" w:space="0" w:color="auto"/>
                  </w:divBdr>
                </w:div>
                <w:div w:id="479931920">
                  <w:marLeft w:val="0"/>
                  <w:marRight w:val="0"/>
                  <w:marTop w:val="0"/>
                  <w:marBottom w:val="0"/>
                  <w:divBdr>
                    <w:top w:val="none" w:sz="0" w:space="0" w:color="auto"/>
                    <w:left w:val="none" w:sz="0" w:space="0" w:color="auto"/>
                    <w:bottom w:val="none" w:sz="0" w:space="0" w:color="auto"/>
                    <w:right w:val="none" w:sz="0" w:space="0" w:color="auto"/>
                  </w:divBdr>
                </w:div>
                <w:div w:id="1073091725">
                  <w:marLeft w:val="0"/>
                  <w:marRight w:val="0"/>
                  <w:marTop w:val="240"/>
                  <w:marBottom w:val="240"/>
                  <w:divBdr>
                    <w:top w:val="none" w:sz="0" w:space="0" w:color="auto"/>
                    <w:left w:val="none" w:sz="0" w:space="0" w:color="auto"/>
                    <w:bottom w:val="none" w:sz="0" w:space="0" w:color="auto"/>
                    <w:right w:val="none" w:sz="0" w:space="0" w:color="auto"/>
                  </w:divBdr>
                  <w:divsChild>
                    <w:div w:id="648948414">
                      <w:marLeft w:val="103"/>
                      <w:marRight w:val="206"/>
                      <w:marTop w:val="240"/>
                      <w:marBottom w:val="240"/>
                      <w:divBdr>
                        <w:top w:val="none" w:sz="0" w:space="0" w:color="auto"/>
                        <w:left w:val="none" w:sz="0" w:space="0" w:color="auto"/>
                        <w:bottom w:val="none" w:sz="0" w:space="0" w:color="auto"/>
                        <w:right w:val="none" w:sz="0" w:space="0" w:color="auto"/>
                      </w:divBdr>
                      <w:divsChild>
                        <w:div w:id="631835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3379">
                  <w:marLeft w:val="0"/>
                  <w:marRight w:val="0"/>
                  <w:marTop w:val="0"/>
                  <w:marBottom w:val="0"/>
                  <w:divBdr>
                    <w:top w:val="none" w:sz="0" w:space="0" w:color="auto"/>
                    <w:left w:val="none" w:sz="0" w:space="0" w:color="auto"/>
                    <w:bottom w:val="none" w:sz="0" w:space="0" w:color="auto"/>
                    <w:right w:val="none" w:sz="0" w:space="0" w:color="auto"/>
                  </w:divBdr>
                </w:div>
                <w:div w:id="1881935214">
                  <w:marLeft w:val="0"/>
                  <w:marRight w:val="0"/>
                  <w:marTop w:val="0"/>
                  <w:marBottom w:val="0"/>
                  <w:divBdr>
                    <w:top w:val="none" w:sz="0" w:space="0" w:color="auto"/>
                    <w:left w:val="none" w:sz="0" w:space="0" w:color="auto"/>
                    <w:bottom w:val="none" w:sz="0" w:space="0" w:color="auto"/>
                    <w:right w:val="none" w:sz="0" w:space="0" w:color="auto"/>
                  </w:divBdr>
                  <w:divsChild>
                    <w:div w:id="1351025961">
                      <w:marLeft w:val="0"/>
                      <w:marRight w:val="0"/>
                      <w:marTop w:val="0"/>
                      <w:marBottom w:val="0"/>
                      <w:divBdr>
                        <w:top w:val="none" w:sz="0" w:space="0" w:color="auto"/>
                        <w:left w:val="none" w:sz="0" w:space="0" w:color="auto"/>
                        <w:bottom w:val="none" w:sz="0" w:space="0" w:color="auto"/>
                        <w:right w:val="none" w:sz="0" w:space="0" w:color="auto"/>
                      </w:divBdr>
                    </w:div>
                    <w:div w:id="119810888">
                      <w:marLeft w:val="0"/>
                      <w:marRight w:val="0"/>
                      <w:marTop w:val="0"/>
                      <w:marBottom w:val="0"/>
                      <w:divBdr>
                        <w:top w:val="none" w:sz="0" w:space="0" w:color="auto"/>
                        <w:left w:val="none" w:sz="0" w:space="0" w:color="auto"/>
                        <w:bottom w:val="none" w:sz="0" w:space="0" w:color="auto"/>
                        <w:right w:val="none" w:sz="0" w:space="0" w:color="auto"/>
                      </w:divBdr>
                    </w:div>
                    <w:div w:id="176434372">
                      <w:marLeft w:val="0"/>
                      <w:marRight w:val="0"/>
                      <w:marTop w:val="0"/>
                      <w:marBottom w:val="0"/>
                      <w:divBdr>
                        <w:top w:val="none" w:sz="0" w:space="0" w:color="auto"/>
                        <w:left w:val="none" w:sz="0" w:space="0" w:color="auto"/>
                        <w:bottom w:val="none" w:sz="0" w:space="0" w:color="auto"/>
                        <w:right w:val="none" w:sz="0" w:space="0" w:color="auto"/>
                      </w:divBdr>
                    </w:div>
                  </w:divsChild>
                </w:div>
                <w:div w:id="911282898">
                  <w:marLeft w:val="0"/>
                  <w:marRight w:val="0"/>
                  <w:marTop w:val="0"/>
                  <w:marBottom w:val="0"/>
                  <w:divBdr>
                    <w:top w:val="none" w:sz="0" w:space="0" w:color="auto"/>
                    <w:left w:val="none" w:sz="0" w:space="0" w:color="auto"/>
                    <w:bottom w:val="none" w:sz="0" w:space="0" w:color="auto"/>
                    <w:right w:val="none" w:sz="0" w:space="0" w:color="auto"/>
                  </w:divBdr>
                </w:div>
                <w:div w:id="341052531">
                  <w:marLeft w:val="0"/>
                  <w:marRight w:val="0"/>
                  <w:marTop w:val="0"/>
                  <w:marBottom w:val="0"/>
                  <w:divBdr>
                    <w:top w:val="none" w:sz="0" w:space="0" w:color="auto"/>
                    <w:left w:val="none" w:sz="0" w:space="0" w:color="auto"/>
                    <w:bottom w:val="none" w:sz="0" w:space="0" w:color="auto"/>
                    <w:right w:val="none" w:sz="0" w:space="0" w:color="auto"/>
                  </w:divBdr>
                </w:div>
                <w:div w:id="86736758">
                  <w:marLeft w:val="0"/>
                  <w:marRight w:val="0"/>
                  <w:marTop w:val="0"/>
                  <w:marBottom w:val="0"/>
                  <w:divBdr>
                    <w:top w:val="none" w:sz="0" w:space="0" w:color="auto"/>
                    <w:left w:val="none" w:sz="0" w:space="0" w:color="auto"/>
                    <w:bottom w:val="none" w:sz="0" w:space="0" w:color="auto"/>
                    <w:right w:val="none" w:sz="0" w:space="0" w:color="auto"/>
                  </w:divBdr>
                  <w:divsChild>
                    <w:div w:id="1338574848">
                      <w:marLeft w:val="0"/>
                      <w:marRight w:val="0"/>
                      <w:marTop w:val="120"/>
                      <w:marBottom w:val="120"/>
                      <w:divBdr>
                        <w:top w:val="none" w:sz="0" w:space="0" w:color="auto"/>
                        <w:left w:val="none" w:sz="0" w:space="0" w:color="auto"/>
                        <w:bottom w:val="none" w:sz="0" w:space="0" w:color="auto"/>
                        <w:right w:val="none" w:sz="0" w:space="0" w:color="auto"/>
                      </w:divBdr>
                      <w:divsChild>
                        <w:div w:id="187524441">
                          <w:marLeft w:val="0"/>
                          <w:marRight w:val="0"/>
                          <w:marTop w:val="0"/>
                          <w:marBottom w:val="0"/>
                          <w:divBdr>
                            <w:top w:val="none" w:sz="0" w:space="0" w:color="auto"/>
                            <w:left w:val="none" w:sz="0" w:space="0" w:color="auto"/>
                            <w:bottom w:val="none" w:sz="0" w:space="0" w:color="auto"/>
                            <w:right w:val="none" w:sz="0" w:space="0" w:color="auto"/>
                          </w:divBdr>
                          <w:divsChild>
                            <w:div w:id="340858084">
                              <w:marLeft w:val="0"/>
                              <w:marRight w:val="0"/>
                              <w:marTop w:val="240"/>
                              <w:marBottom w:val="240"/>
                              <w:divBdr>
                                <w:top w:val="none" w:sz="0" w:space="0" w:color="auto"/>
                                <w:left w:val="none" w:sz="0" w:space="0" w:color="auto"/>
                                <w:bottom w:val="none" w:sz="0" w:space="0" w:color="auto"/>
                                <w:right w:val="none" w:sz="0" w:space="0" w:color="auto"/>
                              </w:divBdr>
                            </w:div>
                          </w:divsChild>
                        </w:div>
                        <w:div w:id="737627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777336">
                  <w:marLeft w:val="0"/>
                  <w:marRight w:val="0"/>
                  <w:marTop w:val="0"/>
                  <w:marBottom w:val="0"/>
                  <w:divBdr>
                    <w:top w:val="none" w:sz="0" w:space="0" w:color="auto"/>
                    <w:left w:val="none" w:sz="0" w:space="0" w:color="auto"/>
                    <w:bottom w:val="none" w:sz="0" w:space="0" w:color="auto"/>
                    <w:right w:val="none" w:sz="0" w:space="0" w:color="auto"/>
                  </w:divBdr>
                  <w:divsChild>
                    <w:div w:id="33696810">
                      <w:marLeft w:val="0"/>
                      <w:marRight w:val="0"/>
                      <w:marTop w:val="120"/>
                      <w:marBottom w:val="120"/>
                      <w:divBdr>
                        <w:top w:val="none" w:sz="0" w:space="0" w:color="auto"/>
                        <w:left w:val="none" w:sz="0" w:space="0" w:color="auto"/>
                        <w:bottom w:val="none" w:sz="0" w:space="0" w:color="auto"/>
                        <w:right w:val="none" w:sz="0" w:space="0" w:color="auto"/>
                      </w:divBdr>
                      <w:divsChild>
                        <w:div w:id="1969968956">
                          <w:marLeft w:val="0"/>
                          <w:marRight w:val="0"/>
                          <w:marTop w:val="0"/>
                          <w:marBottom w:val="0"/>
                          <w:divBdr>
                            <w:top w:val="none" w:sz="0" w:space="0" w:color="auto"/>
                            <w:left w:val="none" w:sz="0" w:space="0" w:color="auto"/>
                            <w:bottom w:val="none" w:sz="0" w:space="0" w:color="auto"/>
                            <w:right w:val="none" w:sz="0" w:space="0" w:color="auto"/>
                          </w:divBdr>
                          <w:divsChild>
                            <w:div w:id="1893693258">
                              <w:marLeft w:val="0"/>
                              <w:marRight w:val="0"/>
                              <w:marTop w:val="240"/>
                              <w:marBottom w:val="240"/>
                              <w:divBdr>
                                <w:top w:val="none" w:sz="0" w:space="0" w:color="auto"/>
                                <w:left w:val="none" w:sz="0" w:space="0" w:color="auto"/>
                                <w:bottom w:val="none" w:sz="0" w:space="0" w:color="auto"/>
                                <w:right w:val="none" w:sz="0" w:space="0" w:color="auto"/>
                              </w:divBdr>
                            </w:div>
                          </w:divsChild>
                        </w:div>
                        <w:div w:id="70105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773473">
                  <w:marLeft w:val="0"/>
                  <w:marRight w:val="0"/>
                  <w:marTop w:val="0"/>
                  <w:marBottom w:val="0"/>
                  <w:divBdr>
                    <w:top w:val="none" w:sz="0" w:space="0" w:color="auto"/>
                    <w:left w:val="none" w:sz="0" w:space="0" w:color="auto"/>
                    <w:bottom w:val="none" w:sz="0" w:space="0" w:color="auto"/>
                    <w:right w:val="none" w:sz="0" w:space="0" w:color="auto"/>
                  </w:divBdr>
                </w:div>
                <w:div w:id="1589268932">
                  <w:marLeft w:val="0"/>
                  <w:marRight w:val="0"/>
                  <w:marTop w:val="0"/>
                  <w:marBottom w:val="0"/>
                  <w:divBdr>
                    <w:top w:val="none" w:sz="0" w:space="0" w:color="auto"/>
                    <w:left w:val="none" w:sz="0" w:space="0" w:color="auto"/>
                    <w:bottom w:val="none" w:sz="0" w:space="0" w:color="auto"/>
                    <w:right w:val="none" w:sz="0" w:space="0" w:color="auto"/>
                  </w:divBdr>
                  <w:divsChild>
                    <w:div w:id="1943148344">
                      <w:marLeft w:val="0"/>
                      <w:marRight w:val="0"/>
                      <w:marTop w:val="120"/>
                      <w:marBottom w:val="120"/>
                      <w:divBdr>
                        <w:top w:val="none" w:sz="0" w:space="0" w:color="auto"/>
                        <w:left w:val="none" w:sz="0" w:space="0" w:color="auto"/>
                        <w:bottom w:val="none" w:sz="0" w:space="0" w:color="auto"/>
                        <w:right w:val="none" w:sz="0" w:space="0" w:color="auto"/>
                      </w:divBdr>
                      <w:divsChild>
                        <w:div w:id="398021646">
                          <w:marLeft w:val="0"/>
                          <w:marRight w:val="0"/>
                          <w:marTop w:val="0"/>
                          <w:marBottom w:val="0"/>
                          <w:divBdr>
                            <w:top w:val="none" w:sz="0" w:space="0" w:color="auto"/>
                            <w:left w:val="none" w:sz="0" w:space="0" w:color="auto"/>
                            <w:bottom w:val="none" w:sz="0" w:space="0" w:color="auto"/>
                            <w:right w:val="none" w:sz="0" w:space="0" w:color="auto"/>
                          </w:divBdr>
                          <w:divsChild>
                            <w:div w:id="1673725292">
                              <w:marLeft w:val="0"/>
                              <w:marRight w:val="0"/>
                              <w:marTop w:val="240"/>
                              <w:marBottom w:val="240"/>
                              <w:divBdr>
                                <w:top w:val="none" w:sz="0" w:space="0" w:color="auto"/>
                                <w:left w:val="none" w:sz="0" w:space="0" w:color="auto"/>
                                <w:bottom w:val="none" w:sz="0" w:space="0" w:color="auto"/>
                                <w:right w:val="none" w:sz="0" w:space="0" w:color="auto"/>
                              </w:divBdr>
                            </w:div>
                          </w:divsChild>
                        </w:div>
                        <w:div w:id="1064135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008458">
                  <w:marLeft w:val="0"/>
                  <w:marRight w:val="0"/>
                  <w:marTop w:val="0"/>
                  <w:marBottom w:val="0"/>
                  <w:divBdr>
                    <w:top w:val="none" w:sz="0" w:space="0" w:color="auto"/>
                    <w:left w:val="none" w:sz="0" w:space="0" w:color="auto"/>
                    <w:bottom w:val="none" w:sz="0" w:space="0" w:color="auto"/>
                    <w:right w:val="none" w:sz="0" w:space="0" w:color="auto"/>
                  </w:divBdr>
                  <w:divsChild>
                    <w:div w:id="1114909202">
                      <w:marLeft w:val="0"/>
                      <w:marRight w:val="0"/>
                      <w:marTop w:val="120"/>
                      <w:marBottom w:val="120"/>
                      <w:divBdr>
                        <w:top w:val="none" w:sz="0" w:space="0" w:color="auto"/>
                        <w:left w:val="none" w:sz="0" w:space="0" w:color="auto"/>
                        <w:bottom w:val="none" w:sz="0" w:space="0" w:color="auto"/>
                        <w:right w:val="none" w:sz="0" w:space="0" w:color="auto"/>
                      </w:divBdr>
                      <w:divsChild>
                        <w:div w:id="1668510592">
                          <w:marLeft w:val="0"/>
                          <w:marRight w:val="0"/>
                          <w:marTop w:val="0"/>
                          <w:marBottom w:val="0"/>
                          <w:divBdr>
                            <w:top w:val="none" w:sz="0" w:space="0" w:color="auto"/>
                            <w:left w:val="none" w:sz="0" w:space="0" w:color="auto"/>
                            <w:bottom w:val="none" w:sz="0" w:space="0" w:color="auto"/>
                            <w:right w:val="none" w:sz="0" w:space="0" w:color="auto"/>
                          </w:divBdr>
                          <w:divsChild>
                            <w:div w:id="1907951712">
                              <w:marLeft w:val="0"/>
                              <w:marRight w:val="0"/>
                              <w:marTop w:val="240"/>
                              <w:marBottom w:val="240"/>
                              <w:divBdr>
                                <w:top w:val="none" w:sz="0" w:space="0" w:color="auto"/>
                                <w:left w:val="none" w:sz="0" w:space="0" w:color="auto"/>
                                <w:bottom w:val="none" w:sz="0" w:space="0" w:color="auto"/>
                                <w:right w:val="none" w:sz="0" w:space="0" w:color="auto"/>
                              </w:divBdr>
                            </w:div>
                          </w:divsChild>
                        </w:div>
                        <w:div w:id="727460632">
                          <w:marLeft w:val="0"/>
                          <w:marRight w:val="0"/>
                          <w:marTop w:val="0"/>
                          <w:marBottom w:val="0"/>
                          <w:divBdr>
                            <w:top w:val="none" w:sz="0" w:space="0" w:color="auto"/>
                            <w:left w:val="none" w:sz="0" w:space="0" w:color="auto"/>
                            <w:bottom w:val="none" w:sz="0" w:space="0" w:color="auto"/>
                            <w:right w:val="none" w:sz="0" w:space="0" w:color="auto"/>
                          </w:divBdr>
                        </w:div>
                      </w:divsChild>
                    </w:div>
                    <w:div w:id="1239635017">
                      <w:marLeft w:val="0"/>
                      <w:marRight w:val="0"/>
                      <w:marTop w:val="120"/>
                      <w:marBottom w:val="120"/>
                      <w:divBdr>
                        <w:top w:val="none" w:sz="0" w:space="0" w:color="auto"/>
                        <w:left w:val="none" w:sz="0" w:space="0" w:color="auto"/>
                        <w:bottom w:val="none" w:sz="0" w:space="0" w:color="auto"/>
                        <w:right w:val="none" w:sz="0" w:space="0" w:color="auto"/>
                      </w:divBdr>
                      <w:divsChild>
                        <w:div w:id="149832568">
                          <w:marLeft w:val="0"/>
                          <w:marRight w:val="0"/>
                          <w:marTop w:val="0"/>
                          <w:marBottom w:val="0"/>
                          <w:divBdr>
                            <w:top w:val="none" w:sz="0" w:space="0" w:color="auto"/>
                            <w:left w:val="none" w:sz="0" w:space="0" w:color="auto"/>
                            <w:bottom w:val="none" w:sz="0" w:space="0" w:color="auto"/>
                            <w:right w:val="none" w:sz="0" w:space="0" w:color="auto"/>
                          </w:divBdr>
                          <w:divsChild>
                            <w:div w:id="378167927">
                              <w:marLeft w:val="0"/>
                              <w:marRight w:val="0"/>
                              <w:marTop w:val="240"/>
                              <w:marBottom w:val="240"/>
                              <w:divBdr>
                                <w:top w:val="none" w:sz="0" w:space="0" w:color="auto"/>
                                <w:left w:val="none" w:sz="0" w:space="0" w:color="auto"/>
                                <w:bottom w:val="none" w:sz="0" w:space="0" w:color="auto"/>
                                <w:right w:val="none" w:sz="0" w:space="0" w:color="auto"/>
                              </w:divBdr>
                            </w:div>
                          </w:divsChild>
                        </w:div>
                        <w:div w:id="1642807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521052">
                  <w:marLeft w:val="0"/>
                  <w:marRight w:val="0"/>
                  <w:marTop w:val="0"/>
                  <w:marBottom w:val="0"/>
                  <w:divBdr>
                    <w:top w:val="none" w:sz="0" w:space="0" w:color="auto"/>
                    <w:left w:val="none" w:sz="0" w:space="0" w:color="auto"/>
                    <w:bottom w:val="none" w:sz="0" w:space="0" w:color="auto"/>
                    <w:right w:val="none" w:sz="0" w:space="0" w:color="auto"/>
                  </w:divBdr>
                </w:div>
                <w:div w:id="1431664112">
                  <w:marLeft w:val="0"/>
                  <w:marRight w:val="0"/>
                  <w:marTop w:val="0"/>
                  <w:marBottom w:val="0"/>
                  <w:divBdr>
                    <w:top w:val="none" w:sz="0" w:space="0" w:color="auto"/>
                    <w:left w:val="none" w:sz="0" w:space="0" w:color="auto"/>
                    <w:bottom w:val="none" w:sz="0" w:space="0" w:color="auto"/>
                    <w:right w:val="none" w:sz="0" w:space="0" w:color="auto"/>
                  </w:divBdr>
                  <w:divsChild>
                    <w:div w:id="425614138">
                      <w:marLeft w:val="0"/>
                      <w:marRight w:val="0"/>
                      <w:marTop w:val="120"/>
                      <w:marBottom w:val="120"/>
                      <w:divBdr>
                        <w:top w:val="none" w:sz="0" w:space="0" w:color="auto"/>
                        <w:left w:val="none" w:sz="0" w:space="0" w:color="auto"/>
                        <w:bottom w:val="none" w:sz="0" w:space="0" w:color="auto"/>
                        <w:right w:val="none" w:sz="0" w:space="0" w:color="auto"/>
                      </w:divBdr>
                      <w:divsChild>
                        <w:div w:id="19744638">
                          <w:marLeft w:val="0"/>
                          <w:marRight w:val="0"/>
                          <w:marTop w:val="0"/>
                          <w:marBottom w:val="0"/>
                          <w:divBdr>
                            <w:top w:val="none" w:sz="0" w:space="0" w:color="auto"/>
                            <w:left w:val="none" w:sz="0" w:space="0" w:color="auto"/>
                            <w:bottom w:val="none" w:sz="0" w:space="0" w:color="auto"/>
                            <w:right w:val="none" w:sz="0" w:space="0" w:color="auto"/>
                          </w:divBdr>
                          <w:divsChild>
                            <w:div w:id="1328971358">
                              <w:marLeft w:val="0"/>
                              <w:marRight w:val="0"/>
                              <w:marTop w:val="240"/>
                              <w:marBottom w:val="240"/>
                              <w:divBdr>
                                <w:top w:val="none" w:sz="0" w:space="0" w:color="auto"/>
                                <w:left w:val="none" w:sz="0" w:space="0" w:color="auto"/>
                                <w:bottom w:val="none" w:sz="0" w:space="0" w:color="auto"/>
                                <w:right w:val="none" w:sz="0" w:space="0" w:color="auto"/>
                              </w:divBdr>
                            </w:div>
                          </w:divsChild>
                        </w:div>
                        <w:div w:id="1222210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070360">
                  <w:marLeft w:val="0"/>
                  <w:marRight w:val="0"/>
                  <w:marTop w:val="0"/>
                  <w:marBottom w:val="0"/>
                  <w:divBdr>
                    <w:top w:val="none" w:sz="0" w:space="0" w:color="auto"/>
                    <w:left w:val="none" w:sz="0" w:space="0" w:color="auto"/>
                    <w:bottom w:val="none" w:sz="0" w:space="0" w:color="auto"/>
                    <w:right w:val="none" w:sz="0" w:space="0" w:color="auto"/>
                  </w:divBdr>
                  <w:divsChild>
                    <w:div w:id="1473057162">
                      <w:marLeft w:val="0"/>
                      <w:marRight w:val="0"/>
                      <w:marTop w:val="120"/>
                      <w:marBottom w:val="120"/>
                      <w:divBdr>
                        <w:top w:val="none" w:sz="0" w:space="0" w:color="auto"/>
                        <w:left w:val="none" w:sz="0" w:space="0" w:color="auto"/>
                        <w:bottom w:val="none" w:sz="0" w:space="0" w:color="auto"/>
                        <w:right w:val="none" w:sz="0" w:space="0" w:color="auto"/>
                      </w:divBdr>
                      <w:divsChild>
                        <w:div w:id="1317107722">
                          <w:marLeft w:val="0"/>
                          <w:marRight w:val="0"/>
                          <w:marTop w:val="0"/>
                          <w:marBottom w:val="0"/>
                          <w:divBdr>
                            <w:top w:val="none" w:sz="0" w:space="0" w:color="auto"/>
                            <w:left w:val="none" w:sz="0" w:space="0" w:color="auto"/>
                            <w:bottom w:val="none" w:sz="0" w:space="0" w:color="auto"/>
                            <w:right w:val="none" w:sz="0" w:space="0" w:color="auto"/>
                          </w:divBdr>
                          <w:divsChild>
                            <w:div w:id="430971067">
                              <w:marLeft w:val="0"/>
                              <w:marRight w:val="0"/>
                              <w:marTop w:val="240"/>
                              <w:marBottom w:val="240"/>
                              <w:divBdr>
                                <w:top w:val="none" w:sz="0" w:space="0" w:color="auto"/>
                                <w:left w:val="none" w:sz="0" w:space="0" w:color="auto"/>
                                <w:bottom w:val="none" w:sz="0" w:space="0" w:color="auto"/>
                                <w:right w:val="none" w:sz="0" w:space="0" w:color="auto"/>
                              </w:divBdr>
                            </w:div>
                          </w:divsChild>
                        </w:div>
                        <w:div w:id="1383210846">
                          <w:marLeft w:val="0"/>
                          <w:marRight w:val="0"/>
                          <w:marTop w:val="0"/>
                          <w:marBottom w:val="0"/>
                          <w:divBdr>
                            <w:top w:val="none" w:sz="0" w:space="0" w:color="auto"/>
                            <w:left w:val="none" w:sz="0" w:space="0" w:color="auto"/>
                            <w:bottom w:val="none" w:sz="0" w:space="0" w:color="auto"/>
                            <w:right w:val="none" w:sz="0" w:space="0" w:color="auto"/>
                          </w:divBdr>
                        </w:div>
                      </w:divsChild>
                    </w:div>
                    <w:div w:id="1208373726">
                      <w:marLeft w:val="0"/>
                      <w:marRight w:val="0"/>
                      <w:marTop w:val="120"/>
                      <w:marBottom w:val="120"/>
                      <w:divBdr>
                        <w:top w:val="none" w:sz="0" w:space="0" w:color="auto"/>
                        <w:left w:val="none" w:sz="0" w:space="0" w:color="auto"/>
                        <w:bottom w:val="none" w:sz="0" w:space="0" w:color="auto"/>
                        <w:right w:val="none" w:sz="0" w:space="0" w:color="auto"/>
                      </w:divBdr>
                      <w:divsChild>
                        <w:div w:id="1451780897">
                          <w:marLeft w:val="0"/>
                          <w:marRight w:val="0"/>
                          <w:marTop w:val="0"/>
                          <w:marBottom w:val="0"/>
                          <w:divBdr>
                            <w:top w:val="none" w:sz="0" w:space="0" w:color="auto"/>
                            <w:left w:val="none" w:sz="0" w:space="0" w:color="auto"/>
                            <w:bottom w:val="none" w:sz="0" w:space="0" w:color="auto"/>
                            <w:right w:val="none" w:sz="0" w:space="0" w:color="auto"/>
                          </w:divBdr>
                          <w:divsChild>
                            <w:div w:id="1434746354">
                              <w:marLeft w:val="0"/>
                              <w:marRight w:val="0"/>
                              <w:marTop w:val="240"/>
                              <w:marBottom w:val="240"/>
                              <w:divBdr>
                                <w:top w:val="none" w:sz="0" w:space="0" w:color="auto"/>
                                <w:left w:val="none" w:sz="0" w:space="0" w:color="auto"/>
                                <w:bottom w:val="none" w:sz="0" w:space="0" w:color="auto"/>
                                <w:right w:val="none" w:sz="0" w:space="0" w:color="auto"/>
                              </w:divBdr>
                            </w:div>
                          </w:divsChild>
                        </w:div>
                        <w:div w:id="18772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405957">
                  <w:marLeft w:val="0"/>
                  <w:marRight w:val="0"/>
                  <w:marTop w:val="0"/>
                  <w:marBottom w:val="0"/>
                  <w:divBdr>
                    <w:top w:val="none" w:sz="0" w:space="0" w:color="auto"/>
                    <w:left w:val="none" w:sz="0" w:space="0" w:color="auto"/>
                    <w:bottom w:val="none" w:sz="0" w:space="0" w:color="auto"/>
                    <w:right w:val="none" w:sz="0" w:space="0" w:color="auto"/>
                  </w:divBdr>
                </w:div>
                <w:div w:id="319432579">
                  <w:marLeft w:val="0"/>
                  <w:marRight w:val="0"/>
                  <w:marTop w:val="0"/>
                  <w:marBottom w:val="0"/>
                  <w:divBdr>
                    <w:top w:val="none" w:sz="0" w:space="0" w:color="auto"/>
                    <w:left w:val="none" w:sz="0" w:space="0" w:color="auto"/>
                    <w:bottom w:val="none" w:sz="0" w:space="0" w:color="auto"/>
                    <w:right w:val="none" w:sz="0" w:space="0" w:color="auto"/>
                  </w:divBdr>
                </w:div>
                <w:div w:id="65685891">
                  <w:marLeft w:val="0"/>
                  <w:marRight w:val="0"/>
                  <w:marTop w:val="0"/>
                  <w:marBottom w:val="0"/>
                  <w:divBdr>
                    <w:top w:val="none" w:sz="0" w:space="0" w:color="auto"/>
                    <w:left w:val="none" w:sz="0" w:space="0" w:color="auto"/>
                    <w:bottom w:val="none" w:sz="0" w:space="0" w:color="auto"/>
                    <w:right w:val="none" w:sz="0" w:space="0" w:color="auto"/>
                  </w:divBdr>
                  <w:divsChild>
                    <w:div w:id="1897353328">
                      <w:marLeft w:val="0"/>
                      <w:marRight w:val="0"/>
                      <w:marTop w:val="120"/>
                      <w:marBottom w:val="120"/>
                      <w:divBdr>
                        <w:top w:val="none" w:sz="0" w:space="0" w:color="auto"/>
                        <w:left w:val="none" w:sz="0" w:space="0" w:color="auto"/>
                        <w:bottom w:val="none" w:sz="0" w:space="0" w:color="auto"/>
                        <w:right w:val="none" w:sz="0" w:space="0" w:color="auto"/>
                      </w:divBdr>
                      <w:divsChild>
                        <w:div w:id="1295284427">
                          <w:marLeft w:val="0"/>
                          <w:marRight w:val="0"/>
                          <w:marTop w:val="0"/>
                          <w:marBottom w:val="0"/>
                          <w:divBdr>
                            <w:top w:val="none" w:sz="0" w:space="0" w:color="auto"/>
                            <w:left w:val="none" w:sz="0" w:space="0" w:color="auto"/>
                            <w:bottom w:val="none" w:sz="0" w:space="0" w:color="auto"/>
                            <w:right w:val="none" w:sz="0" w:space="0" w:color="auto"/>
                          </w:divBdr>
                          <w:divsChild>
                            <w:div w:id="1870726376">
                              <w:marLeft w:val="0"/>
                              <w:marRight w:val="0"/>
                              <w:marTop w:val="240"/>
                              <w:marBottom w:val="240"/>
                              <w:divBdr>
                                <w:top w:val="none" w:sz="0" w:space="0" w:color="auto"/>
                                <w:left w:val="none" w:sz="0" w:space="0" w:color="auto"/>
                                <w:bottom w:val="none" w:sz="0" w:space="0" w:color="auto"/>
                                <w:right w:val="none" w:sz="0" w:space="0" w:color="auto"/>
                              </w:divBdr>
                            </w:div>
                          </w:divsChild>
                        </w:div>
                        <w:div w:id="102277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441110">
                  <w:marLeft w:val="0"/>
                  <w:marRight w:val="0"/>
                  <w:marTop w:val="0"/>
                  <w:marBottom w:val="0"/>
                  <w:divBdr>
                    <w:top w:val="none" w:sz="0" w:space="0" w:color="auto"/>
                    <w:left w:val="none" w:sz="0" w:space="0" w:color="auto"/>
                    <w:bottom w:val="none" w:sz="0" w:space="0" w:color="auto"/>
                    <w:right w:val="none" w:sz="0" w:space="0" w:color="auto"/>
                  </w:divBdr>
                  <w:divsChild>
                    <w:div w:id="1607498775">
                      <w:marLeft w:val="0"/>
                      <w:marRight w:val="0"/>
                      <w:marTop w:val="120"/>
                      <w:marBottom w:val="120"/>
                      <w:divBdr>
                        <w:top w:val="none" w:sz="0" w:space="0" w:color="auto"/>
                        <w:left w:val="none" w:sz="0" w:space="0" w:color="auto"/>
                        <w:bottom w:val="none" w:sz="0" w:space="0" w:color="auto"/>
                        <w:right w:val="none" w:sz="0" w:space="0" w:color="auto"/>
                      </w:divBdr>
                      <w:divsChild>
                        <w:div w:id="133522852">
                          <w:marLeft w:val="0"/>
                          <w:marRight w:val="0"/>
                          <w:marTop w:val="0"/>
                          <w:marBottom w:val="0"/>
                          <w:divBdr>
                            <w:top w:val="none" w:sz="0" w:space="0" w:color="auto"/>
                            <w:left w:val="none" w:sz="0" w:space="0" w:color="auto"/>
                            <w:bottom w:val="none" w:sz="0" w:space="0" w:color="auto"/>
                            <w:right w:val="none" w:sz="0" w:space="0" w:color="auto"/>
                          </w:divBdr>
                          <w:divsChild>
                            <w:div w:id="924847235">
                              <w:marLeft w:val="0"/>
                              <w:marRight w:val="0"/>
                              <w:marTop w:val="240"/>
                              <w:marBottom w:val="240"/>
                              <w:divBdr>
                                <w:top w:val="none" w:sz="0" w:space="0" w:color="auto"/>
                                <w:left w:val="none" w:sz="0" w:space="0" w:color="auto"/>
                                <w:bottom w:val="none" w:sz="0" w:space="0" w:color="auto"/>
                                <w:right w:val="none" w:sz="0" w:space="0" w:color="auto"/>
                              </w:divBdr>
                            </w:div>
                          </w:divsChild>
                        </w:div>
                        <w:div w:id="1734696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261606">
                  <w:marLeft w:val="0"/>
                  <w:marRight w:val="0"/>
                  <w:marTop w:val="0"/>
                  <w:marBottom w:val="0"/>
                  <w:divBdr>
                    <w:top w:val="none" w:sz="0" w:space="0" w:color="auto"/>
                    <w:left w:val="none" w:sz="0" w:space="0" w:color="auto"/>
                    <w:bottom w:val="none" w:sz="0" w:space="0" w:color="auto"/>
                    <w:right w:val="none" w:sz="0" w:space="0" w:color="auto"/>
                  </w:divBdr>
                  <w:divsChild>
                    <w:div w:id="532427938">
                      <w:marLeft w:val="0"/>
                      <w:marRight w:val="0"/>
                      <w:marTop w:val="120"/>
                      <w:marBottom w:val="120"/>
                      <w:divBdr>
                        <w:top w:val="none" w:sz="0" w:space="0" w:color="auto"/>
                        <w:left w:val="none" w:sz="0" w:space="0" w:color="auto"/>
                        <w:bottom w:val="none" w:sz="0" w:space="0" w:color="auto"/>
                        <w:right w:val="none" w:sz="0" w:space="0" w:color="auto"/>
                      </w:divBdr>
                      <w:divsChild>
                        <w:div w:id="1328024073">
                          <w:marLeft w:val="0"/>
                          <w:marRight w:val="0"/>
                          <w:marTop w:val="0"/>
                          <w:marBottom w:val="0"/>
                          <w:divBdr>
                            <w:top w:val="none" w:sz="0" w:space="0" w:color="auto"/>
                            <w:left w:val="none" w:sz="0" w:space="0" w:color="auto"/>
                            <w:bottom w:val="none" w:sz="0" w:space="0" w:color="auto"/>
                            <w:right w:val="none" w:sz="0" w:space="0" w:color="auto"/>
                          </w:divBdr>
                          <w:divsChild>
                            <w:div w:id="1697343684">
                              <w:marLeft w:val="0"/>
                              <w:marRight w:val="0"/>
                              <w:marTop w:val="240"/>
                              <w:marBottom w:val="240"/>
                              <w:divBdr>
                                <w:top w:val="none" w:sz="0" w:space="0" w:color="auto"/>
                                <w:left w:val="none" w:sz="0" w:space="0" w:color="auto"/>
                                <w:bottom w:val="none" w:sz="0" w:space="0" w:color="auto"/>
                                <w:right w:val="none" w:sz="0" w:space="0" w:color="auto"/>
                              </w:divBdr>
                            </w:div>
                          </w:divsChild>
                        </w:div>
                        <w:div w:id="2046052411">
                          <w:marLeft w:val="0"/>
                          <w:marRight w:val="0"/>
                          <w:marTop w:val="0"/>
                          <w:marBottom w:val="0"/>
                          <w:divBdr>
                            <w:top w:val="none" w:sz="0" w:space="0" w:color="auto"/>
                            <w:left w:val="none" w:sz="0" w:space="0" w:color="auto"/>
                            <w:bottom w:val="none" w:sz="0" w:space="0" w:color="auto"/>
                            <w:right w:val="none" w:sz="0" w:space="0" w:color="auto"/>
                          </w:divBdr>
                        </w:div>
                      </w:divsChild>
                    </w:div>
                    <w:div w:id="1762527810">
                      <w:marLeft w:val="0"/>
                      <w:marRight w:val="0"/>
                      <w:marTop w:val="120"/>
                      <w:marBottom w:val="120"/>
                      <w:divBdr>
                        <w:top w:val="none" w:sz="0" w:space="0" w:color="auto"/>
                        <w:left w:val="none" w:sz="0" w:space="0" w:color="auto"/>
                        <w:bottom w:val="none" w:sz="0" w:space="0" w:color="auto"/>
                        <w:right w:val="none" w:sz="0" w:space="0" w:color="auto"/>
                      </w:divBdr>
                      <w:divsChild>
                        <w:div w:id="654646857">
                          <w:marLeft w:val="0"/>
                          <w:marRight w:val="0"/>
                          <w:marTop w:val="0"/>
                          <w:marBottom w:val="0"/>
                          <w:divBdr>
                            <w:top w:val="none" w:sz="0" w:space="0" w:color="auto"/>
                            <w:left w:val="none" w:sz="0" w:space="0" w:color="auto"/>
                            <w:bottom w:val="none" w:sz="0" w:space="0" w:color="auto"/>
                            <w:right w:val="none" w:sz="0" w:space="0" w:color="auto"/>
                          </w:divBdr>
                          <w:divsChild>
                            <w:div w:id="994332802">
                              <w:marLeft w:val="0"/>
                              <w:marRight w:val="0"/>
                              <w:marTop w:val="240"/>
                              <w:marBottom w:val="240"/>
                              <w:divBdr>
                                <w:top w:val="none" w:sz="0" w:space="0" w:color="auto"/>
                                <w:left w:val="none" w:sz="0" w:space="0" w:color="auto"/>
                                <w:bottom w:val="none" w:sz="0" w:space="0" w:color="auto"/>
                                <w:right w:val="none" w:sz="0" w:space="0" w:color="auto"/>
                              </w:divBdr>
                            </w:div>
                          </w:divsChild>
                        </w:div>
                        <w:div w:id="1792823828">
                          <w:marLeft w:val="0"/>
                          <w:marRight w:val="0"/>
                          <w:marTop w:val="0"/>
                          <w:marBottom w:val="0"/>
                          <w:divBdr>
                            <w:top w:val="none" w:sz="0" w:space="0" w:color="auto"/>
                            <w:left w:val="none" w:sz="0" w:space="0" w:color="auto"/>
                            <w:bottom w:val="none" w:sz="0" w:space="0" w:color="auto"/>
                            <w:right w:val="none" w:sz="0" w:space="0" w:color="auto"/>
                          </w:divBdr>
                        </w:div>
                      </w:divsChild>
                    </w:div>
                    <w:div w:id="1817795900">
                      <w:marLeft w:val="0"/>
                      <w:marRight w:val="0"/>
                      <w:marTop w:val="120"/>
                      <w:marBottom w:val="120"/>
                      <w:divBdr>
                        <w:top w:val="none" w:sz="0" w:space="0" w:color="auto"/>
                        <w:left w:val="none" w:sz="0" w:space="0" w:color="auto"/>
                        <w:bottom w:val="none" w:sz="0" w:space="0" w:color="auto"/>
                        <w:right w:val="none" w:sz="0" w:space="0" w:color="auto"/>
                      </w:divBdr>
                      <w:divsChild>
                        <w:div w:id="1716470822">
                          <w:marLeft w:val="0"/>
                          <w:marRight w:val="0"/>
                          <w:marTop w:val="0"/>
                          <w:marBottom w:val="0"/>
                          <w:divBdr>
                            <w:top w:val="none" w:sz="0" w:space="0" w:color="auto"/>
                            <w:left w:val="none" w:sz="0" w:space="0" w:color="auto"/>
                            <w:bottom w:val="none" w:sz="0" w:space="0" w:color="auto"/>
                            <w:right w:val="none" w:sz="0" w:space="0" w:color="auto"/>
                          </w:divBdr>
                          <w:divsChild>
                            <w:div w:id="84692900">
                              <w:marLeft w:val="0"/>
                              <w:marRight w:val="0"/>
                              <w:marTop w:val="240"/>
                              <w:marBottom w:val="240"/>
                              <w:divBdr>
                                <w:top w:val="none" w:sz="0" w:space="0" w:color="auto"/>
                                <w:left w:val="none" w:sz="0" w:space="0" w:color="auto"/>
                                <w:bottom w:val="none" w:sz="0" w:space="0" w:color="auto"/>
                                <w:right w:val="none" w:sz="0" w:space="0" w:color="auto"/>
                              </w:divBdr>
                            </w:div>
                          </w:divsChild>
                        </w:div>
                        <w:div w:id="2028675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772045">
                  <w:marLeft w:val="0"/>
                  <w:marRight w:val="0"/>
                  <w:marTop w:val="0"/>
                  <w:marBottom w:val="0"/>
                  <w:divBdr>
                    <w:top w:val="none" w:sz="0" w:space="0" w:color="auto"/>
                    <w:left w:val="none" w:sz="0" w:space="0" w:color="auto"/>
                    <w:bottom w:val="none" w:sz="0" w:space="0" w:color="auto"/>
                    <w:right w:val="none" w:sz="0" w:space="0" w:color="auto"/>
                  </w:divBdr>
                </w:div>
                <w:div w:id="1871066045">
                  <w:marLeft w:val="0"/>
                  <w:marRight w:val="0"/>
                  <w:marTop w:val="0"/>
                  <w:marBottom w:val="0"/>
                  <w:divBdr>
                    <w:top w:val="none" w:sz="0" w:space="0" w:color="auto"/>
                    <w:left w:val="none" w:sz="0" w:space="0" w:color="auto"/>
                    <w:bottom w:val="none" w:sz="0" w:space="0" w:color="auto"/>
                    <w:right w:val="none" w:sz="0" w:space="0" w:color="auto"/>
                  </w:divBdr>
                  <w:divsChild>
                    <w:div w:id="1479492939">
                      <w:marLeft w:val="0"/>
                      <w:marRight w:val="0"/>
                      <w:marTop w:val="120"/>
                      <w:marBottom w:val="120"/>
                      <w:divBdr>
                        <w:top w:val="none" w:sz="0" w:space="0" w:color="auto"/>
                        <w:left w:val="none" w:sz="0" w:space="0" w:color="auto"/>
                        <w:bottom w:val="none" w:sz="0" w:space="0" w:color="auto"/>
                        <w:right w:val="none" w:sz="0" w:space="0" w:color="auto"/>
                      </w:divBdr>
                      <w:divsChild>
                        <w:div w:id="2138601403">
                          <w:marLeft w:val="0"/>
                          <w:marRight w:val="0"/>
                          <w:marTop w:val="0"/>
                          <w:marBottom w:val="0"/>
                          <w:divBdr>
                            <w:top w:val="none" w:sz="0" w:space="0" w:color="auto"/>
                            <w:left w:val="none" w:sz="0" w:space="0" w:color="auto"/>
                            <w:bottom w:val="none" w:sz="0" w:space="0" w:color="auto"/>
                            <w:right w:val="none" w:sz="0" w:space="0" w:color="auto"/>
                          </w:divBdr>
                        </w:div>
                        <w:div w:id="164843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890532">
                  <w:marLeft w:val="0"/>
                  <w:marRight w:val="0"/>
                  <w:marTop w:val="0"/>
                  <w:marBottom w:val="0"/>
                  <w:divBdr>
                    <w:top w:val="none" w:sz="0" w:space="0" w:color="auto"/>
                    <w:left w:val="none" w:sz="0" w:space="0" w:color="auto"/>
                    <w:bottom w:val="none" w:sz="0" w:space="0" w:color="auto"/>
                    <w:right w:val="none" w:sz="0" w:space="0" w:color="auto"/>
                  </w:divBdr>
                  <w:divsChild>
                    <w:div w:id="566260772">
                      <w:marLeft w:val="0"/>
                      <w:marRight w:val="0"/>
                      <w:marTop w:val="120"/>
                      <w:marBottom w:val="120"/>
                      <w:divBdr>
                        <w:top w:val="none" w:sz="0" w:space="0" w:color="auto"/>
                        <w:left w:val="none" w:sz="0" w:space="0" w:color="auto"/>
                        <w:bottom w:val="none" w:sz="0" w:space="0" w:color="auto"/>
                        <w:right w:val="none" w:sz="0" w:space="0" w:color="auto"/>
                      </w:divBdr>
                      <w:divsChild>
                        <w:div w:id="237714643">
                          <w:marLeft w:val="0"/>
                          <w:marRight w:val="0"/>
                          <w:marTop w:val="0"/>
                          <w:marBottom w:val="0"/>
                          <w:divBdr>
                            <w:top w:val="none" w:sz="0" w:space="0" w:color="auto"/>
                            <w:left w:val="none" w:sz="0" w:space="0" w:color="auto"/>
                            <w:bottom w:val="none" w:sz="0" w:space="0" w:color="auto"/>
                            <w:right w:val="none" w:sz="0" w:space="0" w:color="auto"/>
                          </w:divBdr>
                          <w:divsChild>
                            <w:div w:id="1392955">
                              <w:marLeft w:val="0"/>
                              <w:marRight w:val="0"/>
                              <w:marTop w:val="240"/>
                              <w:marBottom w:val="240"/>
                              <w:divBdr>
                                <w:top w:val="none" w:sz="0" w:space="0" w:color="auto"/>
                                <w:left w:val="none" w:sz="0" w:space="0" w:color="auto"/>
                                <w:bottom w:val="none" w:sz="0" w:space="0" w:color="auto"/>
                                <w:right w:val="none" w:sz="0" w:space="0" w:color="auto"/>
                              </w:divBdr>
                            </w:div>
                          </w:divsChild>
                        </w:div>
                        <w:div w:id="2017876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648836">
                  <w:marLeft w:val="0"/>
                  <w:marRight w:val="0"/>
                  <w:marTop w:val="0"/>
                  <w:marBottom w:val="0"/>
                  <w:divBdr>
                    <w:top w:val="none" w:sz="0" w:space="0" w:color="auto"/>
                    <w:left w:val="none" w:sz="0" w:space="0" w:color="auto"/>
                    <w:bottom w:val="none" w:sz="0" w:space="0" w:color="auto"/>
                    <w:right w:val="none" w:sz="0" w:space="0" w:color="auto"/>
                  </w:divBdr>
                  <w:divsChild>
                    <w:div w:id="931937249">
                      <w:marLeft w:val="0"/>
                      <w:marRight w:val="0"/>
                      <w:marTop w:val="120"/>
                      <w:marBottom w:val="120"/>
                      <w:divBdr>
                        <w:top w:val="none" w:sz="0" w:space="0" w:color="auto"/>
                        <w:left w:val="none" w:sz="0" w:space="0" w:color="auto"/>
                        <w:bottom w:val="none" w:sz="0" w:space="0" w:color="auto"/>
                        <w:right w:val="none" w:sz="0" w:space="0" w:color="auto"/>
                      </w:divBdr>
                      <w:divsChild>
                        <w:div w:id="215048973">
                          <w:marLeft w:val="0"/>
                          <w:marRight w:val="0"/>
                          <w:marTop w:val="0"/>
                          <w:marBottom w:val="0"/>
                          <w:divBdr>
                            <w:top w:val="none" w:sz="0" w:space="0" w:color="auto"/>
                            <w:left w:val="none" w:sz="0" w:space="0" w:color="auto"/>
                            <w:bottom w:val="none" w:sz="0" w:space="0" w:color="auto"/>
                            <w:right w:val="none" w:sz="0" w:space="0" w:color="auto"/>
                          </w:divBdr>
                          <w:divsChild>
                            <w:div w:id="608007994">
                              <w:marLeft w:val="0"/>
                              <w:marRight w:val="0"/>
                              <w:marTop w:val="240"/>
                              <w:marBottom w:val="240"/>
                              <w:divBdr>
                                <w:top w:val="none" w:sz="0" w:space="0" w:color="auto"/>
                                <w:left w:val="none" w:sz="0" w:space="0" w:color="auto"/>
                                <w:bottom w:val="none" w:sz="0" w:space="0" w:color="auto"/>
                                <w:right w:val="none" w:sz="0" w:space="0" w:color="auto"/>
                              </w:divBdr>
                            </w:div>
                          </w:divsChild>
                        </w:div>
                        <w:div w:id="44311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29476">
                  <w:marLeft w:val="0"/>
                  <w:marRight w:val="0"/>
                  <w:marTop w:val="0"/>
                  <w:marBottom w:val="0"/>
                  <w:divBdr>
                    <w:top w:val="none" w:sz="0" w:space="0" w:color="auto"/>
                    <w:left w:val="none" w:sz="0" w:space="0" w:color="auto"/>
                    <w:bottom w:val="none" w:sz="0" w:space="0" w:color="auto"/>
                    <w:right w:val="none" w:sz="0" w:space="0" w:color="auto"/>
                  </w:divBdr>
                  <w:divsChild>
                    <w:div w:id="990326641">
                      <w:marLeft w:val="0"/>
                      <w:marRight w:val="0"/>
                      <w:marTop w:val="120"/>
                      <w:marBottom w:val="120"/>
                      <w:divBdr>
                        <w:top w:val="none" w:sz="0" w:space="0" w:color="auto"/>
                        <w:left w:val="none" w:sz="0" w:space="0" w:color="auto"/>
                        <w:bottom w:val="none" w:sz="0" w:space="0" w:color="auto"/>
                        <w:right w:val="none" w:sz="0" w:space="0" w:color="auto"/>
                      </w:divBdr>
                      <w:divsChild>
                        <w:div w:id="414859233">
                          <w:marLeft w:val="0"/>
                          <w:marRight w:val="0"/>
                          <w:marTop w:val="0"/>
                          <w:marBottom w:val="0"/>
                          <w:divBdr>
                            <w:top w:val="none" w:sz="0" w:space="0" w:color="auto"/>
                            <w:left w:val="none" w:sz="0" w:space="0" w:color="auto"/>
                            <w:bottom w:val="none" w:sz="0" w:space="0" w:color="auto"/>
                            <w:right w:val="none" w:sz="0" w:space="0" w:color="auto"/>
                          </w:divBdr>
                          <w:divsChild>
                            <w:div w:id="24647699">
                              <w:marLeft w:val="0"/>
                              <w:marRight w:val="0"/>
                              <w:marTop w:val="240"/>
                              <w:marBottom w:val="240"/>
                              <w:divBdr>
                                <w:top w:val="none" w:sz="0" w:space="0" w:color="auto"/>
                                <w:left w:val="none" w:sz="0" w:space="0" w:color="auto"/>
                                <w:bottom w:val="none" w:sz="0" w:space="0" w:color="auto"/>
                                <w:right w:val="none" w:sz="0" w:space="0" w:color="auto"/>
                              </w:divBdr>
                            </w:div>
                          </w:divsChild>
                        </w:div>
                        <w:div w:id="603345877">
                          <w:marLeft w:val="0"/>
                          <w:marRight w:val="0"/>
                          <w:marTop w:val="0"/>
                          <w:marBottom w:val="0"/>
                          <w:divBdr>
                            <w:top w:val="none" w:sz="0" w:space="0" w:color="auto"/>
                            <w:left w:val="none" w:sz="0" w:space="0" w:color="auto"/>
                            <w:bottom w:val="none" w:sz="0" w:space="0" w:color="auto"/>
                            <w:right w:val="none" w:sz="0" w:space="0" w:color="auto"/>
                          </w:divBdr>
                        </w:div>
                      </w:divsChild>
                    </w:div>
                    <w:div w:id="1490754542">
                      <w:marLeft w:val="0"/>
                      <w:marRight w:val="0"/>
                      <w:marTop w:val="120"/>
                      <w:marBottom w:val="120"/>
                      <w:divBdr>
                        <w:top w:val="none" w:sz="0" w:space="0" w:color="auto"/>
                        <w:left w:val="none" w:sz="0" w:space="0" w:color="auto"/>
                        <w:bottom w:val="none" w:sz="0" w:space="0" w:color="auto"/>
                        <w:right w:val="none" w:sz="0" w:space="0" w:color="auto"/>
                      </w:divBdr>
                      <w:divsChild>
                        <w:div w:id="62066606">
                          <w:marLeft w:val="0"/>
                          <w:marRight w:val="0"/>
                          <w:marTop w:val="0"/>
                          <w:marBottom w:val="0"/>
                          <w:divBdr>
                            <w:top w:val="none" w:sz="0" w:space="0" w:color="auto"/>
                            <w:left w:val="none" w:sz="0" w:space="0" w:color="auto"/>
                            <w:bottom w:val="none" w:sz="0" w:space="0" w:color="auto"/>
                            <w:right w:val="none" w:sz="0" w:space="0" w:color="auto"/>
                          </w:divBdr>
                          <w:divsChild>
                            <w:div w:id="362873749">
                              <w:marLeft w:val="0"/>
                              <w:marRight w:val="0"/>
                              <w:marTop w:val="240"/>
                              <w:marBottom w:val="240"/>
                              <w:divBdr>
                                <w:top w:val="none" w:sz="0" w:space="0" w:color="auto"/>
                                <w:left w:val="none" w:sz="0" w:space="0" w:color="auto"/>
                                <w:bottom w:val="none" w:sz="0" w:space="0" w:color="auto"/>
                                <w:right w:val="none" w:sz="0" w:space="0" w:color="auto"/>
                              </w:divBdr>
                            </w:div>
                          </w:divsChild>
                        </w:div>
                        <w:div w:id="6520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509838">
                  <w:marLeft w:val="0"/>
                  <w:marRight w:val="0"/>
                  <w:marTop w:val="0"/>
                  <w:marBottom w:val="0"/>
                  <w:divBdr>
                    <w:top w:val="none" w:sz="0" w:space="0" w:color="auto"/>
                    <w:left w:val="none" w:sz="0" w:space="0" w:color="auto"/>
                    <w:bottom w:val="none" w:sz="0" w:space="0" w:color="auto"/>
                    <w:right w:val="none" w:sz="0" w:space="0" w:color="auto"/>
                  </w:divBdr>
                  <w:divsChild>
                    <w:div w:id="1311786924">
                      <w:marLeft w:val="0"/>
                      <w:marRight w:val="0"/>
                      <w:marTop w:val="120"/>
                      <w:marBottom w:val="120"/>
                      <w:divBdr>
                        <w:top w:val="none" w:sz="0" w:space="0" w:color="auto"/>
                        <w:left w:val="none" w:sz="0" w:space="0" w:color="auto"/>
                        <w:bottom w:val="none" w:sz="0" w:space="0" w:color="auto"/>
                        <w:right w:val="none" w:sz="0" w:space="0" w:color="auto"/>
                      </w:divBdr>
                      <w:divsChild>
                        <w:div w:id="749157538">
                          <w:marLeft w:val="0"/>
                          <w:marRight w:val="0"/>
                          <w:marTop w:val="0"/>
                          <w:marBottom w:val="0"/>
                          <w:divBdr>
                            <w:top w:val="none" w:sz="0" w:space="0" w:color="auto"/>
                            <w:left w:val="none" w:sz="0" w:space="0" w:color="auto"/>
                            <w:bottom w:val="none" w:sz="0" w:space="0" w:color="auto"/>
                            <w:right w:val="none" w:sz="0" w:space="0" w:color="auto"/>
                          </w:divBdr>
                          <w:divsChild>
                            <w:div w:id="990988167">
                              <w:marLeft w:val="0"/>
                              <w:marRight w:val="0"/>
                              <w:marTop w:val="240"/>
                              <w:marBottom w:val="240"/>
                              <w:divBdr>
                                <w:top w:val="none" w:sz="0" w:space="0" w:color="auto"/>
                                <w:left w:val="none" w:sz="0" w:space="0" w:color="auto"/>
                                <w:bottom w:val="none" w:sz="0" w:space="0" w:color="auto"/>
                                <w:right w:val="none" w:sz="0" w:space="0" w:color="auto"/>
                              </w:divBdr>
                            </w:div>
                          </w:divsChild>
                        </w:div>
                        <w:div w:id="851726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535010">
                  <w:marLeft w:val="0"/>
                  <w:marRight w:val="0"/>
                  <w:marTop w:val="0"/>
                  <w:marBottom w:val="0"/>
                  <w:divBdr>
                    <w:top w:val="none" w:sz="0" w:space="0" w:color="auto"/>
                    <w:left w:val="none" w:sz="0" w:space="0" w:color="auto"/>
                    <w:bottom w:val="none" w:sz="0" w:space="0" w:color="auto"/>
                    <w:right w:val="none" w:sz="0" w:space="0" w:color="auto"/>
                  </w:divBdr>
                  <w:divsChild>
                    <w:div w:id="772169330">
                      <w:marLeft w:val="0"/>
                      <w:marRight w:val="0"/>
                      <w:marTop w:val="120"/>
                      <w:marBottom w:val="120"/>
                      <w:divBdr>
                        <w:top w:val="none" w:sz="0" w:space="0" w:color="auto"/>
                        <w:left w:val="none" w:sz="0" w:space="0" w:color="auto"/>
                        <w:bottom w:val="none" w:sz="0" w:space="0" w:color="auto"/>
                        <w:right w:val="none" w:sz="0" w:space="0" w:color="auto"/>
                      </w:divBdr>
                      <w:divsChild>
                        <w:div w:id="1801681346">
                          <w:marLeft w:val="0"/>
                          <w:marRight w:val="0"/>
                          <w:marTop w:val="0"/>
                          <w:marBottom w:val="0"/>
                          <w:divBdr>
                            <w:top w:val="none" w:sz="0" w:space="0" w:color="auto"/>
                            <w:left w:val="none" w:sz="0" w:space="0" w:color="auto"/>
                            <w:bottom w:val="none" w:sz="0" w:space="0" w:color="auto"/>
                            <w:right w:val="none" w:sz="0" w:space="0" w:color="auto"/>
                          </w:divBdr>
                          <w:divsChild>
                            <w:div w:id="6492034">
                              <w:marLeft w:val="0"/>
                              <w:marRight w:val="0"/>
                              <w:marTop w:val="240"/>
                              <w:marBottom w:val="240"/>
                              <w:divBdr>
                                <w:top w:val="none" w:sz="0" w:space="0" w:color="auto"/>
                                <w:left w:val="none" w:sz="0" w:space="0" w:color="auto"/>
                                <w:bottom w:val="none" w:sz="0" w:space="0" w:color="auto"/>
                                <w:right w:val="none" w:sz="0" w:space="0" w:color="auto"/>
                              </w:divBdr>
                            </w:div>
                          </w:divsChild>
                        </w:div>
                        <w:div w:id="567768110">
                          <w:marLeft w:val="0"/>
                          <w:marRight w:val="0"/>
                          <w:marTop w:val="0"/>
                          <w:marBottom w:val="0"/>
                          <w:divBdr>
                            <w:top w:val="none" w:sz="0" w:space="0" w:color="auto"/>
                            <w:left w:val="none" w:sz="0" w:space="0" w:color="auto"/>
                            <w:bottom w:val="none" w:sz="0" w:space="0" w:color="auto"/>
                            <w:right w:val="none" w:sz="0" w:space="0" w:color="auto"/>
                          </w:divBdr>
                        </w:div>
                      </w:divsChild>
                    </w:div>
                    <w:div w:id="1406537231">
                      <w:marLeft w:val="0"/>
                      <w:marRight w:val="0"/>
                      <w:marTop w:val="120"/>
                      <w:marBottom w:val="120"/>
                      <w:divBdr>
                        <w:top w:val="none" w:sz="0" w:space="0" w:color="auto"/>
                        <w:left w:val="none" w:sz="0" w:space="0" w:color="auto"/>
                        <w:bottom w:val="none" w:sz="0" w:space="0" w:color="auto"/>
                        <w:right w:val="none" w:sz="0" w:space="0" w:color="auto"/>
                      </w:divBdr>
                      <w:divsChild>
                        <w:div w:id="665547357">
                          <w:marLeft w:val="0"/>
                          <w:marRight w:val="0"/>
                          <w:marTop w:val="0"/>
                          <w:marBottom w:val="0"/>
                          <w:divBdr>
                            <w:top w:val="none" w:sz="0" w:space="0" w:color="auto"/>
                            <w:left w:val="none" w:sz="0" w:space="0" w:color="auto"/>
                            <w:bottom w:val="none" w:sz="0" w:space="0" w:color="auto"/>
                            <w:right w:val="none" w:sz="0" w:space="0" w:color="auto"/>
                          </w:divBdr>
                          <w:divsChild>
                            <w:div w:id="1633634443">
                              <w:marLeft w:val="0"/>
                              <w:marRight w:val="0"/>
                              <w:marTop w:val="240"/>
                              <w:marBottom w:val="240"/>
                              <w:divBdr>
                                <w:top w:val="none" w:sz="0" w:space="0" w:color="auto"/>
                                <w:left w:val="none" w:sz="0" w:space="0" w:color="auto"/>
                                <w:bottom w:val="none" w:sz="0" w:space="0" w:color="auto"/>
                                <w:right w:val="none" w:sz="0" w:space="0" w:color="auto"/>
                              </w:divBdr>
                            </w:div>
                          </w:divsChild>
                        </w:div>
                        <w:div w:id="299651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924940">
                  <w:marLeft w:val="0"/>
                  <w:marRight w:val="0"/>
                  <w:marTop w:val="0"/>
                  <w:marBottom w:val="0"/>
                  <w:divBdr>
                    <w:top w:val="none" w:sz="0" w:space="0" w:color="auto"/>
                    <w:left w:val="none" w:sz="0" w:space="0" w:color="auto"/>
                    <w:bottom w:val="none" w:sz="0" w:space="0" w:color="auto"/>
                    <w:right w:val="none" w:sz="0" w:space="0" w:color="auto"/>
                  </w:divBdr>
                </w:div>
                <w:div w:id="290329741">
                  <w:marLeft w:val="0"/>
                  <w:marRight w:val="0"/>
                  <w:marTop w:val="240"/>
                  <w:marBottom w:val="240"/>
                  <w:divBdr>
                    <w:top w:val="none" w:sz="0" w:space="0" w:color="auto"/>
                    <w:left w:val="none" w:sz="0" w:space="0" w:color="auto"/>
                    <w:bottom w:val="none" w:sz="0" w:space="0" w:color="auto"/>
                    <w:right w:val="none" w:sz="0" w:space="0" w:color="auto"/>
                  </w:divBdr>
                  <w:divsChild>
                    <w:div w:id="1743454285">
                      <w:marLeft w:val="103"/>
                      <w:marRight w:val="206"/>
                      <w:marTop w:val="240"/>
                      <w:marBottom w:val="240"/>
                      <w:divBdr>
                        <w:top w:val="none" w:sz="0" w:space="0" w:color="auto"/>
                        <w:left w:val="none" w:sz="0" w:space="0" w:color="auto"/>
                        <w:bottom w:val="none" w:sz="0" w:space="0" w:color="auto"/>
                        <w:right w:val="none" w:sz="0" w:space="0" w:color="auto"/>
                      </w:divBdr>
                      <w:divsChild>
                        <w:div w:id="158718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394468">
                  <w:marLeft w:val="0"/>
                  <w:marRight w:val="0"/>
                  <w:marTop w:val="0"/>
                  <w:marBottom w:val="0"/>
                  <w:divBdr>
                    <w:top w:val="none" w:sz="0" w:space="0" w:color="auto"/>
                    <w:left w:val="none" w:sz="0" w:space="0" w:color="auto"/>
                    <w:bottom w:val="none" w:sz="0" w:space="0" w:color="auto"/>
                    <w:right w:val="none" w:sz="0" w:space="0" w:color="auto"/>
                  </w:divBdr>
                  <w:divsChild>
                    <w:div w:id="1522862702">
                      <w:marLeft w:val="0"/>
                      <w:marRight w:val="0"/>
                      <w:marTop w:val="120"/>
                      <w:marBottom w:val="120"/>
                      <w:divBdr>
                        <w:top w:val="none" w:sz="0" w:space="0" w:color="auto"/>
                        <w:left w:val="none" w:sz="0" w:space="0" w:color="auto"/>
                        <w:bottom w:val="none" w:sz="0" w:space="0" w:color="auto"/>
                        <w:right w:val="none" w:sz="0" w:space="0" w:color="auto"/>
                      </w:divBdr>
                      <w:divsChild>
                        <w:div w:id="1641810447">
                          <w:marLeft w:val="0"/>
                          <w:marRight w:val="0"/>
                          <w:marTop w:val="0"/>
                          <w:marBottom w:val="0"/>
                          <w:divBdr>
                            <w:top w:val="none" w:sz="0" w:space="0" w:color="auto"/>
                            <w:left w:val="none" w:sz="0" w:space="0" w:color="auto"/>
                            <w:bottom w:val="none" w:sz="0" w:space="0" w:color="auto"/>
                            <w:right w:val="none" w:sz="0" w:space="0" w:color="auto"/>
                          </w:divBdr>
                          <w:divsChild>
                            <w:div w:id="202015612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225799782">
                  <w:marLeft w:val="0"/>
                  <w:marRight w:val="0"/>
                  <w:marTop w:val="0"/>
                  <w:marBottom w:val="0"/>
                  <w:divBdr>
                    <w:top w:val="none" w:sz="0" w:space="0" w:color="auto"/>
                    <w:left w:val="none" w:sz="0" w:space="0" w:color="auto"/>
                    <w:bottom w:val="none" w:sz="0" w:space="0" w:color="auto"/>
                    <w:right w:val="none" w:sz="0" w:space="0" w:color="auto"/>
                  </w:divBdr>
                </w:div>
                <w:div w:id="502404283">
                  <w:marLeft w:val="0"/>
                  <w:marRight w:val="0"/>
                  <w:marTop w:val="0"/>
                  <w:marBottom w:val="0"/>
                  <w:divBdr>
                    <w:top w:val="none" w:sz="0" w:space="0" w:color="auto"/>
                    <w:left w:val="none" w:sz="0" w:space="0" w:color="auto"/>
                    <w:bottom w:val="none" w:sz="0" w:space="0" w:color="auto"/>
                    <w:right w:val="none" w:sz="0" w:space="0" w:color="auto"/>
                  </w:divBdr>
                  <w:divsChild>
                    <w:div w:id="1569608100">
                      <w:marLeft w:val="0"/>
                      <w:marRight w:val="0"/>
                      <w:marTop w:val="120"/>
                      <w:marBottom w:val="120"/>
                      <w:divBdr>
                        <w:top w:val="none" w:sz="0" w:space="0" w:color="auto"/>
                        <w:left w:val="none" w:sz="0" w:space="0" w:color="auto"/>
                        <w:bottom w:val="none" w:sz="0" w:space="0" w:color="auto"/>
                        <w:right w:val="none" w:sz="0" w:space="0" w:color="auto"/>
                      </w:divBdr>
                      <w:divsChild>
                        <w:div w:id="1721512293">
                          <w:marLeft w:val="0"/>
                          <w:marRight w:val="0"/>
                          <w:marTop w:val="0"/>
                          <w:marBottom w:val="0"/>
                          <w:divBdr>
                            <w:top w:val="none" w:sz="0" w:space="0" w:color="auto"/>
                            <w:left w:val="none" w:sz="0" w:space="0" w:color="auto"/>
                            <w:bottom w:val="none" w:sz="0" w:space="0" w:color="auto"/>
                            <w:right w:val="none" w:sz="0" w:space="0" w:color="auto"/>
                          </w:divBdr>
                          <w:divsChild>
                            <w:div w:id="1164127471">
                              <w:marLeft w:val="0"/>
                              <w:marRight w:val="0"/>
                              <w:marTop w:val="240"/>
                              <w:marBottom w:val="240"/>
                              <w:divBdr>
                                <w:top w:val="none" w:sz="0" w:space="0" w:color="auto"/>
                                <w:left w:val="none" w:sz="0" w:space="0" w:color="auto"/>
                                <w:bottom w:val="none" w:sz="0" w:space="0" w:color="auto"/>
                                <w:right w:val="none" w:sz="0" w:space="0" w:color="auto"/>
                              </w:divBdr>
                            </w:div>
                          </w:divsChild>
                        </w:div>
                        <w:div w:id="212666381">
                          <w:marLeft w:val="0"/>
                          <w:marRight w:val="0"/>
                          <w:marTop w:val="0"/>
                          <w:marBottom w:val="0"/>
                          <w:divBdr>
                            <w:top w:val="none" w:sz="0" w:space="0" w:color="auto"/>
                            <w:left w:val="none" w:sz="0" w:space="0" w:color="auto"/>
                            <w:bottom w:val="none" w:sz="0" w:space="0" w:color="auto"/>
                            <w:right w:val="none" w:sz="0" w:space="0" w:color="auto"/>
                          </w:divBdr>
                        </w:div>
                      </w:divsChild>
                    </w:div>
                    <w:div w:id="1877572961">
                      <w:marLeft w:val="0"/>
                      <w:marRight w:val="0"/>
                      <w:marTop w:val="120"/>
                      <w:marBottom w:val="120"/>
                      <w:divBdr>
                        <w:top w:val="none" w:sz="0" w:space="0" w:color="auto"/>
                        <w:left w:val="none" w:sz="0" w:space="0" w:color="auto"/>
                        <w:bottom w:val="none" w:sz="0" w:space="0" w:color="auto"/>
                        <w:right w:val="none" w:sz="0" w:space="0" w:color="auto"/>
                      </w:divBdr>
                      <w:divsChild>
                        <w:div w:id="996035522">
                          <w:marLeft w:val="0"/>
                          <w:marRight w:val="0"/>
                          <w:marTop w:val="0"/>
                          <w:marBottom w:val="0"/>
                          <w:divBdr>
                            <w:top w:val="none" w:sz="0" w:space="0" w:color="auto"/>
                            <w:left w:val="none" w:sz="0" w:space="0" w:color="auto"/>
                            <w:bottom w:val="none" w:sz="0" w:space="0" w:color="auto"/>
                            <w:right w:val="none" w:sz="0" w:space="0" w:color="auto"/>
                          </w:divBdr>
                          <w:divsChild>
                            <w:div w:id="832911018">
                              <w:marLeft w:val="0"/>
                              <w:marRight w:val="0"/>
                              <w:marTop w:val="240"/>
                              <w:marBottom w:val="240"/>
                              <w:divBdr>
                                <w:top w:val="none" w:sz="0" w:space="0" w:color="auto"/>
                                <w:left w:val="none" w:sz="0" w:space="0" w:color="auto"/>
                                <w:bottom w:val="none" w:sz="0" w:space="0" w:color="auto"/>
                                <w:right w:val="none" w:sz="0" w:space="0" w:color="auto"/>
                              </w:divBdr>
                            </w:div>
                          </w:divsChild>
                        </w:div>
                        <w:div w:id="181903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279818">
                  <w:marLeft w:val="0"/>
                  <w:marRight w:val="0"/>
                  <w:marTop w:val="0"/>
                  <w:marBottom w:val="0"/>
                  <w:divBdr>
                    <w:top w:val="none" w:sz="0" w:space="0" w:color="auto"/>
                    <w:left w:val="none" w:sz="0" w:space="0" w:color="auto"/>
                    <w:bottom w:val="none" w:sz="0" w:space="0" w:color="auto"/>
                    <w:right w:val="none" w:sz="0" w:space="0" w:color="auto"/>
                  </w:divBdr>
                </w:div>
                <w:div w:id="474374563">
                  <w:marLeft w:val="0"/>
                  <w:marRight w:val="0"/>
                  <w:marTop w:val="0"/>
                  <w:marBottom w:val="0"/>
                  <w:divBdr>
                    <w:top w:val="none" w:sz="0" w:space="0" w:color="auto"/>
                    <w:left w:val="none" w:sz="0" w:space="0" w:color="auto"/>
                    <w:bottom w:val="none" w:sz="0" w:space="0" w:color="auto"/>
                    <w:right w:val="none" w:sz="0" w:space="0" w:color="auto"/>
                  </w:divBdr>
                  <w:divsChild>
                    <w:div w:id="754325725">
                      <w:marLeft w:val="0"/>
                      <w:marRight w:val="0"/>
                      <w:marTop w:val="120"/>
                      <w:marBottom w:val="120"/>
                      <w:divBdr>
                        <w:top w:val="none" w:sz="0" w:space="0" w:color="auto"/>
                        <w:left w:val="none" w:sz="0" w:space="0" w:color="auto"/>
                        <w:bottom w:val="none" w:sz="0" w:space="0" w:color="auto"/>
                        <w:right w:val="none" w:sz="0" w:space="0" w:color="auto"/>
                      </w:divBdr>
                      <w:divsChild>
                        <w:div w:id="1689529459">
                          <w:marLeft w:val="0"/>
                          <w:marRight w:val="0"/>
                          <w:marTop w:val="0"/>
                          <w:marBottom w:val="0"/>
                          <w:divBdr>
                            <w:top w:val="none" w:sz="0" w:space="0" w:color="auto"/>
                            <w:left w:val="none" w:sz="0" w:space="0" w:color="auto"/>
                            <w:bottom w:val="none" w:sz="0" w:space="0" w:color="auto"/>
                            <w:right w:val="none" w:sz="0" w:space="0" w:color="auto"/>
                          </w:divBdr>
                          <w:divsChild>
                            <w:div w:id="1180393461">
                              <w:marLeft w:val="0"/>
                              <w:marRight w:val="0"/>
                              <w:marTop w:val="240"/>
                              <w:marBottom w:val="240"/>
                              <w:divBdr>
                                <w:top w:val="none" w:sz="0" w:space="0" w:color="auto"/>
                                <w:left w:val="none" w:sz="0" w:space="0" w:color="auto"/>
                                <w:bottom w:val="none" w:sz="0" w:space="0" w:color="auto"/>
                                <w:right w:val="none" w:sz="0" w:space="0" w:color="auto"/>
                              </w:divBdr>
                            </w:div>
                          </w:divsChild>
                        </w:div>
                        <w:div w:id="1287198946">
                          <w:marLeft w:val="0"/>
                          <w:marRight w:val="0"/>
                          <w:marTop w:val="0"/>
                          <w:marBottom w:val="0"/>
                          <w:divBdr>
                            <w:top w:val="none" w:sz="0" w:space="0" w:color="auto"/>
                            <w:left w:val="none" w:sz="0" w:space="0" w:color="auto"/>
                            <w:bottom w:val="none" w:sz="0" w:space="0" w:color="auto"/>
                            <w:right w:val="none" w:sz="0" w:space="0" w:color="auto"/>
                          </w:divBdr>
                        </w:div>
                      </w:divsChild>
                    </w:div>
                    <w:div w:id="1780368149">
                      <w:marLeft w:val="0"/>
                      <w:marRight w:val="0"/>
                      <w:marTop w:val="120"/>
                      <w:marBottom w:val="120"/>
                      <w:divBdr>
                        <w:top w:val="none" w:sz="0" w:space="0" w:color="auto"/>
                        <w:left w:val="none" w:sz="0" w:space="0" w:color="auto"/>
                        <w:bottom w:val="none" w:sz="0" w:space="0" w:color="auto"/>
                        <w:right w:val="none" w:sz="0" w:space="0" w:color="auto"/>
                      </w:divBdr>
                      <w:divsChild>
                        <w:div w:id="2034646550">
                          <w:marLeft w:val="0"/>
                          <w:marRight w:val="0"/>
                          <w:marTop w:val="0"/>
                          <w:marBottom w:val="0"/>
                          <w:divBdr>
                            <w:top w:val="none" w:sz="0" w:space="0" w:color="auto"/>
                            <w:left w:val="none" w:sz="0" w:space="0" w:color="auto"/>
                            <w:bottom w:val="none" w:sz="0" w:space="0" w:color="auto"/>
                            <w:right w:val="none" w:sz="0" w:space="0" w:color="auto"/>
                          </w:divBdr>
                          <w:divsChild>
                            <w:div w:id="1960063213">
                              <w:marLeft w:val="0"/>
                              <w:marRight w:val="0"/>
                              <w:marTop w:val="240"/>
                              <w:marBottom w:val="240"/>
                              <w:divBdr>
                                <w:top w:val="none" w:sz="0" w:space="0" w:color="auto"/>
                                <w:left w:val="none" w:sz="0" w:space="0" w:color="auto"/>
                                <w:bottom w:val="none" w:sz="0" w:space="0" w:color="auto"/>
                                <w:right w:val="none" w:sz="0" w:space="0" w:color="auto"/>
                              </w:divBdr>
                            </w:div>
                          </w:divsChild>
                        </w:div>
                        <w:div w:id="1507551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896261">
                  <w:marLeft w:val="0"/>
                  <w:marRight w:val="0"/>
                  <w:marTop w:val="0"/>
                  <w:marBottom w:val="0"/>
                  <w:divBdr>
                    <w:top w:val="none" w:sz="0" w:space="0" w:color="auto"/>
                    <w:left w:val="none" w:sz="0" w:space="0" w:color="auto"/>
                    <w:bottom w:val="none" w:sz="0" w:space="0" w:color="auto"/>
                    <w:right w:val="none" w:sz="0" w:space="0" w:color="auto"/>
                  </w:divBdr>
                  <w:divsChild>
                    <w:div w:id="2124611600">
                      <w:marLeft w:val="0"/>
                      <w:marRight w:val="0"/>
                      <w:marTop w:val="120"/>
                      <w:marBottom w:val="120"/>
                      <w:divBdr>
                        <w:top w:val="none" w:sz="0" w:space="0" w:color="auto"/>
                        <w:left w:val="none" w:sz="0" w:space="0" w:color="auto"/>
                        <w:bottom w:val="none" w:sz="0" w:space="0" w:color="auto"/>
                        <w:right w:val="none" w:sz="0" w:space="0" w:color="auto"/>
                      </w:divBdr>
                      <w:divsChild>
                        <w:div w:id="586618336">
                          <w:marLeft w:val="0"/>
                          <w:marRight w:val="0"/>
                          <w:marTop w:val="0"/>
                          <w:marBottom w:val="0"/>
                          <w:divBdr>
                            <w:top w:val="none" w:sz="0" w:space="0" w:color="auto"/>
                            <w:left w:val="none" w:sz="0" w:space="0" w:color="auto"/>
                            <w:bottom w:val="none" w:sz="0" w:space="0" w:color="auto"/>
                            <w:right w:val="none" w:sz="0" w:space="0" w:color="auto"/>
                          </w:divBdr>
                          <w:divsChild>
                            <w:div w:id="1181774483">
                              <w:marLeft w:val="0"/>
                              <w:marRight w:val="0"/>
                              <w:marTop w:val="240"/>
                              <w:marBottom w:val="240"/>
                              <w:divBdr>
                                <w:top w:val="none" w:sz="0" w:space="0" w:color="auto"/>
                                <w:left w:val="none" w:sz="0" w:space="0" w:color="auto"/>
                                <w:bottom w:val="none" w:sz="0" w:space="0" w:color="auto"/>
                                <w:right w:val="none" w:sz="0" w:space="0" w:color="auto"/>
                              </w:divBdr>
                            </w:div>
                          </w:divsChild>
                        </w:div>
                        <w:div w:id="908463919">
                          <w:marLeft w:val="0"/>
                          <w:marRight w:val="0"/>
                          <w:marTop w:val="0"/>
                          <w:marBottom w:val="0"/>
                          <w:divBdr>
                            <w:top w:val="none" w:sz="0" w:space="0" w:color="auto"/>
                            <w:left w:val="none" w:sz="0" w:space="0" w:color="auto"/>
                            <w:bottom w:val="none" w:sz="0" w:space="0" w:color="auto"/>
                            <w:right w:val="none" w:sz="0" w:space="0" w:color="auto"/>
                          </w:divBdr>
                        </w:div>
                      </w:divsChild>
                    </w:div>
                    <w:div w:id="1912346422">
                      <w:marLeft w:val="0"/>
                      <w:marRight w:val="0"/>
                      <w:marTop w:val="120"/>
                      <w:marBottom w:val="120"/>
                      <w:divBdr>
                        <w:top w:val="none" w:sz="0" w:space="0" w:color="auto"/>
                        <w:left w:val="none" w:sz="0" w:space="0" w:color="auto"/>
                        <w:bottom w:val="none" w:sz="0" w:space="0" w:color="auto"/>
                        <w:right w:val="none" w:sz="0" w:space="0" w:color="auto"/>
                      </w:divBdr>
                      <w:divsChild>
                        <w:div w:id="625819630">
                          <w:marLeft w:val="0"/>
                          <w:marRight w:val="0"/>
                          <w:marTop w:val="0"/>
                          <w:marBottom w:val="0"/>
                          <w:divBdr>
                            <w:top w:val="none" w:sz="0" w:space="0" w:color="auto"/>
                            <w:left w:val="none" w:sz="0" w:space="0" w:color="auto"/>
                            <w:bottom w:val="none" w:sz="0" w:space="0" w:color="auto"/>
                            <w:right w:val="none" w:sz="0" w:space="0" w:color="auto"/>
                          </w:divBdr>
                          <w:divsChild>
                            <w:div w:id="1661076458">
                              <w:marLeft w:val="0"/>
                              <w:marRight w:val="0"/>
                              <w:marTop w:val="240"/>
                              <w:marBottom w:val="240"/>
                              <w:divBdr>
                                <w:top w:val="none" w:sz="0" w:space="0" w:color="auto"/>
                                <w:left w:val="none" w:sz="0" w:space="0" w:color="auto"/>
                                <w:bottom w:val="none" w:sz="0" w:space="0" w:color="auto"/>
                                <w:right w:val="none" w:sz="0" w:space="0" w:color="auto"/>
                              </w:divBdr>
                            </w:div>
                          </w:divsChild>
                        </w:div>
                        <w:div w:id="589462953">
                          <w:marLeft w:val="0"/>
                          <w:marRight w:val="0"/>
                          <w:marTop w:val="0"/>
                          <w:marBottom w:val="0"/>
                          <w:divBdr>
                            <w:top w:val="none" w:sz="0" w:space="0" w:color="auto"/>
                            <w:left w:val="none" w:sz="0" w:space="0" w:color="auto"/>
                            <w:bottom w:val="none" w:sz="0" w:space="0" w:color="auto"/>
                            <w:right w:val="none" w:sz="0" w:space="0" w:color="auto"/>
                          </w:divBdr>
                        </w:div>
                      </w:divsChild>
                    </w:div>
                    <w:div w:id="1033924817">
                      <w:marLeft w:val="0"/>
                      <w:marRight w:val="0"/>
                      <w:marTop w:val="120"/>
                      <w:marBottom w:val="120"/>
                      <w:divBdr>
                        <w:top w:val="none" w:sz="0" w:space="0" w:color="auto"/>
                        <w:left w:val="none" w:sz="0" w:space="0" w:color="auto"/>
                        <w:bottom w:val="none" w:sz="0" w:space="0" w:color="auto"/>
                        <w:right w:val="none" w:sz="0" w:space="0" w:color="auto"/>
                      </w:divBdr>
                      <w:divsChild>
                        <w:div w:id="1618442054">
                          <w:marLeft w:val="0"/>
                          <w:marRight w:val="0"/>
                          <w:marTop w:val="0"/>
                          <w:marBottom w:val="0"/>
                          <w:divBdr>
                            <w:top w:val="none" w:sz="0" w:space="0" w:color="auto"/>
                            <w:left w:val="none" w:sz="0" w:space="0" w:color="auto"/>
                            <w:bottom w:val="none" w:sz="0" w:space="0" w:color="auto"/>
                            <w:right w:val="none" w:sz="0" w:space="0" w:color="auto"/>
                          </w:divBdr>
                          <w:divsChild>
                            <w:div w:id="1886871828">
                              <w:marLeft w:val="0"/>
                              <w:marRight w:val="0"/>
                              <w:marTop w:val="240"/>
                              <w:marBottom w:val="240"/>
                              <w:divBdr>
                                <w:top w:val="none" w:sz="0" w:space="0" w:color="auto"/>
                                <w:left w:val="none" w:sz="0" w:space="0" w:color="auto"/>
                                <w:bottom w:val="none" w:sz="0" w:space="0" w:color="auto"/>
                                <w:right w:val="none" w:sz="0" w:space="0" w:color="auto"/>
                              </w:divBdr>
                            </w:div>
                          </w:divsChild>
                        </w:div>
                        <w:div w:id="1450464964">
                          <w:marLeft w:val="0"/>
                          <w:marRight w:val="0"/>
                          <w:marTop w:val="0"/>
                          <w:marBottom w:val="0"/>
                          <w:divBdr>
                            <w:top w:val="none" w:sz="0" w:space="0" w:color="auto"/>
                            <w:left w:val="none" w:sz="0" w:space="0" w:color="auto"/>
                            <w:bottom w:val="none" w:sz="0" w:space="0" w:color="auto"/>
                            <w:right w:val="none" w:sz="0" w:space="0" w:color="auto"/>
                          </w:divBdr>
                        </w:div>
                      </w:divsChild>
                    </w:div>
                    <w:div w:id="1666319056">
                      <w:marLeft w:val="0"/>
                      <w:marRight w:val="0"/>
                      <w:marTop w:val="120"/>
                      <w:marBottom w:val="120"/>
                      <w:divBdr>
                        <w:top w:val="none" w:sz="0" w:space="0" w:color="auto"/>
                        <w:left w:val="none" w:sz="0" w:space="0" w:color="auto"/>
                        <w:bottom w:val="none" w:sz="0" w:space="0" w:color="auto"/>
                        <w:right w:val="none" w:sz="0" w:space="0" w:color="auto"/>
                      </w:divBdr>
                      <w:divsChild>
                        <w:div w:id="1312979980">
                          <w:marLeft w:val="0"/>
                          <w:marRight w:val="0"/>
                          <w:marTop w:val="0"/>
                          <w:marBottom w:val="0"/>
                          <w:divBdr>
                            <w:top w:val="none" w:sz="0" w:space="0" w:color="auto"/>
                            <w:left w:val="none" w:sz="0" w:space="0" w:color="auto"/>
                            <w:bottom w:val="none" w:sz="0" w:space="0" w:color="auto"/>
                            <w:right w:val="none" w:sz="0" w:space="0" w:color="auto"/>
                          </w:divBdr>
                          <w:divsChild>
                            <w:div w:id="786000198">
                              <w:marLeft w:val="0"/>
                              <w:marRight w:val="0"/>
                              <w:marTop w:val="240"/>
                              <w:marBottom w:val="240"/>
                              <w:divBdr>
                                <w:top w:val="none" w:sz="0" w:space="0" w:color="auto"/>
                                <w:left w:val="none" w:sz="0" w:space="0" w:color="auto"/>
                                <w:bottom w:val="none" w:sz="0" w:space="0" w:color="auto"/>
                                <w:right w:val="none" w:sz="0" w:space="0" w:color="auto"/>
                              </w:divBdr>
                            </w:div>
                          </w:divsChild>
                        </w:div>
                        <w:div w:id="271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521692">
                  <w:marLeft w:val="0"/>
                  <w:marRight w:val="0"/>
                  <w:marTop w:val="0"/>
                  <w:marBottom w:val="0"/>
                  <w:divBdr>
                    <w:top w:val="none" w:sz="0" w:space="0" w:color="auto"/>
                    <w:left w:val="none" w:sz="0" w:space="0" w:color="auto"/>
                    <w:bottom w:val="none" w:sz="0" w:space="0" w:color="auto"/>
                    <w:right w:val="none" w:sz="0" w:space="0" w:color="auto"/>
                  </w:divBdr>
                </w:div>
                <w:div w:id="1345354302">
                  <w:marLeft w:val="0"/>
                  <w:marRight w:val="0"/>
                  <w:marTop w:val="0"/>
                  <w:marBottom w:val="0"/>
                  <w:divBdr>
                    <w:top w:val="none" w:sz="0" w:space="0" w:color="auto"/>
                    <w:left w:val="none" w:sz="0" w:space="0" w:color="auto"/>
                    <w:bottom w:val="none" w:sz="0" w:space="0" w:color="auto"/>
                    <w:right w:val="none" w:sz="0" w:space="0" w:color="auto"/>
                  </w:divBdr>
                  <w:divsChild>
                    <w:div w:id="2096974145">
                      <w:marLeft w:val="0"/>
                      <w:marRight w:val="0"/>
                      <w:marTop w:val="120"/>
                      <w:marBottom w:val="120"/>
                      <w:divBdr>
                        <w:top w:val="none" w:sz="0" w:space="0" w:color="auto"/>
                        <w:left w:val="none" w:sz="0" w:space="0" w:color="auto"/>
                        <w:bottom w:val="none" w:sz="0" w:space="0" w:color="auto"/>
                        <w:right w:val="none" w:sz="0" w:space="0" w:color="auto"/>
                      </w:divBdr>
                      <w:divsChild>
                        <w:div w:id="2119325977">
                          <w:marLeft w:val="0"/>
                          <w:marRight w:val="0"/>
                          <w:marTop w:val="0"/>
                          <w:marBottom w:val="0"/>
                          <w:divBdr>
                            <w:top w:val="none" w:sz="0" w:space="0" w:color="auto"/>
                            <w:left w:val="none" w:sz="0" w:space="0" w:color="auto"/>
                            <w:bottom w:val="none" w:sz="0" w:space="0" w:color="auto"/>
                            <w:right w:val="none" w:sz="0" w:space="0" w:color="auto"/>
                          </w:divBdr>
                          <w:divsChild>
                            <w:div w:id="1841314880">
                              <w:marLeft w:val="0"/>
                              <w:marRight w:val="0"/>
                              <w:marTop w:val="240"/>
                              <w:marBottom w:val="240"/>
                              <w:divBdr>
                                <w:top w:val="none" w:sz="0" w:space="0" w:color="auto"/>
                                <w:left w:val="none" w:sz="0" w:space="0" w:color="auto"/>
                                <w:bottom w:val="none" w:sz="0" w:space="0" w:color="auto"/>
                                <w:right w:val="none" w:sz="0" w:space="0" w:color="auto"/>
                              </w:divBdr>
                            </w:div>
                          </w:divsChild>
                        </w:div>
                        <w:div w:id="72746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342790">
                  <w:marLeft w:val="0"/>
                  <w:marRight w:val="0"/>
                  <w:marTop w:val="0"/>
                  <w:marBottom w:val="0"/>
                  <w:divBdr>
                    <w:top w:val="none" w:sz="0" w:space="0" w:color="auto"/>
                    <w:left w:val="none" w:sz="0" w:space="0" w:color="auto"/>
                    <w:bottom w:val="none" w:sz="0" w:space="0" w:color="auto"/>
                    <w:right w:val="none" w:sz="0" w:space="0" w:color="auto"/>
                  </w:divBdr>
                </w:div>
                <w:div w:id="155264597">
                  <w:marLeft w:val="0"/>
                  <w:marRight w:val="0"/>
                  <w:marTop w:val="0"/>
                  <w:marBottom w:val="0"/>
                  <w:divBdr>
                    <w:top w:val="none" w:sz="0" w:space="0" w:color="auto"/>
                    <w:left w:val="none" w:sz="0" w:space="0" w:color="auto"/>
                    <w:bottom w:val="none" w:sz="0" w:space="0" w:color="auto"/>
                    <w:right w:val="none" w:sz="0" w:space="0" w:color="auto"/>
                  </w:divBdr>
                </w:div>
                <w:div w:id="428355984">
                  <w:marLeft w:val="0"/>
                  <w:marRight w:val="0"/>
                  <w:marTop w:val="0"/>
                  <w:marBottom w:val="0"/>
                  <w:divBdr>
                    <w:top w:val="none" w:sz="0" w:space="0" w:color="auto"/>
                    <w:left w:val="none" w:sz="0" w:space="0" w:color="auto"/>
                    <w:bottom w:val="none" w:sz="0" w:space="0" w:color="auto"/>
                    <w:right w:val="none" w:sz="0" w:space="0" w:color="auto"/>
                  </w:divBdr>
                  <w:divsChild>
                    <w:div w:id="372735998">
                      <w:marLeft w:val="0"/>
                      <w:marRight w:val="0"/>
                      <w:marTop w:val="120"/>
                      <w:marBottom w:val="120"/>
                      <w:divBdr>
                        <w:top w:val="none" w:sz="0" w:space="0" w:color="auto"/>
                        <w:left w:val="none" w:sz="0" w:space="0" w:color="auto"/>
                        <w:bottom w:val="none" w:sz="0" w:space="0" w:color="auto"/>
                        <w:right w:val="none" w:sz="0" w:space="0" w:color="auto"/>
                      </w:divBdr>
                      <w:divsChild>
                        <w:div w:id="659619947">
                          <w:marLeft w:val="0"/>
                          <w:marRight w:val="0"/>
                          <w:marTop w:val="0"/>
                          <w:marBottom w:val="0"/>
                          <w:divBdr>
                            <w:top w:val="none" w:sz="0" w:space="0" w:color="auto"/>
                            <w:left w:val="none" w:sz="0" w:space="0" w:color="auto"/>
                            <w:bottom w:val="none" w:sz="0" w:space="0" w:color="auto"/>
                            <w:right w:val="none" w:sz="0" w:space="0" w:color="auto"/>
                          </w:divBdr>
                          <w:divsChild>
                            <w:div w:id="354231139">
                              <w:marLeft w:val="0"/>
                              <w:marRight w:val="0"/>
                              <w:marTop w:val="240"/>
                              <w:marBottom w:val="240"/>
                              <w:divBdr>
                                <w:top w:val="none" w:sz="0" w:space="0" w:color="auto"/>
                                <w:left w:val="none" w:sz="0" w:space="0" w:color="auto"/>
                                <w:bottom w:val="none" w:sz="0" w:space="0" w:color="auto"/>
                                <w:right w:val="none" w:sz="0" w:space="0" w:color="auto"/>
                              </w:divBdr>
                            </w:div>
                          </w:divsChild>
                        </w:div>
                        <w:div w:id="544023505">
                          <w:marLeft w:val="0"/>
                          <w:marRight w:val="0"/>
                          <w:marTop w:val="0"/>
                          <w:marBottom w:val="0"/>
                          <w:divBdr>
                            <w:top w:val="none" w:sz="0" w:space="0" w:color="auto"/>
                            <w:left w:val="none" w:sz="0" w:space="0" w:color="auto"/>
                            <w:bottom w:val="none" w:sz="0" w:space="0" w:color="auto"/>
                            <w:right w:val="none" w:sz="0" w:space="0" w:color="auto"/>
                          </w:divBdr>
                        </w:div>
                      </w:divsChild>
                    </w:div>
                    <w:div w:id="1455909476">
                      <w:marLeft w:val="0"/>
                      <w:marRight w:val="0"/>
                      <w:marTop w:val="120"/>
                      <w:marBottom w:val="120"/>
                      <w:divBdr>
                        <w:top w:val="none" w:sz="0" w:space="0" w:color="auto"/>
                        <w:left w:val="none" w:sz="0" w:space="0" w:color="auto"/>
                        <w:bottom w:val="none" w:sz="0" w:space="0" w:color="auto"/>
                        <w:right w:val="none" w:sz="0" w:space="0" w:color="auto"/>
                      </w:divBdr>
                      <w:divsChild>
                        <w:div w:id="1153719396">
                          <w:marLeft w:val="0"/>
                          <w:marRight w:val="0"/>
                          <w:marTop w:val="0"/>
                          <w:marBottom w:val="0"/>
                          <w:divBdr>
                            <w:top w:val="none" w:sz="0" w:space="0" w:color="auto"/>
                            <w:left w:val="none" w:sz="0" w:space="0" w:color="auto"/>
                            <w:bottom w:val="none" w:sz="0" w:space="0" w:color="auto"/>
                            <w:right w:val="none" w:sz="0" w:space="0" w:color="auto"/>
                          </w:divBdr>
                          <w:divsChild>
                            <w:div w:id="1725182611">
                              <w:marLeft w:val="0"/>
                              <w:marRight w:val="0"/>
                              <w:marTop w:val="240"/>
                              <w:marBottom w:val="240"/>
                              <w:divBdr>
                                <w:top w:val="none" w:sz="0" w:space="0" w:color="auto"/>
                                <w:left w:val="none" w:sz="0" w:space="0" w:color="auto"/>
                                <w:bottom w:val="none" w:sz="0" w:space="0" w:color="auto"/>
                                <w:right w:val="none" w:sz="0" w:space="0" w:color="auto"/>
                              </w:divBdr>
                            </w:div>
                          </w:divsChild>
                        </w:div>
                        <w:div w:id="488375602">
                          <w:marLeft w:val="0"/>
                          <w:marRight w:val="0"/>
                          <w:marTop w:val="0"/>
                          <w:marBottom w:val="0"/>
                          <w:divBdr>
                            <w:top w:val="none" w:sz="0" w:space="0" w:color="auto"/>
                            <w:left w:val="none" w:sz="0" w:space="0" w:color="auto"/>
                            <w:bottom w:val="none" w:sz="0" w:space="0" w:color="auto"/>
                            <w:right w:val="none" w:sz="0" w:space="0" w:color="auto"/>
                          </w:divBdr>
                        </w:div>
                      </w:divsChild>
                    </w:div>
                    <w:div w:id="150609668">
                      <w:marLeft w:val="0"/>
                      <w:marRight w:val="0"/>
                      <w:marTop w:val="120"/>
                      <w:marBottom w:val="120"/>
                      <w:divBdr>
                        <w:top w:val="none" w:sz="0" w:space="0" w:color="auto"/>
                        <w:left w:val="none" w:sz="0" w:space="0" w:color="auto"/>
                        <w:bottom w:val="none" w:sz="0" w:space="0" w:color="auto"/>
                        <w:right w:val="none" w:sz="0" w:space="0" w:color="auto"/>
                      </w:divBdr>
                      <w:divsChild>
                        <w:div w:id="738090466">
                          <w:marLeft w:val="0"/>
                          <w:marRight w:val="0"/>
                          <w:marTop w:val="0"/>
                          <w:marBottom w:val="0"/>
                          <w:divBdr>
                            <w:top w:val="none" w:sz="0" w:space="0" w:color="auto"/>
                            <w:left w:val="none" w:sz="0" w:space="0" w:color="auto"/>
                            <w:bottom w:val="none" w:sz="0" w:space="0" w:color="auto"/>
                            <w:right w:val="none" w:sz="0" w:space="0" w:color="auto"/>
                          </w:divBdr>
                          <w:divsChild>
                            <w:div w:id="557088167">
                              <w:marLeft w:val="0"/>
                              <w:marRight w:val="0"/>
                              <w:marTop w:val="240"/>
                              <w:marBottom w:val="240"/>
                              <w:divBdr>
                                <w:top w:val="none" w:sz="0" w:space="0" w:color="auto"/>
                                <w:left w:val="none" w:sz="0" w:space="0" w:color="auto"/>
                                <w:bottom w:val="none" w:sz="0" w:space="0" w:color="auto"/>
                                <w:right w:val="none" w:sz="0" w:space="0" w:color="auto"/>
                              </w:divBdr>
                            </w:div>
                          </w:divsChild>
                        </w:div>
                        <w:div w:id="1161193172">
                          <w:marLeft w:val="0"/>
                          <w:marRight w:val="0"/>
                          <w:marTop w:val="0"/>
                          <w:marBottom w:val="0"/>
                          <w:divBdr>
                            <w:top w:val="none" w:sz="0" w:space="0" w:color="auto"/>
                            <w:left w:val="none" w:sz="0" w:space="0" w:color="auto"/>
                            <w:bottom w:val="none" w:sz="0" w:space="0" w:color="auto"/>
                            <w:right w:val="none" w:sz="0" w:space="0" w:color="auto"/>
                          </w:divBdr>
                        </w:div>
                      </w:divsChild>
                    </w:div>
                    <w:div w:id="707725603">
                      <w:marLeft w:val="0"/>
                      <w:marRight w:val="0"/>
                      <w:marTop w:val="120"/>
                      <w:marBottom w:val="120"/>
                      <w:divBdr>
                        <w:top w:val="none" w:sz="0" w:space="0" w:color="auto"/>
                        <w:left w:val="none" w:sz="0" w:space="0" w:color="auto"/>
                        <w:bottom w:val="none" w:sz="0" w:space="0" w:color="auto"/>
                        <w:right w:val="none" w:sz="0" w:space="0" w:color="auto"/>
                      </w:divBdr>
                      <w:divsChild>
                        <w:div w:id="1393851250">
                          <w:marLeft w:val="0"/>
                          <w:marRight w:val="0"/>
                          <w:marTop w:val="0"/>
                          <w:marBottom w:val="0"/>
                          <w:divBdr>
                            <w:top w:val="none" w:sz="0" w:space="0" w:color="auto"/>
                            <w:left w:val="none" w:sz="0" w:space="0" w:color="auto"/>
                            <w:bottom w:val="none" w:sz="0" w:space="0" w:color="auto"/>
                            <w:right w:val="none" w:sz="0" w:space="0" w:color="auto"/>
                          </w:divBdr>
                          <w:divsChild>
                            <w:div w:id="1641301813">
                              <w:marLeft w:val="0"/>
                              <w:marRight w:val="0"/>
                              <w:marTop w:val="240"/>
                              <w:marBottom w:val="240"/>
                              <w:divBdr>
                                <w:top w:val="none" w:sz="0" w:space="0" w:color="auto"/>
                                <w:left w:val="none" w:sz="0" w:space="0" w:color="auto"/>
                                <w:bottom w:val="none" w:sz="0" w:space="0" w:color="auto"/>
                                <w:right w:val="none" w:sz="0" w:space="0" w:color="auto"/>
                              </w:divBdr>
                            </w:div>
                          </w:divsChild>
                        </w:div>
                        <w:div w:id="33039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000990">
                  <w:marLeft w:val="0"/>
                  <w:marRight w:val="0"/>
                  <w:marTop w:val="0"/>
                  <w:marBottom w:val="0"/>
                  <w:divBdr>
                    <w:top w:val="none" w:sz="0" w:space="0" w:color="auto"/>
                    <w:left w:val="none" w:sz="0" w:space="0" w:color="auto"/>
                    <w:bottom w:val="none" w:sz="0" w:space="0" w:color="auto"/>
                    <w:right w:val="none" w:sz="0" w:space="0" w:color="auto"/>
                  </w:divBdr>
                </w:div>
                <w:div w:id="1433821973">
                  <w:marLeft w:val="0"/>
                  <w:marRight w:val="0"/>
                  <w:marTop w:val="0"/>
                  <w:marBottom w:val="0"/>
                  <w:divBdr>
                    <w:top w:val="none" w:sz="0" w:space="0" w:color="auto"/>
                    <w:left w:val="none" w:sz="0" w:space="0" w:color="auto"/>
                    <w:bottom w:val="none" w:sz="0" w:space="0" w:color="auto"/>
                    <w:right w:val="none" w:sz="0" w:space="0" w:color="auto"/>
                  </w:divBdr>
                </w:div>
                <w:div w:id="1998027313">
                  <w:marLeft w:val="0"/>
                  <w:marRight w:val="0"/>
                  <w:marTop w:val="0"/>
                  <w:marBottom w:val="0"/>
                  <w:divBdr>
                    <w:top w:val="none" w:sz="0" w:space="0" w:color="auto"/>
                    <w:left w:val="none" w:sz="0" w:space="0" w:color="auto"/>
                    <w:bottom w:val="none" w:sz="0" w:space="0" w:color="auto"/>
                    <w:right w:val="none" w:sz="0" w:space="0" w:color="auto"/>
                  </w:divBdr>
                  <w:divsChild>
                    <w:div w:id="1713185374">
                      <w:marLeft w:val="0"/>
                      <w:marRight w:val="0"/>
                      <w:marTop w:val="120"/>
                      <w:marBottom w:val="120"/>
                      <w:divBdr>
                        <w:top w:val="none" w:sz="0" w:space="0" w:color="auto"/>
                        <w:left w:val="none" w:sz="0" w:space="0" w:color="auto"/>
                        <w:bottom w:val="none" w:sz="0" w:space="0" w:color="auto"/>
                        <w:right w:val="none" w:sz="0" w:space="0" w:color="auto"/>
                      </w:divBdr>
                      <w:divsChild>
                        <w:div w:id="1110393932">
                          <w:marLeft w:val="0"/>
                          <w:marRight w:val="0"/>
                          <w:marTop w:val="0"/>
                          <w:marBottom w:val="0"/>
                          <w:divBdr>
                            <w:top w:val="none" w:sz="0" w:space="0" w:color="auto"/>
                            <w:left w:val="none" w:sz="0" w:space="0" w:color="auto"/>
                            <w:bottom w:val="none" w:sz="0" w:space="0" w:color="auto"/>
                            <w:right w:val="none" w:sz="0" w:space="0" w:color="auto"/>
                          </w:divBdr>
                          <w:divsChild>
                            <w:div w:id="1354183765">
                              <w:marLeft w:val="0"/>
                              <w:marRight w:val="0"/>
                              <w:marTop w:val="240"/>
                              <w:marBottom w:val="240"/>
                              <w:divBdr>
                                <w:top w:val="none" w:sz="0" w:space="0" w:color="auto"/>
                                <w:left w:val="none" w:sz="0" w:space="0" w:color="auto"/>
                                <w:bottom w:val="none" w:sz="0" w:space="0" w:color="auto"/>
                                <w:right w:val="none" w:sz="0" w:space="0" w:color="auto"/>
                              </w:divBdr>
                            </w:div>
                          </w:divsChild>
                        </w:div>
                        <w:div w:id="957370877">
                          <w:marLeft w:val="0"/>
                          <w:marRight w:val="0"/>
                          <w:marTop w:val="0"/>
                          <w:marBottom w:val="0"/>
                          <w:divBdr>
                            <w:top w:val="none" w:sz="0" w:space="0" w:color="auto"/>
                            <w:left w:val="none" w:sz="0" w:space="0" w:color="auto"/>
                            <w:bottom w:val="none" w:sz="0" w:space="0" w:color="auto"/>
                            <w:right w:val="none" w:sz="0" w:space="0" w:color="auto"/>
                          </w:divBdr>
                        </w:div>
                      </w:divsChild>
                    </w:div>
                    <w:div w:id="836462749">
                      <w:marLeft w:val="0"/>
                      <w:marRight w:val="0"/>
                      <w:marTop w:val="120"/>
                      <w:marBottom w:val="120"/>
                      <w:divBdr>
                        <w:top w:val="none" w:sz="0" w:space="0" w:color="auto"/>
                        <w:left w:val="none" w:sz="0" w:space="0" w:color="auto"/>
                        <w:bottom w:val="none" w:sz="0" w:space="0" w:color="auto"/>
                        <w:right w:val="none" w:sz="0" w:space="0" w:color="auto"/>
                      </w:divBdr>
                      <w:divsChild>
                        <w:div w:id="909269876">
                          <w:marLeft w:val="0"/>
                          <w:marRight w:val="0"/>
                          <w:marTop w:val="0"/>
                          <w:marBottom w:val="0"/>
                          <w:divBdr>
                            <w:top w:val="none" w:sz="0" w:space="0" w:color="auto"/>
                            <w:left w:val="none" w:sz="0" w:space="0" w:color="auto"/>
                            <w:bottom w:val="none" w:sz="0" w:space="0" w:color="auto"/>
                            <w:right w:val="none" w:sz="0" w:space="0" w:color="auto"/>
                          </w:divBdr>
                          <w:divsChild>
                            <w:div w:id="240527658">
                              <w:marLeft w:val="0"/>
                              <w:marRight w:val="0"/>
                              <w:marTop w:val="240"/>
                              <w:marBottom w:val="240"/>
                              <w:divBdr>
                                <w:top w:val="none" w:sz="0" w:space="0" w:color="auto"/>
                                <w:left w:val="none" w:sz="0" w:space="0" w:color="auto"/>
                                <w:bottom w:val="none" w:sz="0" w:space="0" w:color="auto"/>
                                <w:right w:val="none" w:sz="0" w:space="0" w:color="auto"/>
                              </w:divBdr>
                            </w:div>
                          </w:divsChild>
                        </w:div>
                        <w:div w:id="518009497">
                          <w:marLeft w:val="0"/>
                          <w:marRight w:val="0"/>
                          <w:marTop w:val="0"/>
                          <w:marBottom w:val="0"/>
                          <w:divBdr>
                            <w:top w:val="none" w:sz="0" w:space="0" w:color="auto"/>
                            <w:left w:val="none" w:sz="0" w:space="0" w:color="auto"/>
                            <w:bottom w:val="none" w:sz="0" w:space="0" w:color="auto"/>
                            <w:right w:val="none" w:sz="0" w:space="0" w:color="auto"/>
                          </w:divBdr>
                        </w:div>
                      </w:divsChild>
                    </w:div>
                    <w:div w:id="1039164733">
                      <w:marLeft w:val="0"/>
                      <w:marRight w:val="0"/>
                      <w:marTop w:val="120"/>
                      <w:marBottom w:val="120"/>
                      <w:divBdr>
                        <w:top w:val="none" w:sz="0" w:space="0" w:color="auto"/>
                        <w:left w:val="none" w:sz="0" w:space="0" w:color="auto"/>
                        <w:bottom w:val="none" w:sz="0" w:space="0" w:color="auto"/>
                        <w:right w:val="none" w:sz="0" w:space="0" w:color="auto"/>
                      </w:divBdr>
                      <w:divsChild>
                        <w:div w:id="328362698">
                          <w:marLeft w:val="0"/>
                          <w:marRight w:val="0"/>
                          <w:marTop w:val="0"/>
                          <w:marBottom w:val="0"/>
                          <w:divBdr>
                            <w:top w:val="none" w:sz="0" w:space="0" w:color="auto"/>
                            <w:left w:val="none" w:sz="0" w:space="0" w:color="auto"/>
                            <w:bottom w:val="none" w:sz="0" w:space="0" w:color="auto"/>
                            <w:right w:val="none" w:sz="0" w:space="0" w:color="auto"/>
                          </w:divBdr>
                          <w:divsChild>
                            <w:div w:id="1761218315">
                              <w:marLeft w:val="0"/>
                              <w:marRight w:val="0"/>
                              <w:marTop w:val="240"/>
                              <w:marBottom w:val="240"/>
                              <w:divBdr>
                                <w:top w:val="none" w:sz="0" w:space="0" w:color="auto"/>
                                <w:left w:val="none" w:sz="0" w:space="0" w:color="auto"/>
                                <w:bottom w:val="none" w:sz="0" w:space="0" w:color="auto"/>
                                <w:right w:val="none" w:sz="0" w:space="0" w:color="auto"/>
                              </w:divBdr>
                            </w:div>
                          </w:divsChild>
                        </w:div>
                        <w:div w:id="2096395614">
                          <w:marLeft w:val="0"/>
                          <w:marRight w:val="0"/>
                          <w:marTop w:val="0"/>
                          <w:marBottom w:val="0"/>
                          <w:divBdr>
                            <w:top w:val="none" w:sz="0" w:space="0" w:color="auto"/>
                            <w:left w:val="none" w:sz="0" w:space="0" w:color="auto"/>
                            <w:bottom w:val="none" w:sz="0" w:space="0" w:color="auto"/>
                            <w:right w:val="none" w:sz="0" w:space="0" w:color="auto"/>
                          </w:divBdr>
                        </w:div>
                      </w:divsChild>
                    </w:div>
                    <w:div w:id="246118585">
                      <w:marLeft w:val="0"/>
                      <w:marRight w:val="0"/>
                      <w:marTop w:val="120"/>
                      <w:marBottom w:val="120"/>
                      <w:divBdr>
                        <w:top w:val="none" w:sz="0" w:space="0" w:color="auto"/>
                        <w:left w:val="none" w:sz="0" w:space="0" w:color="auto"/>
                        <w:bottom w:val="none" w:sz="0" w:space="0" w:color="auto"/>
                        <w:right w:val="none" w:sz="0" w:space="0" w:color="auto"/>
                      </w:divBdr>
                      <w:divsChild>
                        <w:div w:id="1939945230">
                          <w:marLeft w:val="0"/>
                          <w:marRight w:val="0"/>
                          <w:marTop w:val="0"/>
                          <w:marBottom w:val="0"/>
                          <w:divBdr>
                            <w:top w:val="none" w:sz="0" w:space="0" w:color="auto"/>
                            <w:left w:val="none" w:sz="0" w:space="0" w:color="auto"/>
                            <w:bottom w:val="none" w:sz="0" w:space="0" w:color="auto"/>
                            <w:right w:val="none" w:sz="0" w:space="0" w:color="auto"/>
                          </w:divBdr>
                          <w:divsChild>
                            <w:div w:id="2112628872">
                              <w:marLeft w:val="0"/>
                              <w:marRight w:val="0"/>
                              <w:marTop w:val="240"/>
                              <w:marBottom w:val="240"/>
                              <w:divBdr>
                                <w:top w:val="none" w:sz="0" w:space="0" w:color="auto"/>
                                <w:left w:val="none" w:sz="0" w:space="0" w:color="auto"/>
                                <w:bottom w:val="none" w:sz="0" w:space="0" w:color="auto"/>
                                <w:right w:val="none" w:sz="0" w:space="0" w:color="auto"/>
                              </w:divBdr>
                            </w:div>
                          </w:divsChild>
                        </w:div>
                        <w:div w:id="686492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251932">
                  <w:marLeft w:val="0"/>
                  <w:marRight w:val="0"/>
                  <w:marTop w:val="0"/>
                  <w:marBottom w:val="0"/>
                  <w:divBdr>
                    <w:top w:val="none" w:sz="0" w:space="0" w:color="auto"/>
                    <w:left w:val="none" w:sz="0" w:space="0" w:color="auto"/>
                    <w:bottom w:val="none" w:sz="0" w:space="0" w:color="auto"/>
                    <w:right w:val="none" w:sz="0" w:space="0" w:color="auto"/>
                  </w:divBdr>
                </w:div>
                <w:div w:id="532496232">
                  <w:marLeft w:val="0"/>
                  <w:marRight w:val="0"/>
                  <w:marTop w:val="0"/>
                  <w:marBottom w:val="0"/>
                  <w:divBdr>
                    <w:top w:val="none" w:sz="0" w:space="0" w:color="auto"/>
                    <w:left w:val="none" w:sz="0" w:space="0" w:color="auto"/>
                    <w:bottom w:val="none" w:sz="0" w:space="0" w:color="auto"/>
                    <w:right w:val="none" w:sz="0" w:space="0" w:color="auto"/>
                  </w:divBdr>
                  <w:divsChild>
                    <w:div w:id="81724719">
                      <w:marLeft w:val="0"/>
                      <w:marRight w:val="0"/>
                      <w:marTop w:val="120"/>
                      <w:marBottom w:val="120"/>
                      <w:divBdr>
                        <w:top w:val="none" w:sz="0" w:space="0" w:color="auto"/>
                        <w:left w:val="none" w:sz="0" w:space="0" w:color="auto"/>
                        <w:bottom w:val="none" w:sz="0" w:space="0" w:color="auto"/>
                        <w:right w:val="none" w:sz="0" w:space="0" w:color="auto"/>
                      </w:divBdr>
                      <w:divsChild>
                        <w:div w:id="1279482462">
                          <w:marLeft w:val="0"/>
                          <w:marRight w:val="0"/>
                          <w:marTop w:val="0"/>
                          <w:marBottom w:val="0"/>
                          <w:divBdr>
                            <w:top w:val="none" w:sz="0" w:space="0" w:color="auto"/>
                            <w:left w:val="none" w:sz="0" w:space="0" w:color="auto"/>
                            <w:bottom w:val="none" w:sz="0" w:space="0" w:color="auto"/>
                            <w:right w:val="none" w:sz="0" w:space="0" w:color="auto"/>
                          </w:divBdr>
                          <w:divsChild>
                            <w:div w:id="617839159">
                              <w:marLeft w:val="0"/>
                              <w:marRight w:val="0"/>
                              <w:marTop w:val="240"/>
                              <w:marBottom w:val="240"/>
                              <w:divBdr>
                                <w:top w:val="none" w:sz="0" w:space="0" w:color="auto"/>
                                <w:left w:val="none" w:sz="0" w:space="0" w:color="auto"/>
                                <w:bottom w:val="none" w:sz="0" w:space="0" w:color="auto"/>
                                <w:right w:val="none" w:sz="0" w:space="0" w:color="auto"/>
                              </w:divBdr>
                            </w:div>
                          </w:divsChild>
                        </w:div>
                        <w:div w:id="1871450350">
                          <w:marLeft w:val="0"/>
                          <w:marRight w:val="0"/>
                          <w:marTop w:val="0"/>
                          <w:marBottom w:val="0"/>
                          <w:divBdr>
                            <w:top w:val="none" w:sz="0" w:space="0" w:color="auto"/>
                            <w:left w:val="none" w:sz="0" w:space="0" w:color="auto"/>
                            <w:bottom w:val="none" w:sz="0" w:space="0" w:color="auto"/>
                            <w:right w:val="none" w:sz="0" w:space="0" w:color="auto"/>
                          </w:divBdr>
                        </w:div>
                      </w:divsChild>
                    </w:div>
                    <w:div w:id="758790375">
                      <w:marLeft w:val="0"/>
                      <w:marRight w:val="0"/>
                      <w:marTop w:val="120"/>
                      <w:marBottom w:val="120"/>
                      <w:divBdr>
                        <w:top w:val="none" w:sz="0" w:space="0" w:color="auto"/>
                        <w:left w:val="none" w:sz="0" w:space="0" w:color="auto"/>
                        <w:bottom w:val="none" w:sz="0" w:space="0" w:color="auto"/>
                        <w:right w:val="none" w:sz="0" w:space="0" w:color="auto"/>
                      </w:divBdr>
                      <w:divsChild>
                        <w:div w:id="1964923204">
                          <w:marLeft w:val="0"/>
                          <w:marRight w:val="0"/>
                          <w:marTop w:val="0"/>
                          <w:marBottom w:val="0"/>
                          <w:divBdr>
                            <w:top w:val="none" w:sz="0" w:space="0" w:color="auto"/>
                            <w:left w:val="none" w:sz="0" w:space="0" w:color="auto"/>
                            <w:bottom w:val="none" w:sz="0" w:space="0" w:color="auto"/>
                            <w:right w:val="none" w:sz="0" w:space="0" w:color="auto"/>
                          </w:divBdr>
                          <w:divsChild>
                            <w:div w:id="1421024601">
                              <w:marLeft w:val="0"/>
                              <w:marRight w:val="0"/>
                              <w:marTop w:val="240"/>
                              <w:marBottom w:val="240"/>
                              <w:divBdr>
                                <w:top w:val="none" w:sz="0" w:space="0" w:color="auto"/>
                                <w:left w:val="none" w:sz="0" w:space="0" w:color="auto"/>
                                <w:bottom w:val="none" w:sz="0" w:space="0" w:color="auto"/>
                                <w:right w:val="none" w:sz="0" w:space="0" w:color="auto"/>
                              </w:divBdr>
                            </w:div>
                          </w:divsChild>
                        </w:div>
                        <w:div w:id="67877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142810">
                  <w:marLeft w:val="0"/>
                  <w:marRight w:val="0"/>
                  <w:marTop w:val="0"/>
                  <w:marBottom w:val="0"/>
                  <w:divBdr>
                    <w:top w:val="none" w:sz="0" w:space="0" w:color="auto"/>
                    <w:left w:val="none" w:sz="0" w:space="0" w:color="auto"/>
                    <w:bottom w:val="none" w:sz="0" w:space="0" w:color="auto"/>
                    <w:right w:val="none" w:sz="0" w:space="0" w:color="auto"/>
                  </w:divBdr>
                </w:div>
                <w:div w:id="751976898">
                  <w:marLeft w:val="0"/>
                  <w:marRight w:val="0"/>
                  <w:marTop w:val="0"/>
                  <w:marBottom w:val="0"/>
                  <w:divBdr>
                    <w:top w:val="none" w:sz="0" w:space="0" w:color="auto"/>
                    <w:left w:val="none" w:sz="0" w:space="0" w:color="auto"/>
                    <w:bottom w:val="none" w:sz="0" w:space="0" w:color="auto"/>
                    <w:right w:val="none" w:sz="0" w:space="0" w:color="auto"/>
                  </w:divBdr>
                  <w:divsChild>
                    <w:div w:id="1220820707">
                      <w:marLeft w:val="0"/>
                      <w:marRight w:val="0"/>
                      <w:marTop w:val="120"/>
                      <w:marBottom w:val="120"/>
                      <w:divBdr>
                        <w:top w:val="none" w:sz="0" w:space="0" w:color="auto"/>
                        <w:left w:val="none" w:sz="0" w:space="0" w:color="auto"/>
                        <w:bottom w:val="none" w:sz="0" w:space="0" w:color="auto"/>
                        <w:right w:val="none" w:sz="0" w:space="0" w:color="auto"/>
                      </w:divBdr>
                      <w:divsChild>
                        <w:div w:id="493909488">
                          <w:marLeft w:val="0"/>
                          <w:marRight w:val="0"/>
                          <w:marTop w:val="0"/>
                          <w:marBottom w:val="0"/>
                          <w:divBdr>
                            <w:top w:val="none" w:sz="0" w:space="0" w:color="auto"/>
                            <w:left w:val="none" w:sz="0" w:space="0" w:color="auto"/>
                            <w:bottom w:val="none" w:sz="0" w:space="0" w:color="auto"/>
                            <w:right w:val="none" w:sz="0" w:space="0" w:color="auto"/>
                          </w:divBdr>
                          <w:divsChild>
                            <w:div w:id="1782604341">
                              <w:marLeft w:val="0"/>
                              <w:marRight w:val="0"/>
                              <w:marTop w:val="240"/>
                              <w:marBottom w:val="240"/>
                              <w:divBdr>
                                <w:top w:val="none" w:sz="0" w:space="0" w:color="auto"/>
                                <w:left w:val="none" w:sz="0" w:space="0" w:color="auto"/>
                                <w:bottom w:val="none" w:sz="0" w:space="0" w:color="auto"/>
                                <w:right w:val="none" w:sz="0" w:space="0" w:color="auto"/>
                              </w:divBdr>
                            </w:div>
                          </w:divsChild>
                        </w:div>
                        <w:div w:id="617686654">
                          <w:marLeft w:val="0"/>
                          <w:marRight w:val="0"/>
                          <w:marTop w:val="0"/>
                          <w:marBottom w:val="0"/>
                          <w:divBdr>
                            <w:top w:val="none" w:sz="0" w:space="0" w:color="auto"/>
                            <w:left w:val="none" w:sz="0" w:space="0" w:color="auto"/>
                            <w:bottom w:val="none" w:sz="0" w:space="0" w:color="auto"/>
                            <w:right w:val="none" w:sz="0" w:space="0" w:color="auto"/>
                          </w:divBdr>
                        </w:div>
                      </w:divsChild>
                    </w:div>
                    <w:div w:id="499976701">
                      <w:marLeft w:val="0"/>
                      <w:marRight w:val="0"/>
                      <w:marTop w:val="120"/>
                      <w:marBottom w:val="120"/>
                      <w:divBdr>
                        <w:top w:val="none" w:sz="0" w:space="0" w:color="auto"/>
                        <w:left w:val="none" w:sz="0" w:space="0" w:color="auto"/>
                        <w:bottom w:val="none" w:sz="0" w:space="0" w:color="auto"/>
                        <w:right w:val="none" w:sz="0" w:space="0" w:color="auto"/>
                      </w:divBdr>
                      <w:divsChild>
                        <w:div w:id="986977170">
                          <w:marLeft w:val="0"/>
                          <w:marRight w:val="0"/>
                          <w:marTop w:val="0"/>
                          <w:marBottom w:val="0"/>
                          <w:divBdr>
                            <w:top w:val="none" w:sz="0" w:space="0" w:color="auto"/>
                            <w:left w:val="none" w:sz="0" w:space="0" w:color="auto"/>
                            <w:bottom w:val="none" w:sz="0" w:space="0" w:color="auto"/>
                            <w:right w:val="none" w:sz="0" w:space="0" w:color="auto"/>
                          </w:divBdr>
                          <w:divsChild>
                            <w:div w:id="661012065">
                              <w:marLeft w:val="0"/>
                              <w:marRight w:val="0"/>
                              <w:marTop w:val="240"/>
                              <w:marBottom w:val="240"/>
                              <w:divBdr>
                                <w:top w:val="none" w:sz="0" w:space="0" w:color="auto"/>
                                <w:left w:val="none" w:sz="0" w:space="0" w:color="auto"/>
                                <w:bottom w:val="none" w:sz="0" w:space="0" w:color="auto"/>
                                <w:right w:val="none" w:sz="0" w:space="0" w:color="auto"/>
                              </w:divBdr>
                            </w:div>
                          </w:divsChild>
                        </w:div>
                        <w:div w:id="157636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357369">
                  <w:marLeft w:val="0"/>
                  <w:marRight w:val="0"/>
                  <w:marTop w:val="0"/>
                  <w:marBottom w:val="0"/>
                  <w:divBdr>
                    <w:top w:val="none" w:sz="0" w:space="0" w:color="auto"/>
                    <w:left w:val="none" w:sz="0" w:space="0" w:color="auto"/>
                    <w:bottom w:val="none" w:sz="0" w:space="0" w:color="auto"/>
                    <w:right w:val="none" w:sz="0" w:space="0" w:color="auto"/>
                  </w:divBdr>
                </w:div>
                <w:div w:id="98523591">
                  <w:marLeft w:val="0"/>
                  <w:marRight w:val="0"/>
                  <w:marTop w:val="0"/>
                  <w:marBottom w:val="0"/>
                  <w:divBdr>
                    <w:top w:val="none" w:sz="0" w:space="0" w:color="auto"/>
                    <w:left w:val="none" w:sz="0" w:space="0" w:color="auto"/>
                    <w:bottom w:val="none" w:sz="0" w:space="0" w:color="auto"/>
                    <w:right w:val="none" w:sz="0" w:space="0" w:color="auto"/>
                  </w:divBdr>
                  <w:divsChild>
                    <w:div w:id="1720741399">
                      <w:marLeft w:val="0"/>
                      <w:marRight w:val="0"/>
                      <w:marTop w:val="120"/>
                      <w:marBottom w:val="120"/>
                      <w:divBdr>
                        <w:top w:val="none" w:sz="0" w:space="0" w:color="auto"/>
                        <w:left w:val="none" w:sz="0" w:space="0" w:color="auto"/>
                        <w:bottom w:val="none" w:sz="0" w:space="0" w:color="auto"/>
                        <w:right w:val="none" w:sz="0" w:space="0" w:color="auto"/>
                      </w:divBdr>
                      <w:divsChild>
                        <w:div w:id="1038775355">
                          <w:marLeft w:val="0"/>
                          <w:marRight w:val="0"/>
                          <w:marTop w:val="0"/>
                          <w:marBottom w:val="0"/>
                          <w:divBdr>
                            <w:top w:val="none" w:sz="0" w:space="0" w:color="auto"/>
                            <w:left w:val="none" w:sz="0" w:space="0" w:color="auto"/>
                            <w:bottom w:val="none" w:sz="0" w:space="0" w:color="auto"/>
                            <w:right w:val="none" w:sz="0" w:space="0" w:color="auto"/>
                          </w:divBdr>
                          <w:divsChild>
                            <w:div w:id="456264369">
                              <w:marLeft w:val="0"/>
                              <w:marRight w:val="0"/>
                              <w:marTop w:val="240"/>
                              <w:marBottom w:val="240"/>
                              <w:divBdr>
                                <w:top w:val="none" w:sz="0" w:space="0" w:color="auto"/>
                                <w:left w:val="none" w:sz="0" w:space="0" w:color="auto"/>
                                <w:bottom w:val="none" w:sz="0" w:space="0" w:color="auto"/>
                                <w:right w:val="none" w:sz="0" w:space="0" w:color="auto"/>
                              </w:divBdr>
                            </w:div>
                          </w:divsChild>
                        </w:div>
                        <w:div w:id="728498285">
                          <w:marLeft w:val="0"/>
                          <w:marRight w:val="0"/>
                          <w:marTop w:val="0"/>
                          <w:marBottom w:val="0"/>
                          <w:divBdr>
                            <w:top w:val="none" w:sz="0" w:space="0" w:color="auto"/>
                            <w:left w:val="none" w:sz="0" w:space="0" w:color="auto"/>
                            <w:bottom w:val="none" w:sz="0" w:space="0" w:color="auto"/>
                            <w:right w:val="none" w:sz="0" w:space="0" w:color="auto"/>
                          </w:divBdr>
                        </w:div>
                      </w:divsChild>
                    </w:div>
                    <w:div w:id="955061379">
                      <w:marLeft w:val="0"/>
                      <w:marRight w:val="0"/>
                      <w:marTop w:val="120"/>
                      <w:marBottom w:val="120"/>
                      <w:divBdr>
                        <w:top w:val="none" w:sz="0" w:space="0" w:color="auto"/>
                        <w:left w:val="none" w:sz="0" w:space="0" w:color="auto"/>
                        <w:bottom w:val="none" w:sz="0" w:space="0" w:color="auto"/>
                        <w:right w:val="none" w:sz="0" w:space="0" w:color="auto"/>
                      </w:divBdr>
                      <w:divsChild>
                        <w:div w:id="1615477448">
                          <w:marLeft w:val="0"/>
                          <w:marRight w:val="0"/>
                          <w:marTop w:val="0"/>
                          <w:marBottom w:val="0"/>
                          <w:divBdr>
                            <w:top w:val="none" w:sz="0" w:space="0" w:color="auto"/>
                            <w:left w:val="none" w:sz="0" w:space="0" w:color="auto"/>
                            <w:bottom w:val="none" w:sz="0" w:space="0" w:color="auto"/>
                            <w:right w:val="none" w:sz="0" w:space="0" w:color="auto"/>
                          </w:divBdr>
                          <w:divsChild>
                            <w:div w:id="421100845">
                              <w:marLeft w:val="0"/>
                              <w:marRight w:val="0"/>
                              <w:marTop w:val="240"/>
                              <w:marBottom w:val="240"/>
                              <w:divBdr>
                                <w:top w:val="none" w:sz="0" w:space="0" w:color="auto"/>
                                <w:left w:val="none" w:sz="0" w:space="0" w:color="auto"/>
                                <w:bottom w:val="none" w:sz="0" w:space="0" w:color="auto"/>
                                <w:right w:val="none" w:sz="0" w:space="0" w:color="auto"/>
                              </w:divBdr>
                            </w:div>
                          </w:divsChild>
                        </w:div>
                        <w:div w:id="525753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180190">
                  <w:marLeft w:val="0"/>
                  <w:marRight w:val="0"/>
                  <w:marTop w:val="0"/>
                  <w:marBottom w:val="0"/>
                  <w:divBdr>
                    <w:top w:val="none" w:sz="0" w:space="0" w:color="auto"/>
                    <w:left w:val="none" w:sz="0" w:space="0" w:color="auto"/>
                    <w:bottom w:val="none" w:sz="0" w:space="0" w:color="auto"/>
                    <w:right w:val="none" w:sz="0" w:space="0" w:color="auto"/>
                  </w:divBdr>
                </w:div>
                <w:div w:id="1447700376">
                  <w:marLeft w:val="0"/>
                  <w:marRight w:val="0"/>
                  <w:marTop w:val="0"/>
                  <w:marBottom w:val="0"/>
                  <w:divBdr>
                    <w:top w:val="none" w:sz="0" w:space="0" w:color="auto"/>
                    <w:left w:val="none" w:sz="0" w:space="0" w:color="auto"/>
                    <w:bottom w:val="none" w:sz="0" w:space="0" w:color="auto"/>
                    <w:right w:val="none" w:sz="0" w:space="0" w:color="auto"/>
                  </w:divBdr>
                  <w:divsChild>
                    <w:div w:id="144586111">
                      <w:marLeft w:val="0"/>
                      <w:marRight w:val="0"/>
                      <w:marTop w:val="120"/>
                      <w:marBottom w:val="120"/>
                      <w:divBdr>
                        <w:top w:val="none" w:sz="0" w:space="0" w:color="auto"/>
                        <w:left w:val="none" w:sz="0" w:space="0" w:color="auto"/>
                        <w:bottom w:val="none" w:sz="0" w:space="0" w:color="auto"/>
                        <w:right w:val="none" w:sz="0" w:space="0" w:color="auto"/>
                      </w:divBdr>
                      <w:divsChild>
                        <w:div w:id="1500342411">
                          <w:marLeft w:val="0"/>
                          <w:marRight w:val="0"/>
                          <w:marTop w:val="0"/>
                          <w:marBottom w:val="0"/>
                          <w:divBdr>
                            <w:top w:val="none" w:sz="0" w:space="0" w:color="auto"/>
                            <w:left w:val="none" w:sz="0" w:space="0" w:color="auto"/>
                            <w:bottom w:val="none" w:sz="0" w:space="0" w:color="auto"/>
                            <w:right w:val="none" w:sz="0" w:space="0" w:color="auto"/>
                          </w:divBdr>
                          <w:divsChild>
                            <w:div w:id="412430765">
                              <w:marLeft w:val="0"/>
                              <w:marRight w:val="0"/>
                              <w:marTop w:val="240"/>
                              <w:marBottom w:val="240"/>
                              <w:divBdr>
                                <w:top w:val="none" w:sz="0" w:space="0" w:color="auto"/>
                                <w:left w:val="none" w:sz="0" w:space="0" w:color="auto"/>
                                <w:bottom w:val="none" w:sz="0" w:space="0" w:color="auto"/>
                                <w:right w:val="none" w:sz="0" w:space="0" w:color="auto"/>
                              </w:divBdr>
                            </w:div>
                          </w:divsChild>
                        </w:div>
                        <w:div w:id="1246769619">
                          <w:marLeft w:val="0"/>
                          <w:marRight w:val="0"/>
                          <w:marTop w:val="0"/>
                          <w:marBottom w:val="0"/>
                          <w:divBdr>
                            <w:top w:val="none" w:sz="0" w:space="0" w:color="auto"/>
                            <w:left w:val="none" w:sz="0" w:space="0" w:color="auto"/>
                            <w:bottom w:val="none" w:sz="0" w:space="0" w:color="auto"/>
                            <w:right w:val="none" w:sz="0" w:space="0" w:color="auto"/>
                          </w:divBdr>
                        </w:div>
                      </w:divsChild>
                    </w:div>
                    <w:div w:id="367025510">
                      <w:marLeft w:val="0"/>
                      <w:marRight w:val="0"/>
                      <w:marTop w:val="120"/>
                      <w:marBottom w:val="120"/>
                      <w:divBdr>
                        <w:top w:val="none" w:sz="0" w:space="0" w:color="auto"/>
                        <w:left w:val="none" w:sz="0" w:space="0" w:color="auto"/>
                        <w:bottom w:val="none" w:sz="0" w:space="0" w:color="auto"/>
                        <w:right w:val="none" w:sz="0" w:space="0" w:color="auto"/>
                      </w:divBdr>
                      <w:divsChild>
                        <w:div w:id="1478262517">
                          <w:marLeft w:val="0"/>
                          <w:marRight w:val="0"/>
                          <w:marTop w:val="0"/>
                          <w:marBottom w:val="0"/>
                          <w:divBdr>
                            <w:top w:val="none" w:sz="0" w:space="0" w:color="auto"/>
                            <w:left w:val="none" w:sz="0" w:space="0" w:color="auto"/>
                            <w:bottom w:val="none" w:sz="0" w:space="0" w:color="auto"/>
                            <w:right w:val="none" w:sz="0" w:space="0" w:color="auto"/>
                          </w:divBdr>
                          <w:divsChild>
                            <w:div w:id="1695688779">
                              <w:marLeft w:val="0"/>
                              <w:marRight w:val="0"/>
                              <w:marTop w:val="240"/>
                              <w:marBottom w:val="240"/>
                              <w:divBdr>
                                <w:top w:val="none" w:sz="0" w:space="0" w:color="auto"/>
                                <w:left w:val="none" w:sz="0" w:space="0" w:color="auto"/>
                                <w:bottom w:val="none" w:sz="0" w:space="0" w:color="auto"/>
                                <w:right w:val="none" w:sz="0" w:space="0" w:color="auto"/>
                              </w:divBdr>
                            </w:div>
                          </w:divsChild>
                        </w:div>
                        <w:div w:id="774591051">
                          <w:marLeft w:val="0"/>
                          <w:marRight w:val="0"/>
                          <w:marTop w:val="0"/>
                          <w:marBottom w:val="0"/>
                          <w:divBdr>
                            <w:top w:val="none" w:sz="0" w:space="0" w:color="auto"/>
                            <w:left w:val="none" w:sz="0" w:space="0" w:color="auto"/>
                            <w:bottom w:val="none" w:sz="0" w:space="0" w:color="auto"/>
                            <w:right w:val="none" w:sz="0" w:space="0" w:color="auto"/>
                          </w:divBdr>
                        </w:div>
                      </w:divsChild>
                    </w:div>
                    <w:div w:id="1126387881">
                      <w:marLeft w:val="0"/>
                      <w:marRight w:val="0"/>
                      <w:marTop w:val="120"/>
                      <w:marBottom w:val="120"/>
                      <w:divBdr>
                        <w:top w:val="none" w:sz="0" w:space="0" w:color="auto"/>
                        <w:left w:val="none" w:sz="0" w:space="0" w:color="auto"/>
                        <w:bottom w:val="none" w:sz="0" w:space="0" w:color="auto"/>
                        <w:right w:val="none" w:sz="0" w:space="0" w:color="auto"/>
                      </w:divBdr>
                      <w:divsChild>
                        <w:div w:id="626930967">
                          <w:marLeft w:val="0"/>
                          <w:marRight w:val="0"/>
                          <w:marTop w:val="0"/>
                          <w:marBottom w:val="0"/>
                          <w:divBdr>
                            <w:top w:val="none" w:sz="0" w:space="0" w:color="auto"/>
                            <w:left w:val="none" w:sz="0" w:space="0" w:color="auto"/>
                            <w:bottom w:val="none" w:sz="0" w:space="0" w:color="auto"/>
                            <w:right w:val="none" w:sz="0" w:space="0" w:color="auto"/>
                          </w:divBdr>
                          <w:divsChild>
                            <w:div w:id="1197083763">
                              <w:marLeft w:val="0"/>
                              <w:marRight w:val="0"/>
                              <w:marTop w:val="240"/>
                              <w:marBottom w:val="240"/>
                              <w:divBdr>
                                <w:top w:val="none" w:sz="0" w:space="0" w:color="auto"/>
                                <w:left w:val="none" w:sz="0" w:space="0" w:color="auto"/>
                                <w:bottom w:val="none" w:sz="0" w:space="0" w:color="auto"/>
                                <w:right w:val="none" w:sz="0" w:space="0" w:color="auto"/>
                              </w:divBdr>
                            </w:div>
                          </w:divsChild>
                        </w:div>
                        <w:div w:id="1423377320">
                          <w:marLeft w:val="0"/>
                          <w:marRight w:val="0"/>
                          <w:marTop w:val="0"/>
                          <w:marBottom w:val="0"/>
                          <w:divBdr>
                            <w:top w:val="none" w:sz="0" w:space="0" w:color="auto"/>
                            <w:left w:val="none" w:sz="0" w:space="0" w:color="auto"/>
                            <w:bottom w:val="none" w:sz="0" w:space="0" w:color="auto"/>
                            <w:right w:val="none" w:sz="0" w:space="0" w:color="auto"/>
                          </w:divBdr>
                        </w:div>
                      </w:divsChild>
                    </w:div>
                    <w:div w:id="1123420510">
                      <w:marLeft w:val="0"/>
                      <w:marRight w:val="0"/>
                      <w:marTop w:val="120"/>
                      <w:marBottom w:val="120"/>
                      <w:divBdr>
                        <w:top w:val="none" w:sz="0" w:space="0" w:color="auto"/>
                        <w:left w:val="none" w:sz="0" w:space="0" w:color="auto"/>
                        <w:bottom w:val="none" w:sz="0" w:space="0" w:color="auto"/>
                        <w:right w:val="none" w:sz="0" w:space="0" w:color="auto"/>
                      </w:divBdr>
                      <w:divsChild>
                        <w:div w:id="1720668944">
                          <w:marLeft w:val="0"/>
                          <w:marRight w:val="0"/>
                          <w:marTop w:val="0"/>
                          <w:marBottom w:val="0"/>
                          <w:divBdr>
                            <w:top w:val="none" w:sz="0" w:space="0" w:color="auto"/>
                            <w:left w:val="none" w:sz="0" w:space="0" w:color="auto"/>
                            <w:bottom w:val="none" w:sz="0" w:space="0" w:color="auto"/>
                            <w:right w:val="none" w:sz="0" w:space="0" w:color="auto"/>
                          </w:divBdr>
                          <w:divsChild>
                            <w:div w:id="21103052">
                              <w:marLeft w:val="0"/>
                              <w:marRight w:val="0"/>
                              <w:marTop w:val="240"/>
                              <w:marBottom w:val="240"/>
                              <w:divBdr>
                                <w:top w:val="none" w:sz="0" w:space="0" w:color="auto"/>
                                <w:left w:val="none" w:sz="0" w:space="0" w:color="auto"/>
                                <w:bottom w:val="none" w:sz="0" w:space="0" w:color="auto"/>
                                <w:right w:val="none" w:sz="0" w:space="0" w:color="auto"/>
                              </w:divBdr>
                            </w:div>
                          </w:divsChild>
                        </w:div>
                        <w:div w:id="862984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579403">
                  <w:marLeft w:val="0"/>
                  <w:marRight w:val="0"/>
                  <w:marTop w:val="0"/>
                  <w:marBottom w:val="0"/>
                  <w:divBdr>
                    <w:top w:val="none" w:sz="0" w:space="0" w:color="auto"/>
                    <w:left w:val="none" w:sz="0" w:space="0" w:color="auto"/>
                    <w:bottom w:val="none" w:sz="0" w:space="0" w:color="auto"/>
                    <w:right w:val="none" w:sz="0" w:space="0" w:color="auto"/>
                  </w:divBdr>
                </w:div>
                <w:div w:id="974991491">
                  <w:marLeft w:val="0"/>
                  <w:marRight w:val="0"/>
                  <w:marTop w:val="0"/>
                  <w:marBottom w:val="0"/>
                  <w:divBdr>
                    <w:top w:val="none" w:sz="0" w:space="0" w:color="auto"/>
                    <w:left w:val="none" w:sz="0" w:space="0" w:color="auto"/>
                    <w:bottom w:val="none" w:sz="0" w:space="0" w:color="auto"/>
                    <w:right w:val="none" w:sz="0" w:space="0" w:color="auto"/>
                  </w:divBdr>
                  <w:divsChild>
                    <w:div w:id="435321895">
                      <w:marLeft w:val="0"/>
                      <w:marRight w:val="0"/>
                      <w:marTop w:val="120"/>
                      <w:marBottom w:val="120"/>
                      <w:divBdr>
                        <w:top w:val="none" w:sz="0" w:space="0" w:color="auto"/>
                        <w:left w:val="none" w:sz="0" w:space="0" w:color="auto"/>
                        <w:bottom w:val="none" w:sz="0" w:space="0" w:color="auto"/>
                        <w:right w:val="none" w:sz="0" w:space="0" w:color="auto"/>
                      </w:divBdr>
                      <w:divsChild>
                        <w:div w:id="1864317850">
                          <w:marLeft w:val="0"/>
                          <w:marRight w:val="0"/>
                          <w:marTop w:val="0"/>
                          <w:marBottom w:val="0"/>
                          <w:divBdr>
                            <w:top w:val="none" w:sz="0" w:space="0" w:color="auto"/>
                            <w:left w:val="none" w:sz="0" w:space="0" w:color="auto"/>
                            <w:bottom w:val="none" w:sz="0" w:space="0" w:color="auto"/>
                            <w:right w:val="none" w:sz="0" w:space="0" w:color="auto"/>
                          </w:divBdr>
                          <w:divsChild>
                            <w:div w:id="2039970217">
                              <w:marLeft w:val="0"/>
                              <w:marRight w:val="0"/>
                              <w:marTop w:val="240"/>
                              <w:marBottom w:val="240"/>
                              <w:divBdr>
                                <w:top w:val="none" w:sz="0" w:space="0" w:color="auto"/>
                                <w:left w:val="none" w:sz="0" w:space="0" w:color="auto"/>
                                <w:bottom w:val="none" w:sz="0" w:space="0" w:color="auto"/>
                                <w:right w:val="none" w:sz="0" w:space="0" w:color="auto"/>
                              </w:divBdr>
                            </w:div>
                          </w:divsChild>
                        </w:div>
                        <w:div w:id="696589208">
                          <w:marLeft w:val="0"/>
                          <w:marRight w:val="0"/>
                          <w:marTop w:val="0"/>
                          <w:marBottom w:val="0"/>
                          <w:divBdr>
                            <w:top w:val="none" w:sz="0" w:space="0" w:color="auto"/>
                            <w:left w:val="none" w:sz="0" w:space="0" w:color="auto"/>
                            <w:bottom w:val="none" w:sz="0" w:space="0" w:color="auto"/>
                            <w:right w:val="none" w:sz="0" w:space="0" w:color="auto"/>
                          </w:divBdr>
                        </w:div>
                      </w:divsChild>
                    </w:div>
                    <w:div w:id="1183284391">
                      <w:marLeft w:val="0"/>
                      <w:marRight w:val="0"/>
                      <w:marTop w:val="120"/>
                      <w:marBottom w:val="120"/>
                      <w:divBdr>
                        <w:top w:val="none" w:sz="0" w:space="0" w:color="auto"/>
                        <w:left w:val="none" w:sz="0" w:space="0" w:color="auto"/>
                        <w:bottom w:val="none" w:sz="0" w:space="0" w:color="auto"/>
                        <w:right w:val="none" w:sz="0" w:space="0" w:color="auto"/>
                      </w:divBdr>
                      <w:divsChild>
                        <w:div w:id="1657034420">
                          <w:marLeft w:val="0"/>
                          <w:marRight w:val="0"/>
                          <w:marTop w:val="0"/>
                          <w:marBottom w:val="0"/>
                          <w:divBdr>
                            <w:top w:val="none" w:sz="0" w:space="0" w:color="auto"/>
                            <w:left w:val="none" w:sz="0" w:space="0" w:color="auto"/>
                            <w:bottom w:val="none" w:sz="0" w:space="0" w:color="auto"/>
                            <w:right w:val="none" w:sz="0" w:space="0" w:color="auto"/>
                          </w:divBdr>
                          <w:divsChild>
                            <w:div w:id="252327806">
                              <w:marLeft w:val="0"/>
                              <w:marRight w:val="0"/>
                              <w:marTop w:val="240"/>
                              <w:marBottom w:val="240"/>
                              <w:divBdr>
                                <w:top w:val="none" w:sz="0" w:space="0" w:color="auto"/>
                                <w:left w:val="none" w:sz="0" w:space="0" w:color="auto"/>
                                <w:bottom w:val="none" w:sz="0" w:space="0" w:color="auto"/>
                                <w:right w:val="none" w:sz="0" w:space="0" w:color="auto"/>
                              </w:divBdr>
                            </w:div>
                          </w:divsChild>
                        </w:div>
                        <w:div w:id="176213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86074">
                  <w:marLeft w:val="0"/>
                  <w:marRight w:val="0"/>
                  <w:marTop w:val="0"/>
                  <w:marBottom w:val="0"/>
                  <w:divBdr>
                    <w:top w:val="none" w:sz="0" w:space="0" w:color="auto"/>
                    <w:left w:val="none" w:sz="0" w:space="0" w:color="auto"/>
                    <w:bottom w:val="none" w:sz="0" w:space="0" w:color="auto"/>
                    <w:right w:val="none" w:sz="0" w:space="0" w:color="auto"/>
                  </w:divBdr>
                </w:div>
                <w:div w:id="2111271944">
                  <w:marLeft w:val="0"/>
                  <w:marRight w:val="0"/>
                  <w:marTop w:val="0"/>
                  <w:marBottom w:val="0"/>
                  <w:divBdr>
                    <w:top w:val="none" w:sz="0" w:space="0" w:color="auto"/>
                    <w:left w:val="none" w:sz="0" w:space="0" w:color="auto"/>
                    <w:bottom w:val="none" w:sz="0" w:space="0" w:color="auto"/>
                    <w:right w:val="none" w:sz="0" w:space="0" w:color="auto"/>
                  </w:divBdr>
                </w:div>
                <w:div w:id="62678301">
                  <w:marLeft w:val="0"/>
                  <w:marRight w:val="0"/>
                  <w:marTop w:val="0"/>
                  <w:marBottom w:val="0"/>
                  <w:divBdr>
                    <w:top w:val="none" w:sz="0" w:space="0" w:color="auto"/>
                    <w:left w:val="none" w:sz="0" w:space="0" w:color="auto"/>
                    <w:bottom w:val="none" w:sz="0" w:space="0" w:color="auto"/>
                    <w:right w:val="none" w:sz="0" w:space="0" w:color="auto"/>
                  </w:divBdr>
                </w:div>
                <w:div w:id="735013508">
                  <w:marLeft w:val="0"/>
                  <w:marRight w:val="0"/>
                  <w:marTop w:val="0"/>
                  <w:marBottom w:val="0"/>
                  <w:divBdr>
                    <w:top w:val="none" w:sz="0" w:space="0" w:color="auto"/>
                    <w:left w:val="none" w:sz="0" w:space="0" w:color="auto"/>
                    <w:bottom w:val="none" w:sz="0" w:space="0" w:color="auto"/>
                    <w:right w:val="none" w:sz="0" w:space="0" w:color="auto"/>
                  </w:divBdr>
                  <w:divsChild>
                    <w:div w:id="750809134">
                      <w:marLeft w:val="0"/>
                      <w:marRight w:val="0"/>
                      <w:marTop w:val="120"/>
                      <w:marBottom w:val="120"/>
                      <w:divBdr>
                        <w:top w:val="none" w:sz="0" w:space="0" w:color="auto"/>
                        <w:left w:val="none" w:sz="0" w:space="0" w:color="auto"/>
                        <w:bottom w:val="none" w:sz="0" w:space="0" w:color="auto"/>
                        <w:right w:val="none" w:sz="0" w:space="0" w:color="auto"/>
                      </w:divBdr>
                      <w:divsChild>
                        <w:div w:id="666782986">
                          <w:marLeft w:val="0"/>
                          <w:marRight w:val="0"/>
                          <w:marTop w:val="0"/>
                          <w:marBottom w:val="0"/>
                          <w:divBdr>
                            <w:top w:val="none" w:sz="0" w:space="0" w:color="auto"/>
                            <w:left w:val="none" w:sz="0" w:space="0" w:color="auto"/>
                            <w:bottom w:val="none" w:sz="0" w:space="0" w:color="auto"/>
                            <w:right w:val="none" w:sz="0" w:space="0" w:color="auto"/>
                          </w:divBdr>
                          <w:divsChild>
                            <w:div w:id="487746255">
                              <w:marLeft w:val="0"/>
                              <w:marRight w:val="0"/>
                              <w:marTop w:val="240"/>
                              <w:marBottom w:val="240"/>
                              <w:divBdr>
                                <w:top w:val="none" w:sz="0" w:space="0" w:color="auto"/>
                                <w:left w:val="none" w:sz="0" w:space="0" w:color="auto"/>
                                <w:bottom w:val="none" w:sz="0" w:space="0" w:color="auto"/>
                                <w:right w:val="none" w:sz="0" w:space="0" w:color="auto"/>
                              </w:divBdr>
                            </w:div>
                          </w:divsChild>
                        </w:div>
                        <w:div w:id="7937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990690">
                  <w:marLeft w:val="0"/>
                  <w:marRight w:val="0"/>
                  <w:marTop w:val="0"/>
                  <w:marBottom w:val="0"/>
                  <w:divBdr>
                    <w:top w:val="none" w:sz="0" w:space="0" w:color="auto"/>
                    <w:left w:val="none" w:sz="0" w:space="0" w:color="auto"/>
                    <w:bottom w:val="none" w:sz="0" w:space="0" w:color="auto"/>
                    <w:right w:val="none" w:sz="0" w:space="0" w:color="auto"/>
                  </w:divBdr>
                </w:div>
                <w:div w:id="1887523518">
                  <w:marLeft w:val="0"/>
                  <w:marRight w:val="0"/>
                  <w:marTop w:val="0"/>
                  <w:marBottom w:val="0"/>
                  <w:divBdr>
                    <w:top w:val="none" w:sz="0" w:space="0" w:color="auto"/>
                    <w:left w:val="none" w:sz="0" w:space="0" w:color="auto"/>
                    <w:bottom w:val="none" w:sz="0" w:space="0" w:color="auto"/>
                    <w:right w:val="none" w:sz="0" w:space="0" w:color="auto"/>
                  </w:divBdr>
                  <w:divsChild>
                    <w:div w:id="104279871">
                      <w:marLeft w:val="0"/>
                      <w:marRight w:val="0"/>
                      <w:marTop w:val="120"/>
                      <w:marBottom w:val="120"/>
                      <w:divBdr>
                        <w:top w:val="none" w:sz="0" w:space="0" w:color="auto"/>
                        <w:left w:val="none" w:sz="0" w:space="0" w:color="auto"/>
                        <w:bottom w:val="none" w:sz="0" w:space="0" w:color="auto"/>
                        <w:right w:val="none" w:sz="0" w:space="0" w:color="auto"/>
                      </w:divBdr>
                      <w:divsChild>
                        <w:div w:id="1546139136">
                          <w:marLeft w:val="0"/>
                          <w:marRight w:val="0"/>
                          <w:marTop w:val="0"/>
                          <w:marBottom w:val="0"/>
                          <w:divBdr>
                            <w:top w:val="none" w:sz="0" w:space="0" w:color="auto"/>
                            <w:left w:val="none" w:sz="0" w:space="0" w:color="auto"/>
                            <w:bottom w:val="none" w:sz="0" w:space="0" w:color="auto"/>
                            <w:right w:val="none" w:sz="0" w:space="0" w:color="auto"/>
                          </w:divBdr>
                          <w:divsChild>
                            <w:div w:id="94443661">
                              <w:marLeft w:val="0"/>
                              <w:marRight w:val="0"/>
                              <w:marTop w:val="240"/>
                              <w:marBottom w:val="240"/>
                              <w:divBdr>
                                <w:top w:val="none" w:sz="0" w:space="0" w:color="auto"/>
                                <w:left w:val="none" w:sz="0" w:space="0" w:color="auto"/>
                                <w:bottom w:val="none" w:sz="0" w:space="0" w:color="auto"/>
                                <w:right w:val="none" w:sz="0" w:space="0" w:color="auto"/>
                              </w:divBdr>
                            </w:div>
                          </w:divsChild>
                        </w:div>
                        <w:div w:id="1185288503">
                          <w:marLeft w:val="0"/>
                          <w:marRight w:val="0"/>
                          <w:marTop w:val="0"/>
                          <w:marBottom w:val="0"/>
                          <w:divBdr>
                            <w:top w:val="none" w:sz="0" w:space="0" w:color="auto"/>
                            <w:left w:val="none" w:sz="0" w:space="0" w:color="auto"/>
                            <w:bottom w:val="none" w:sz="0" w:space="0" w:color="auto"/>
                            <w:right w:val="none" w:sz="0" w:space="0" w:color="auto"/>
                          </w:divBdr>
                        </w:div>
                      </w:divsChild>
                    </w:div>
                    <w:div w:id="1905412981">
                      <w:marLeft w:val="0"/>
                      <w:marRight w:val="0"/>
                      <w:marTop w:val="120"/>
                      <w:marBottom w:val="120"/>
                      <w:divBdr>
                        <w:top w:val="none" w:sz="0" w:space="0" w:color="auto"/>
                        <w:left w:val="none" w:sz="0" w:space="0" w:color="auto"/>
                        <w:bottom w:val="none" w:sz="0" w:space="0" w:color="auto"/>
                        <w:right w:val="none" w:sz="0" w:space="0" w:color="auto"/>
                      </w:divBdr>
                      <w:divsChild>
                        <w:div w:id="575211764">
                          <w:marLeft w:val="0"/>
                          <w:marRight w:val="0"/>
                          <w:marTop w:val="0"/>
                          <w:marBottom w:val="0"/>
                          <w:divBdr>
                            <w:top w:val="none" w:sz="0" w:space="0" w:color="auto"/>
                            <w:left w:val="none" w:sz="0" w:space="0" w:color="auto"/>
                            <w:bottom w:val="none" w:sz="0" w:space="0" w:color="auto"/>
                            <w:right w:val="none" w:sz="0" w:space="0" w:color="auto"/>
                          </w:divBdr>
                          <w:divsChild>
                            <w:div w:id="394671092">
                              <w:marLeft w:val="0"/>
                              <w:marRight w:val="0"/>
                              <w:marTop w:val="240"/>
                              <w:marBottom w:val="240"/>
                              <w:divBdr>
                                <w:top w:val="none" w:sz="0" w:space="0" w:color="auto"/>
                                <w:left w:val="none" w:sz="0" w:space="0" w:color="auto"/>
                                <w:bottom w:val="none" w:sz="0" w:space="0" w:color="auto"/>
                                <w:right w:val="none" w:sz="0" w:space="0" w:color="auto"/>
                              </w:divBdr>
                            </w:div>
                          </w:divsChild>
                        </w:div>
                        <w:div w:id="218593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234079">
                  <w:marLeft w:val="0"/>
                  <w:marRight w:val="0"/>
                  <w:marTop w:val="0"/>
                  <w:marBottom w:val="0"/>
                  <w:divBdr>
                    <w:top w:val="none" w:sz="0" w:space="0" w:color="auto"/>
                    <w:left w:val="none" w:sz="0" w:space="0" w:color="auto"/>
                    <w:bottom w:val="none" w:sz="0" w:space="0" w:color="auto"/>
                    <w:right w:val="none" w:sz="0" w:space="0" w:color="auto"/>
                  </w:divBdr>
                </w:div>
                <w:div w:id="394014799">
                  <w:marLeft w:val="0"/>
                  <w:marRight w:val="0"/>
                  <w:marTop w:val="0"/>
                  <w:marBottom w:val="0"/>
                  <w:divBdr>
                    <w:top w:val="none" w:sz="0" w:space="0" w:color="auto"/>
                    <w:left w:val="none" w:sz="0" w:space="0" w:color="auto"/>
                    <w:bottom w:val="none" w:sz="0" w:space="0" w:color="auto"/>
                    <w:right w:val="none" w:sz="0" w:space="0" w:color="auto"/>
                  </w:divBdr>
                </w:div>
                <w:div w:id="1709405628">
                  <w:marLeft w:val="0"/>
                  <w:marRight w:val="0"/>
                  <w:marTop w:val="0"/>
                  <w:marBottom w:val="0"/>
                  <w:divBdr>
                    <w:top w:val="none" w:sz="0" w:space="0" w:color="auto"/>
                    <w:left w:val="none" w:sz="0" w:space="0" w:color="auto"/>
                    <w:bottom w:val="none" w:sz="0" w:space="0" w:color="auto"/>
                    <w:right w:val="none" w:sz="0" w:space="0" w:color="auto"/>
                  </w:divBdr>
                </w:div>
                <w:div w:id="1605845083">
                  <w:marLeft w:val="0"/>
                  <w:marRight w:val="0"/>
                  <w:marTop w:val="0"/>
                  <w:marBottom w:val="0"/>
                  <w:divBdr>
                    <w:top w:val="none" w:sz="0" w:space="0" w:color="auto"/>
                    <w:left w:val="none" w:sz="0" w:space="0" w:color="auto"/>
                    <w:bottom w:val="none" w:sz="0" w:space="0" w:color="auto"/>
                    <w:right w:val="none" w:sz="0" w:space="0" w:color="auto"/>
                  </w:divBdr>
                </w:div>
                <w:div w:id="603534465">
                  <w:marLeft w:val="0"/>
                  <w:marRight w:val="0"/>
                  <w:marTop w:val="0"/>
                  <w:marBottom w:val="0"/>
                  <w:divBdr>
                    <w:top w:val="none" w:sz="0" w:space="0" w:color="auto"/>
                    <w:left w:val="none" w:sz="0" w:space="0" w:color="auto"/>
                    <w:bottom w:val="none" w:sz="0" w:space="0" w:color="auto"/>
                    <w:right w:val="none" w:sz="0" w:space="0" w:color="auto"/>
                  </w:divBdr>
                  <w:divsChild>
                    <w:div w:id="1890650487">
                      <w:marLeft w:val="0"/>
                      <w:marRight w:val="0"/>
                      <w:marTop w:val="120"/>
                      <w:marBottom w:val="120"/>
                      <w:divBdr>
                        <w:top w:val="none" w:sz="0" w:space="0" w:color="auto"/>
                        <w:left w:val="none" w:sz="0" w:space="0" w:color="auto"/>
                        <w:bottom w:val="none" w:sz="0" w:space="0" w:color="auto"/>
                        <w:right w:val="none" w:sz="0" w:space="0" w:color="auto"/>
                      </w:divBdr>
                      <w:divsChild>
                        <w:div w:id="763185112">
                          <w:marLeft w:val="0"/>
                          <w:marRight w:val="0"/>
                          <w:marTop w:val="0"/>
                          <w:marBottom w:val="0"/>
                          <w:divBdr>
                            <w:top w:val="none" w:sz="0" w:space="0" w:color="auto"/>
                            <w:left w:val="none" w:sz="0" w:space="0" w:color="auto"/>
                            <w:bottom w:val="none" w:sz="0" w:space="0" w:color="auto"/>
                            <w:right w:val="none" w:sz="0" w:space="0" w:color="auto"/>
                          </w:divBdr>
                          <w:divsChild>
                            <w:div w:id="1818111314">
                              <w:marLeft w:val="0"/>
                              <w:marRight w:val="0"/>
                              <w:marTop w:val="240"/>
                              <w:marBottom w:val="240"/>
                              <w:divBdr>
                                <w:top w:val="none" w:sz="0" w:space="0" w:color="auto"/>
                                <w:left w:val="none" w:sz="0" w:space="0" w:color="auto"/>
                                <w:bottom w:val="none" w:sz="0" w:space="0" w:color="auto"/>
                                <w:right w:val="none" w:sz="0" w:space="0" w:color="auto"/>
                              </w:divBdr>
                            </w:div>
                          </w:divsChild>
                        </w:div>
                        <w:div w:id="149202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14038">
                  <w:marLeft w:val="0"/>
                  <w:marRight w:val="0"/>
                  <w:marTop w:val="0"/>
                  <w:marBottom w:val="0"/>
                  <w:divBdr>
                    <w:top w:val="none" w:sz="0" w:space="0" w:color="auto"/>
                    <w:left w:val="none" w:sz="0" w:space="0" w:color="auto"/>
                    <w:bottom w:val="none" w:sz="0" w:space="0" w:color="auto"/>
                    <w:right w:val="none" w:sz="0" w:space="0" w:color="auto"/>
                  </w:divBdr>
                  <w:divsChild>
                    <w:div w:id="622271907">
                      <w:marLeft w:val="0"/>
                      <w:marRight w:val="0"/>
                      <w:marTop w:val="120"/>
                      <w:marBottom w:val="120"/>
                      <w:divBdr>
                        <w:top w:val="none" w:sz="0" w:space="0" w:color="auto"/>
                        <w:left w:val="none" w:sz="0" w:space="0" w:color="auto"/>
                        <w:bottom w:val="none" w:sz="0" w:space="0" w:color="auto"/>
                        <w:right w:val="none" w:sz="0" w:space="0" w:color="auto"/>
                      </w:divBdr>
                      <w:divsChild>
                        <w:div w:id="264269908">
                          <w:marLeft w:val="0"/>
                          <w:marRight w:val="0"/>
                          <w:marTop w:val="0"/>
                          <w:marBottom w:val="0"/>
                          <w:divBdr>
                            <w:top w:val="none" w:sz="0" w:space="0" w:color="auto"/>
                            <w:left w:val="none" w:sz="0" w:space="0" w:color="auto"/>
                            <w:bottom w:val="none" w:sz="0" w:space="0" w:color="auto"/>
                            <w:right w:val="none" w:sz="0" w:space="0" w:color="auto"/>
                          </w:divBdr>
                          <w:divsChild>
                            <w:div w:id="1529097213">
                              <w:marLeft w:val="0"/>
                              <w:marRight w:val="0"/>
                              <w:marTop w:val="240"/>
                              <w:marBottom w:val="240"/>
                              <w:divBdr>
                                <w:top w:val="none" w:sz="0" w:space="0" w:color="auto"/>
                                <w:left w:val="none" w:sz="0" w:space="0" w:color="auto"/>
                                <w:bottom w:val="none" w:sz="0" w:space="0" w:color="auto"/>
                                <w:right w:val="none" w:sz="0" w:space="0" w:color="auto"/>
                              </w:divBdr>
                            </w:div>
                          </w:divsChild>
                        </w:div>
                        <w:div w:id="2041735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828127">
                  <w:marLeft w:val="0"/>
                  <w:marRight w:val="0"/>
                  <w:marTop w:val="0"/>
                  <w:marBottom w:val="0"/>
                  <w:divBdr>
                    <w:top w:val="none" w:sz="0" w:space="0" w:color="auto"/>
                    <w:left w:val="none" w:sz="0" w:space="0" w:color="auto"/>
                    <w:bottom w:val="none" w:sz="0" w:space="0" w:color="auto"/>
                    <w:right w:val="none" w:sz="0" w:space="0" w:color="auto"/>
                  </w:divBdr>
                  <w:divsChild>
                    <w:div w:id="521207819">
                      <w:marLeft w:val="0"/>
                      <w:marRight w:val="0"/>
                      <w:marTop w:val="120"/>
                      <w:marBottom w:val="120"/>
                      <w:divBdr>
                        <w:top w:val="none" w:sz="0" w:space="0" w:color="auto"/>
                        <w:left w:val="none" w:sz="0" w:space="0" w:color="auto"/>
                        <w:bottom w:val="none" w:sz="0" w:space="0" w:color="auto"/>
                        <w:right w:val="none" w:sz="0" w:space="0" w:color="auto"/>
                      </w:divBdr>
                      <w:divsChild>
                        <w:div w:id="494731319">
                          <w:marLeft w:val="0"/>
                          <w:marRight w:val="0"/>
                          <w:marTop w:val="0"/>
                          <w:marBottom w:val="0"/>
                          <w:divBdr>
                            <w:top w:val="none" w:sz="0" w:space="0" w:color="auto"/>
                            <w:left w:val="none" w:sz="0" w:space="0" w:color="auto"/>
                            <w:bottom w:val="none" w:sz="0" w:space="0" w:color="auto"/>
                            <w:right w:val="none" w:sz="0" w:space="0" w:color="auto"/>
                          </w:divBdr>
                          <w:divsChild>
                            <w:div w:id="878321900">
                              <w:marLeft w:val="0"/>
                              <w:marRight w:val="0"/>
                              <w:marTop w:val="240"/>
                              <w:marBottom w:val="240"/>
                              <w:divBdr>
                                <w:top w:val="none" w:sz="0" w:space="0" w:color="auto"/>
                                <w:left w:val="none" w:sz="0" w:space="0" w:color="auto"/>
                                <w:bottom w:val="none" w:sz="0" w:space="0" w:color="auto"/>
                                <w:right w:val="none" w:sz="0" w:space="0" w:color="auto"/>
                              </w:divBdr>
                            </w:div>
                          </w:divsChild>
                        </w:div>
                        <w:div w:id="1117792286">
                          <w:marLeft w:val="0"/>
                          <w:marRight w:val="0"/>
                          <w:marTop w:val="0"/>
                          <w:marBottom w:val="0"/>
                          <w:divBdr>
                            <w:top w:val="none" w:sz="0" w:space="0" w:color="auto"/>
                            <w:left w:val="none" w:sz="0" w:space="0" w:color="auto"/>
                            <w:bottom w:val="none" w:sz="0" w:space="0" w:color="auto"/>
                            <w:right w:val="none" w:sz="0" w:space="0" w:color="auto"/>
                          </w:divBdr>
                        </w:div>
                      </w:divsChild>
                    </w:div>
                    <w:div w:id="1353728745">
                      <w:marLeft w:val="0"/>
                      <w:marRight w:val="0"/>
                      <w:marTop w:val="120"/>
                      <w:marBottom w:val="120"/>
                      <w:divBdr>
                        <w:top w:val="none" w:sz="0" w:space="0" w:color="auto"/>
                        <w:left w:val="none" w:sz="0" w:space="0" w:color="auto"/>
                        <w:bottom w:val="none" w:sz="0" w:space="0" w:color="auto"/>
                        <w:right w:val="none" w:sz="0" w:space="0" w:color="auto"/>
                      </w:divBdr>
                      <w:divsChild>
                        <w:div w:id="354498816">
                          <w:marLeft w:val="0"/>
                          <w:marRight w:val="0"/>
                          <w:marTop w:val="0"/>
                          <w:marBottom w:val="0"/>
                          <w:divBdr>
                            <w:top w:val="none" w:sz="0" w:space="0" w:color="auto"/>
                            <w:left w:val="none" w:sz="0" w:space="0" w:color="auto"/>
                            <w:bottom w:val="none" w:sz="0" w:space="0" w:color="auto"/>
                            <w:right w:val="none" w:sz="0" w:space="0" w:color="auto"/>
                          </w:divBdr>
                          <w:divsChild>
                            <w:div w:id="634918590">
                              <w:marLeft w:val="0"/>
                              <w:marRight w:val="0"/>
                              <w:marTop w:val="240"/>
                              <w:marBottom w:val="240"/>
                              <w:divBdr>
                                <w:top w:val="none" w:sz="0" w:space="0" w:color="auto"/>
                                <w:left w:val="none" w:sz="0" w:space="0" w:color="auto"/>
                                <w:bottom w:val="none" w:sz="0" w:space="0" w:color="auto"/>
                                <w:right w:val="none" w:sz="0" w:space="0" w:color="auto"/>
                              </w:divBdr>
                            </w:div>
                          </w:divsChild>
                        </w:div>
                        <w:div w:id="135353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060291">
                  <w:marLeft w:val="0"/>
                  <w:marRight w:val="0"/>
                  <w:marTop w:val="0"/>
                  <w:marBottom w:val="0"/>
                  <w:divBdr>
                    <w:top w:val="none" w:sz="0" w:space="0" w:color="auto"/>
                    <w:left w:val="none" w:sz="0" w:space="0" w:color="auto"/>
                    <w:bottom w:val="none" w:sz="0" w:space="0" w:color="auto"/>
                    <w:right w:val="none" w:sz="0" w:space="0" w:color="auto"/>
                  </w:divBdr>
                </w:div>
                <w:div w:id="715012719">
                  <w:marLeft w:val="0"/>
                  <w:marRight w:val="0"/>
                  <w:marTop w:val="0"/>
                  <w:marBottom w:val="0"/>
                  <w:divBdr>
                    <w:top w:val="none" w:sz="0" w:space="0" w:color="auto"/>
                    <w:left w:val="none" w:sz="0" w:space="0" w:color="auto"/>
                    <w:bottom w:val="none" w:sz="0" w:space="0" w:color="auto"/>
                    <w:right w:val="none" w:sz="0" w:space="0" w:color="auto"/>
                  </w:divBdr>
                </w:div>
                <w:div w:id="1549604005">
                  <w:marLeft w:val="0"/>
                  <w:marRight w:val="0"/>
                  <w:marTop w:val="0"/>
                  <w:marBottom w:val="0"/>
                  <w:divBdr>
                    <w:top w:val="none" w:sz="0" w:space="0" w:color="auto"/>
                    <w:left w:val="none" w:sz="0" w:space="0" w:color="auto"/>
                    <w:bottom w:val="none" w:sz="0" w:space="0" w:color="auto"/>
                    <w:right w:val="none" w:sz="0" w:space="0" w:color="auto"/>
                  </w:divBdr>
                </w:div>
                <w:div w:id="1467315152">
                  <w:marLeft w:val="0"/>
                  <w:marRight w:val="0"/>
                  <w:marTop w:val="0"/>
                  <w:marBottom w:val="0"/>
                  <w:divBdr>
                    <w:top w:val="none" w:sz="0" w:space="0" w:color="auto"/>
                    <w:left w:val="none" w:sz="0" w:space="0" w:color="auto"/>
                    <w:bottom w:val="none" w:sz="0" w:space="0" w:color="auto"/>
                    <w:right w:val="none" w:sz="0" w:space="0" w:color="auto"/>
                  </w:divBdr>
                  <w:divsChild>
                    <w:div w:id="2060517874">
                      <w:marLeft w:val="0"/>
                      <w:marRight w:val="0"/>
                      <w:marTop w:val="120"/>
                      <w:marBottom w:val="120"/>
                      <w:divBdr>
                        <w:top w:val="none" w:sz="0" w:space="0" w:color="auto"/>
                        <w:left w:val="none" w:sz="0" w:space="0" w:color="auto"/>
                        <w:bottom w:val="none" w:sz="0" w:space="0" w:color="auto"/>
                        <w:right w:val="none" w:sz="0" w:space="0" w:color="auto"/>
                      </w:divBdr>
                      <w:divsChild>
                        <w:div w:id="2141919728">
                          <w:marLeft w:val="0"/>
                          <w:marRight w:val="0"/>
                          <w:marTop w:val="0"/>
                          <w:marBottom w:val="0"/>
                          <w:divBdr>
                            <w:top w:val="none" w:sz="0" w:space="0" w:color="auto"/>
                            <w:left w:val="none" w:sz="0" w:space="0" w:color="auto"/>
                            <w:bottom w:val="none" w:sz="0" w:space="0" w:color="auto"/>
                            <w:right w:val="none" w:sz="0" w:space="0" w:color="auto"/>
                          </w:divBdr>
                          <w:divsChild>
                            <w:div w:id="2140295524">
                              <w:marLeft w:val="0"/>
                              <w:marRight w:val="0"/>
                              <w:marTop w:val="240"/>
                              <w:marBottom w:val="240"/>
                              <w:divBdr>
                                <w:top w:val="none" w:sz="0" w:space="0" w:color="auto"/>
                                <w:left w:val="none" w:sz="0" w:space="0" w:color="auto"/>
                                <w:bottom w:val="none" w:sz="0" w:space="0" w:color="auto"/>
                                <w:right w:val="none" w:sz="0" w:space="0" w:color="auto"/>
                              </w:divBdr>
                            </w:div>
                          </w:divsChild>
                        </w:div>
                        <w:div w:id="641738945">
                          <w:marLeft w:val="0"/>
                          <w:marRight w:val="0"/>
                          <w:marTop w:val="0"/>
                          <w:marBottom w:val="0"/>
                          <w:divBdr>
                            <w:top w:val="none" w:sz="0" w:space="0" w:color="auto"/>
                            <w:left w:val="none" w:sz="0" w:space="0" w:color="auto"/>
                            <w:bottom w:val="none" w:sz="0" w:space="0" w:color="auto"/>
                            <w:right w:val="none" w:sz="0" w:space="0" w:color="auto"/>
                          </w:divBdr>
                        </w:div>
                      </w:divsChild>
                    </w:div>
                    <w:div w:id="688795761">
                      <w:marLeft w:val="0"/>
                      <w:marRight w:val="0"/>
                      <w:marTop w:val="120"/>
                      <w:marBottom w:val="120"/>
                      <w:divBdr>
                        <w:top w:val="none" w:sz="0" w:space="0" w:color="auto"/>
                        <w:left w:val="none" w:sz="0" w:space="0" w:color="auto"/>
                        <w:bottom w:val="none" w:sz="0" w:space="0" w:color="auto"/>
                        <w:right w:val="none" w:sz="0" w:space="0" w:color="auto"/>
                      </w:divBdr>
                      <w:divsChild>
                        <w:div w:id="235827621">
                          <w:marLeft w:val="0"/>
                          <w:marRight w:val="0"/>
                          <w:marTop w:val="0"/>
                          <w:marBottom w:val="0"/>
                          <w:divBdr>
                            <w:top w:val="none" w:sz="0" w:space="0" w:color="auto"/>
                            <w:left w:val="none" w:sz="0" w:space="0" w:color="auto"/>
                            <w:bottom w:val="none" w:sz="0" w:space="0" w:color="auto"/>
                            <w:right w:val="none" w:sz="0" w:space="0" w:color="auto"/>
                          </w:divBdr>
                          <w:divsChild>
                            <w:div w:id="400762503">
                              <w:marLeft w:val="0"/>
                              <w:marRight w:val="0"/>
                              <w:marTop w:val="240"/>
                              <w:marBottom w:val="240"/>
                              <w:divBdr>
                                <w:top w:val="none" w:sz="0" w:space="0" w:color="auto"/>
                                <w:left w:val="none" w:sz="0" w:space="0" w:color="auto"/>
                                <w:bottom w:val="none" w:sz="0" w:space="0" w:color="auto"/>
                                <w:right w:val="none" w:sz="0" w:space="0" w:color="auto"/>
                              </w:divBdr>
                            </w:div>
                          </w:divsChild>
                        </w:div>
                        <w:div w:id="2143305610">
                          <w:marLeft w:val="0"/>
                          <w:marRight w:val="0"/>
                          <w:marTop w:val="0"/>
                          <w:marBottom w:val="0"/>
                          <w:divBdr>
                            <w:top w:val="none" w:sz="0" w:space="0" w:color="auto"/>
                            <w:left w:val="none" w:sz="0" w:space="0" w:color="auto"/>
                            <w:bottom w:val="none" w:sz="0" w:space="0" w:color="auto"/>
                            <w:right w:val="none" w:sz="0" w:space="0" w:color="auto"/>
                          </w:divBdr>
                        </w:div>
                      </w:divsChild>
                    </w:div>
                    <w:div w:id="1109163906">
                      <w:marLeft w:val="0"/>
                      <w:marRight w:val="0"/>
                      <w:marTop w:val="120"/>
                      <w:marBottom w:val="120"/>
                      <w:divBdr>
                        <w:top w:val="none" w:sz="0" w:space="0" w:color="auto"/>
                        <w:left w:val="none" w:sz="0" w:space="0" w:color="auto"/>
                        <w:bottom w:val="none" w:sz="0" w:space="0" w:color="auto"/>
                        <w:right w:val="none" w:sz="0" w:space="0" w:color="auto"/>
                      </w:divBdr>
                      <w:divsChild>
                        <w:div w:id="1838223311">
                          <w:marLeft w:val="0"/>
                          <w:marRight w:val="0"/>
                          <w:marTop w:val="0"/>
                          <w:marBottom w:val="0"/>
                          <w:divBdr>
                            <w:top w:val="none" w:sz="0" w:space="0" w:color="auto"/>
                            <w:left w:val="none" w:sz="0" w:space="0" w:color="auto"/>
                            <w:bottom w:val="none" w:sz="0" w:space="0" w:color="auto"/>
                            <w:right w:val="none" w:sz="0" w:space="0" w:color="auto"/>
                          </w:divBdr>
                          <w:divsChild>
                            <w:div w:id="2104185341">
                              <w:marLeft w:val="0"/>
                              <w:marRight w:val="0"/>
                              <w:marTop w:val="240"/>
                              <w:marBottom w:val="240"/>
                              <w:divBdr>
                                <w:top w:val="none" w:sz="0" w:space="0" w:color="auto"/>
                                <w:left w:val="none" w:sz="0" w:space="0" w:color="auto"/>
                                <w:bottom w:val="none" w:sz="0" w:space="0" w:color="auto"/>
                                <w:right w:val="none" w:sz="0" w:space="0" w:color="auto"/>
                              </w:divBdr>
                            </w:div>
                          </w:divsChild>
                        </w:div>
                        <w:div w:id="2064478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836409">
                  <w:marLeft w:val="0"/>
                  <w:marRight w:val="0"/>
                  <w:marTop w:val="0"/>
                  <w:marBottom w:val="0"/>
                  <w:divBdr>
                    <w:top w:val="none" w:sz="0" w:space="0" w:color="auto"/>
                    <w:left w:val="none" w:sz="0" w:space="0" w:color="auto"/>
                    <w:bottom w:val="none" w:sz="0" w:space="0" w:color="auto"/>
                    <w:right w:val="none" w:sz="0" w:space="0" w:color="auto"/>
                  </w:divBdr>
                </w:div>
                <w:div w:id="528184497">
                  <w:marLeft w:val="0"/>
                  <w:marRight w:val="0"/>
                  <w:marTop w:val="0"/>
                  <w:marBottom w:val="0"/>
                  <w:divBdr>
                    <w:top w:val="none" w:sz="0" w:space="0" w:color="auto"/>
                    <w:left w:val="none" w:sz="0" w:space="0" w:color="auto"/>
                    <w:bottom w:val="none" w:sz="0" w:space="0" w:color="auto"/>
                    <w:right w:val="none" w:sz="0" w:space="0" w:color="auto"/>
                  </w:divBdr>
                </w:div>
                <w:div w:id="50269658">
                  <w:marLeft w:val="0"/>
                  <w:marRight w:val="0"/>
                  <w:marTop w:val="240"/>
                  <w:marBottom w:val="240"/>
                  <w:divBdr>
                    <w:top w:val="none" w:sz="0" w:space="0" w:color="auto"/>
                    <w:left w:val="none" w:sz="0" w:space="0" w:color="auto"/>
                    <w:bottom w:val="none" w:sz="0" w:space="0" w:color="auto"/>
                    <w:right w:val="none" w:sz="0" w:space="0" w:color="auto"/>
                  </w:divBdr>
                  <w:divsChild>
                    <w:div w:id="1224872194">
                      <w:marLeft w:val="103"/>
                      <w:marRight w:val="206"/>
                      <w:marTop w:val="240"/>
                      <w:marBottom w:val="240"/>
                      <w:divBdr>
                        <w:top w:val="none" w:sz="0" w:space="0" w:color="auto"/>
                        <w:left w:val="none" w:sz="0" w:space="0" w:color="auto"/>
                        <w:bottom w:val="none" w:sz="0" w:space="0" w:color="auto"/>
                        <w:right w:val="none" w:sz="0" w:space="0" w:color="auto"/>
                      </w:divBdr>
                      <w:divsChild>
                        <w:div w:id="124780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072814">
                  <w:marLeft w:val="0"/>
                  <w:marRight w:val="0"/>
                  <w:marTop w:val="0"/>
                  <w:marBottom w:val="0"/>
                  <w:divBdr>
                    <w:top w:val="none" w:sz="0" w:space="0" w:color="auto"/>
                    <w:left w:val="none" w:sz="0" w:space="0" w:color="auto"/>
                    <w:bottom w:val="none" w:sz="0" w:space="0" w:color="auto"/>
                    <w:right w:val="none" w:sz="0" w:space="0" w:color="auto"/>
                  </w:divBdr>
                  <w:divsChild>
                    <w:div w:id="144517896">
                      <w:marLeft w:val="0"/>
                      <w:marRight w:val="0"/>
                      <w:marTop w:val="120"/>
                      <w:marBottom w:val="120"/>
                      <w:divBdr>
                        <w:top w:val="none" w:sz="0" w:space="0" w:color="auto"/>
                        <w:left w:val="none" w:sz="0" w:space="0" w:color="auto"/>
                        <w:bottom w:val="none" w:sz="0" w:space="0" w:color="auto"/>
                        <w:right w:val="none" w:sz="0" w:space="0" w:color="auto"/>
                      </w:divBdr>
                      <w:divsChild>
                        <w:div w:id="1070349416">
                          <w:marLeft w:val="0"/>
                          <w:marRight w:val="0"/>
                          <w:marTop w:val="0"/>
                          <w:marBottom w:val="0"/>
                          <w:divBdr>
                            <w:top w:val="none" w:sz="0" w:space="0" w:color="auto"/>
                            <w:left w:val="none" w:sz="0" w:space="0" w:color="auto"/>
                            <w:bottom w:val="none" w:sz="0" w:space="0" w:color="auto"/>
                            <w:right w:val="none" w:sz="0" w:space="0" w:color="auto"/>
                          </w:divBdr>
                          <w:divsChild>
                            <w:div w:id="156926346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6640422">
                      <w:marLeft w:val="0"/>
                      <w:marRight w:val="0"/>
                      <w:marTop w:val="120"/>
                      <w:marBottom w:val="120"/>
                      <w:divBdr>
                        <w:top w:val="none" w:sz="0" w:space="0" w:color="auto"/>
                        <w:left w:val="none" w:sz="0" w:space="0" w:color="auto"/>
                        <w:bottom w:val="none" w:sz="0" w:space="0" w:color="auto"/>
                        <w:right w:val="none" w:sz="0" w:space="0" w:color="auto"/>
                      </w:divBdr>
                      <w:divsChild>
                        <w:div w:id="1047683807">
                          <w:marLeft w:val="0"/>
                          <w:marRight w:val="0"/>
                          <w:marTop w:val="0"/>
                          <w:marBottom w:val="0"/>
                          <w:divBdr>
                            <w:top w:val="none" w:sz="0" w:space="0" w:color="auto"/>
                            <w:left w:val="none" w:sz="0" w:space="0" w:color="auto"/>
                            <w:bottom w:val="none" w:sz="0" w:space="0" w:color="auto"/>
                            <w:right w:val="none" w:sz="0" w:space="0" w:color="auto"/>
                          </w:divBdr>
                          <w:divsChild>
                            <w:div w:id="168558855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365059103">
                  <w:marLeft w:val="0"/>
                  <w:marRight w:val="0"/>
                  <w:marTop w:val="0"/>
                  <w:marBottom w:val="0"/>
                  <w:divBdr>
                    <w:top w:val="none" w:sz="0" w:space="0" w:color="auto"/>
                    <w:left w:val="none" w:sz="0" w:space="0" w:color="auto"/>
                    <w:bottom w:val="none" w:sz="0" w:space="0" w:color="auto"/>
                    <w:right w:val="none" w:sz="0" w:space="0" w:color="auto"/>
                  </w:divBdr>
                </w:div>
                <w:div w:id="856578888">
                  <w:marLeft w:val="0"/>
                  <w:marRight w:val="0"/>
                  <w:marTop w:val="240"/>
                  <w:marBottom w:val="240"/>
                  <w:divBdr>
                    <w:top w:val="none" w:sz="0" w:space="0" w:color="auto"/>
                    <w:left w:val="none" w:sz="0" w:space="0" w:color="auto"/>
                    <w:bottom w:val="none" w:sz="0" w:space="0" w:color="auto"/>
                    <w:right w:val="none" w:sz="0" w:space="0" w:color="auto"/>
                  </w:divBdr>
                  <w:divsChild>
                    <w:div w:id="1967393977">
                      <w:marLeft w:val="103"/>
                      <w:marRight w:val="206"/>
                      <w:marTop w:val="240"/>
                      <w:marBottom w:val="240"/>
                      <w:divBdr>
                        <w:top w:val="none" w:sz="0" w:space="0" w:color="auto"/>
                        <w:left w:val="none" w:sz="0" w:space="0" w:color="auto"/>
                        <w:bottom w:val="none" w:sz="0" w:space="0" w:color="auto"/>
                        <w:right w:val="none" w:sz="0" w:space="0" w:color="auto"/>
                      </w:divBdr>
                      <w:divsChild>
                        <w:div w:id="98535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495606">
                  <w:marLeft w:val="0"/>
                  <w:marRight w:val="0"/>
                  <w:marTop w:val="0"/>
                  <w:marBottom w:val="0"/>
                  <w:divBdr>
                    <w:top w:val="none" w:sz="0" w:space="0" w:color="auto"/>
                    <w:left w:val="none" w:sz="0" w:space="0" w:color="auto"/>
                    <w:bottom w:val="none" w:sz="0" w:space="0" w:color="auto"/>
                    <w:right w:val="none" w:sz="0" w:space="0" w:color="auto"/>
                  </w:divBdr>
                </w:div>
                <w:div w:id="11273170">
                  <w:marLeft w:val="0"/>
                  <w:marRight w:val="0"/>
                  <w:marTop w:val="240"/>
                  <w:marBottom w:val="240"/>
                  <w:divBdr>
                    <w:top w:val="none" w:sz="0" w:space="0" w:color="auto"/>
                    <w:left w:val="none" w:sz="0" w:space="0" w:color="auto"/>
                    <w:bottom w:val="none" w:sz="0" w:space="0" w:color="auto"/>
                    <w:right w:val="none" w:sz="0" w:space="0" w:color="auto"/>
                  </w:divBdr>
                  <w:divsChild>
                    <w:div w:id="8990456">
                      <w:marLeft w:val="103"/>
                      <w:marRight w:val="206"/>
                      <w:marTop w:val="240"/>
                      <w:marBottom w:val="240"/>
                      <w:divBdr>
                        <w:top w:val="none" w:sz="0" w:space="0" w:color="auto"/>
                        <w:left w:val="none" w:sz="0" w:space="0" w:color="auto"/>
                        <w:bottom w:val="none" w:sz="0" w:space="0" w:color="auto"/>
                        <w:right w:val="none" w:sz="0" w:space="0" w:color="auto"/>
                      </w:divBdr>
                      <w:divsChild>
                        <w:div w:id="103345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52350">
                  <w:marLeft w:val="0"/>
                  <w:marRight w:val="0"/>
                  <w:marTop w:val="0"/>
                  <w:marBottom w:val="0"/>
                  <w:divBdr>
                    <w:top w:val="none" w:sz="0" w:space="0" w:color="auto"/>
                    <w:left w:val="none" w:sz="0" w:space="0" w:color="auto"/>
                    <w:bottom w:val="none" w:sz="0" w:space="0" w:color="auto"/>
                    <w:right w:val="none" w:sz="0" w:space="0" w:color="auto"/>
                  </w:divBdr>
                </w:div>
                <w:div w:id="2052072521">
                  <w:marLeft w:val="0"/>
                  <w:marRight w:val="0"/>
                  <w:marTop w:val="240"/>
                  <w:marBottom w:val="240"/>
                  <w:divBdr>
                    <w:top w:val="none" w:sz="0" w:space="0" w:color="auto"/>
                    <w:left w:val="none" w:sz="0" w:space="0" w:color="auto"/>
                    <w:bottom w:val="none" w:sz="0" w:space="0" w:color="auto"/>
                    <w:right w:val="none" w:sz="0" w:space="0" w:color="auto"/>
                  </w:divBdr>
                  <w:divsChild>
                    <w:div w:id="278024594">
                      <w:marLeft w:val="103"/>
                      <w:marRight w:val="206"/>
                      <w:marTop w:val="240"/>
                      <w:marBottom w:val="240"/>
                      <w:divBdr>
                        <w:top w:val="none" w:sz="0" w:space="0" w:color="auto"/>
                        <w:left w:val="none" w:sz="0" w:space="0" w:color="auto"/>
                        <w:bottom w:val="none" w:sz="0" w:space="0" w:color="auto"/>
                        <w:right w:val="none" w:sz="0" w:space="0" w:color="auto"/>
                      </w:divBdr>
                      <w:divsChild>
                        <w:div w:id="554663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8368">
                  <w:marLeft w:val="0"/>
                  <w:marRight w:val="0"/>
                  <w:marTop w:val="0"/>
                  <w:marBottom w:val="0"/>
                  <w:divBdr>
                    <w:top w:val="none" w:sz="0" w:space="0" w:color="auto"/>
                    <w:left w:val="none" w:sz="0" w:space="0" w:color="auto"/>
                    <w:bottom w:val="none" w:sz="0" w:space="0" w:color="auto"/>
                    <w:right w:val="none" w:sz="0" w:space="0" w:color="auto"/>
                  </w:divBdr>
                </w:div>
                <w:div w:id="1770394537">
                  <w:marLeft w:val="0"/>
                  <w:marRight w:val="0"/>
                  <w:marTop w:val="240"/>
                  <w:marBottom w:val="240"/>
                  <w:divBdr>
                    <w:top w:val="none" w:sz="0" w:space="0" w:color="auto"/>
                    <w:left w:val="none" w:sz="0" w:space="0" w:color="auto"/>
                    <w:bottom w:val="none" w:sz="0" w:space="0" w:color="auto"/>
                    <w:right w:val="none" w:sz="0" w:space="0" w:color="auto"/>
                  </w:divBdr>
                  <w:divsChild>
                    <w:div w:id="704253419">
                      <w:marLeft w:val="103"/>
                      <w:marRight w:val="206"/>
                      <w:marTop w:val="240"/>
                      <w:marBottom w:val="240"/>
                      <w:divBdr>
                        <w:top w:val="none" w:sz="0" w:space="0" w:color="auto"/>
                        <w:left w:val="none" w:sz="0" w:space="0" w:color="auto"/>
                        <w:bottom w:val="none" w:sz="0" w:space="0" w:color="auto"/>
                        <w:right w:val="none" w:sz="0" w:space="0" w:color="auto"/>
                      </w:divBdr>
                      <w:divsChild>
                        <w:div w:id="208517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509148">
                  <w:marLeft w:val="0"/>
                  <w:marRight w:val="0"/>
                  <w:marTop w:val="0"/>
                  <w:marBottom w:val="0"/>
                  <w:divBdr>
                    <w:top w:val="none" w:sz="0" w:space="0" w:color="auto"/>
                    <w:left w:val="none" w:sz="0" w:space="0" w:color="auto"/>
                    <w:bottom w:val="none" w:sz="0" w:space="0" w:color="auto"/>
                    <w:right w:val="none" w:sz="0" w:space="0" w:color="auto"/>
                  </w:divBdr>
                </w:div>
                <w:div w:id="1078940208">
                  <w:marLeft w:val="0"/>
                  <w:marRight w:val="0"/>
                  <w:marTop w:val="240"/>
                  <w:marBottom w:val="240"/>
                  <w:divBdr>
                    <w:top w:val="none" w:sz="0" w:space="0" w:color="auto"/>
                    <w:left w:val="none" w:sz="0" w:space="0" w:color="auto"/>
                    <w:bottom w:val="none" w:sz="0" w:space="0" w:color="auto"/>
                    <w:right w:val="none" w:sz="0" w:space="0" w:color="auto"/>
                  </w:divBdr>
                  <w:divsChild>
                    <w:div w:id="829174659">
                      <w:marLeft w:val="103"/>
                      <w:marRight w:val="206"/>
                      <w:marTop w:val="240"/>
                      <w:marBottom w:val="240"/>
                      <w:divBdr>
                        <w:top w:val="none" w:sz="0" w:space="0" w:color="auto"/>
                        <w:left w:val="none" w:sz="0" w:space="0" w:color="auto"/>
                        <w:bottom w:val="none" w:sz="0" w:space="0" w:color="auto"/>
                        <w:right w:val="none" w:sz="0" w:space="0" w:color="auto"/>
                      </w:divBdr>
                      <w:divsChild>
                        <w:div w:id="204717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57312">
                  <w:marLeft w:val="0"/>
                  <w:marRight w:val="0"/>
                  <w:marTop w:val="0"/>
                  <w:marBottom w:val="0"/>
                  <w:divBdr>
                    <w:top w:val="none" w:sz="0" w:space="0" w:color="auto"/>
                    <w:left w:val="none" w:sz="0" w:space="0" w:color="auto"/>
                    <w:bottom w:val="none" w:sz="0" w:space="0" w:color="auto"/>
                    <w:right w:val="none" w:sz="0" w:space="0" w:color="auto"/>
                  </w:divBdr>
                </w:div>
                <w:div w:id="849948391">
                  <w:marLeft w:val="0"/>
                  <w:marRight w:val="0"/>
                  <w:marTop w:val="0"/>
                  <w:marBottom w:val="0"/>
                  <w:divBdr>
                    <w:top w:val="none" w:sz="0" w:space="0" w:color="auto"/>
                    <w:left w:val="none" w:sz="0" w:space="0" w:color="auto"/>
                    <w:bottom w:val="none" w:sz="0" w:space="0" w:color="auto"/>
                    <w:right w:val="none" w:sz="0" w:space="0" w:color="auto"/>
                  </w:divBdr>
                </w:div>
                <w:div w:id="1888101905">
                  <w:marLeft w:val="0"/>
                  <w:marRight w:val="0"/>
                  <w:marTop w:val="0"/>
                  <w:marBottom w:val="0"/>
                  <w:divBdr>
                    <w:top w:val="none" w:sz="0" w:space="0" w:color="auto"/>
                    <w:left w:val="none" w:sz="0" w:space="0" w:color="auto"/>
                    <w:bottom w:val="none" w:sz="0" w:space="0" w:color="auto"/>
                    <w:right w:val="none" w:sz="0" w:space="0" w:color="auto"/>
                  </w:divBdr>
                </w:div>
                <w:div w:id="2123304350">
                  <w:marLeft w:val="0"/>
                  <w:marRight w:val="0"/>
                  <w:marTop w:val="0"/>
                  <w:marBottom w:val="0"/>
                  <w:divBdr>
                    <w:top w:val="none" w:sz="0" w:space="0" w:color="auto"/>
                    <w:left w:val="none" w:sz="0" w:space="0" w:color="auto"/>
                    <w:bottom w:val="none" w:sz="0" w:space="0" w:color="auto"/>
                    <w:right w:val="none" w:sz="0" w:space="0" w:color="auto"/>
                  </w:divBdr>
                </w:div>
                <w:div w:id="1781028926">
                  <w:marLeft w:val="0"/>
                  <w:marRight w:val="0"/>
                  <w:marTop w:val="0"/>
                  <w:marBottom w:val="0"/>
                  <w:divBdr>
                    <w:top w:val="none" w:sz="0" w:space="0" w:color="auto"/>
                    <w:left w:val="none" w:sz="0" w:space="0" w:color="auto"/>
                    <w:bottom w:val="none" w:sz="0" w:space="0" w:color="auto"/>
                    <w:right w:val="none" w:sz="0" w:space="0" w:color="auto"/>
                  </w:divBdr>
                </w:div>
                <w:div w:id="1887637335">
                  <w:marLeft w:val="0"/>
                  <w:marRight w:val="0"/>
                  <w:marTop w:val="0"/>
                  <w:marBottom w:val="0"/>
                  <w:divBdr>
                    <w:top w:val="none" w:sz="0" w:space="0" w:color="auto"/>
                    <w:left w:val="none" w:sz="0" w:space="0" w:color="auto"/>
                    <w:bottom w:val="none" w:sz="0" w:space="0" w:color="auto"/>
                    <w:right w:val="none" w:sz="0" w:space="0" w:color="auto"/>
                  </w:divBdr>
                </w:div>
              </w:divsChild>
            </w:div>
            <w:div w:id="1125345140">
              <w:marLeft w:val="0"/>
              <w:marRight w:val="0"/>
              <w:marTop w:val="0"/>
              <w:marBottom w:val="0"/>
              <w:divBdr>
                <w:top w:val="none" w:sz="0" w:space="0" w:color="auto"/>
                <w:left w:val="none" w:sz="0" w:space="0" w:color="auto"/>
                <w:bottom w:val="none" w:sz="0" w:space="0" w:color="auto"/>
                <w:right w:val="none" w:sz="0" w:space="0" w:color="auto"/>
              </w:divBdr>
              <w:divsChild>
                <w:div w:id="512376824">
                  <w:marLeft w:val="0"/>
                  <w:marRight w:val="0"/>
                  <w:marTop w:val="0"/>
                  <w:marBottom w:val="0"/>
                  <w:divBdr>
                    <w:top w:val="none" w:sz="0" w:space="0" w:color="auto"/>
                    <w:left w:val="none" w:sz="0" w:space="0" w:color="auto"/>
                    <w:bottom w:val="none" w:sz="0" w:space="0" w:color="auto"/>
                    <w:right w:val="none" w:sz="0" w:space="0" w:color="auto"/>
                  </w:divBdr>
                </w:div>
                <w:div w:id="695345671">
                  <w:marLeft w:val="0"/>
                  <w:marRight w:val="0"/>
                  <w:marTop w:val="0"/>
                  <w:marBottom w:val="0"/>
                  <w:divBdr>
                    <w:top w:val="none" w:sz="0" w:space="0" w:color="auto"/>
                    <w:left w:val="none" w:sz="0" w:space="0" w:color="auto"/>
                    <w:bottom w:val="none" w:sz="0" w:space="0" w:color="auto"/>
                    <w:right w:val="none" w:sz="0" w:space="0" w:color="auto"/>
                  </w:divBdr>
                </w:div>
                <w:div w:id="2039813618">
                  <w:marLeft w:val="0"/>
                  <w:marRight w:val="0"/>
                  <w:marTop w:val="0"/>
                  <w:marBottom w:val="0"/>
                  <w:divBdr>
                    <w:top w:val="none" w:sz="0" w:space="0" w:color="auto"/>
                    <w:left w:val="none" w:sz="0" w:space="0" w:color="auto"/>
                    <w:bottom w:val="none" w:sz="0" w:space="0" w:color="auto"/>
                    <w:right w:val="none" w:sz="0" w:space="0" w:color="auto"/>
                  </w:divBdr>
                </w:div>
                <w:div w:id="1915384812">
                  <w:marLeft w:val="0"/>
                  <w:marRight w:val="0"/>
                  <w:marTop w:val="0"/>
                  <w:marBottom w:val="0"/>
                  <w:divBdr>
                    <w:top w:val="none" w:sz="0" w:space="0" w:color="auto"/>
                    <w:left w:val="none" w:sz="0" w:space="0" w:color="auto"/>
                    <w:bottom w:val="none" w:sz="0" w:space="0" w:color="auto"/>
                    <w:right w:val="none" w:sz="0" w:space="0" w:color="auto"/>
                  </w:divBdr>
                </w:div>
                <w:div w:id="1039210535">
                  <w:marLeft w:val="0"/>
                  <w:marRight w:val="0"/>
                  <w:marTop w:val="0"/>
                  <w:marBottom w:val="0"/>
                  <w:divBdr>
                    <w:top w:val="none" w:sz="0" w:space="0" w:color="auto"/>
                    <w:left w:val="none" w:sz="0" w:space="0" w:color="auto"/>
                    <w:bottom w:val="none" w:sz="0" w:space="0" w:color="auto"/>
                    <w:right w:val="none" w:sz="0" w:space="0" w:color="auto"/>
                  </w:divBdr>
                </w:div>
                <w:div w:id="293096732">
                  <w:marLeft w:val="0"/>
                  <w:marRight w:val="0"/>
                  <w:marTop w:val="0"/>
                  <w:marBottom w:val="0"/>
                  <w:divBdr>
                    <w:top w:val="none" w:sz="0" w:space="0" w:color="auto"/>
                    <w:left w:val="none" w:sz="0" w:space="0" w:color="auto"/>
                    <w:bottom w:val="none" w:sz="0" w:space="0" w:color="auto"/>
                    <w:right w:val="none" w:sz="0" w:space="0" w:color="auto"/>
                  </w:divBdr>
                </w:div>
                <w:div w:id="1546912594">
                  <w:marLeft w:val="0"/>
                  <w:marRight w:val="0"/>
                  <w:marTop w:val="0"/>
                  <w:marBottom w:val="0"/>
                  <w:divBdr>
                    <w:top w:val="none" w:sz="0" w:space="0" w:color="auto"/>
                    <w:left w:val="none" w:sz="0" w:space="0" w:color="auto"/>
                    <w:bottom w:val="none" w:sz="0" w:space="0" w:color="auto"/>
                    <w:right w:val="none" w:sz="0" w:space="0" w:color="auto"/>
                  </w:divBdr>
                </w:div>
                <w:div w:id="1814178158">
                  <w:marLeft w:val="0"/>
                  <w:marRight w:val="0"/>
                  <w:marTop w:val="0"/>
                  <w:marBottom w:val="0"/>
                  <w:divBdr>
                    <w:top w:val="none" w:sz="0" w:space="0" w:color="auto"/>
                    <w:left w:val="none" w:sz="0" w:space="0" w:color="auto"/>
                    <w:bottom w:val="none" w:sz="0" w:space="0" w:color="auto"/>
                    <w:right w:val="none" w:sz="0" w:space="0" w:color="auto"/>
                  </w:divBdr>
                </w:div>
                <w:div w:id="1665012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2117868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390/molecules26051289" TargetMode="Externa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6.jpeg"/><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27</Pages>
  <Words>10286</Words>
  <Characters>58636</Characters>
  <Application>Microsoft Office Word</Application>
  <DocSecurity>8</DocSecurity>
  <Lines>488</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196</cp:revision>
  <dcterms:created xsi:type="dcterms:W3CDTF">2021-12-01T20:55:00Z</dcterms:created>
  <dcterms:modified xsi:type="dcterms:W3CDTF">2022-01-12T19:12:00Z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