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CE75222" w:rsidR="000A7622" w:rsidRPr="00C04F25" w:rsidRDefault="008808D9"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4A8D90" w:rsidR="000A7622" w:rsidRDefault="00AA4CA8" w:rsidP="00D14423">
      <w:pPr>
        <w:rPr>
          <w:rFonts w:cstheme="minorHAnsi"/>
          <w:sz w:val="24"/>
          <w:szCs w:val="24"/>
        </w:rPr>
      </w:pPr>
      <w:proofErr w:type="spellStart"/>
      <w:r>
        <w:rPr>
          <w:rFonts w:cstheme="minorHAnsi"/>
          <w:i/>
          <w:sz w:val="24"/>
          <w:szCs w:val="24"/>
          <w:lang w:val="fr-FR"/>
        </w:rPr>
        <w:t>Angewandte</w:t>
      </w:r>
      <w:proofErr w:type="spellEnd"/>
      <w:r>
        <w:rPr>
          <w:rFonts w:cstheme="minorHAnsi"/>
          <w:i/>
          <w:sz w:val="24"/>
          <w:szCs w:val="24"/>
          <w:lang w:val="fr-FR"/>
        </w:rPr>
        <w:t xml:space="preserve"> </w:t>
      </w:r>
      <w:proofErr w:type="spellStart"/>
      <w:r>
        <w:rPr>
          <w:rFonts w:cstheme="minorHAnsi"/>
          <w:i/>
          <w:sz w:val="24"/>
          <w:szCs w:val="24"/>
          <w:lang w:val="fr-FR"/>
        </w:rPr>
        <w:t>Chemie</w:t>
      </w:r>
      <w:proofErr w:type="spellEnd"/>
      <w:r>
        <w:rPr>
          <w:rFonts w:cstheme="minorHAnsi"/>
          <w:i/>
          <w:sz w:val="24"/>
          <w:szCs w:val="24"/>
          <w:lang w:val="fr-FR"/>
        </w:rPr>
        <w:t xml:space="preserve"> International Edition</w:t>
      </w:r>
      <w:r w:rsidR="000A7622" w:rsidRPr="00C04F25">
        <w:rPr>
          <w:rFonts w:cstheme="minorHAnsi"/>
          <w:sz w:val="24"/>
          <w:szCs w:val="24"/>
          <w:lang w:val="fr-FR"/>
        </w:rPr>
        <w:t xml:space="preserve">, Vol. </w:t>
      </w:r>
      <w:r>
        <w:rPr>
          <w:rFonts w:cstheme="minorHAnsi"/>
          <w:sz w:val="24"/>
          <w:szCs w:val="24"/>
          <w:lang w:val="fr-FR"/>
        </w:rPr>
        <w:t>61</w:t>
      </w:r>
      <w:r w:rsidR="000A7622" w:rsidRPr="00C04F25">
        <w:rPr>
          <w:rFonts w:cstheme="minorHAnsi"/>
          <w:sz w:val="24"/>
          <w:szCs w:val="24"/>
          <w:lang w:val="fr-FR"/>
        </w:rPr>
        <w:t xml:space="preserve">, No. </w:t>
      </w:r>
      <w:r>
        <w:rPr>
          <w:rFonts w:cstheme="minorHAnsi"/>
          <w:sz w:val="24"/>
          <w:szCs w:val="24"/>
          <w:lang w:val="fr-FR"/>
        </w:rPr>
        <w:t>33</w:t>
      </w:r>
      <w:r w:rsidR="000A7622" w:rsidRPr="00C04F25">
        <w:rPr>
          <w:rFonts w:cstheme="minorHAnsi"/>
          <w:sz w:val="24"/>
          <w:szCs w:val="24"/>
          <w:lang w:val="fr-FR"/>
        </w:rPr>
        <w:t xml:space="preserve"> (</w:t>
      </w:r>
      <w:r w:rsidR="00E01A03">
        <w:rPr>
          <w:rFonts w:cstheme="minorHAnsi"/>
          <w:sz w:val="24"/>
          <w:szCs w:val="24"/>
          <w:lang w:val="fr-FR"/>
        </w:rPr>
        <w:t>August 15,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01A03">
        <w:rPr>
          <w:rFonts w:cstheme="minorHAnsi"/>
          <w:sz w:val="24"/>
          <w:szCs w:val="24"/>
          <w:lang w:val="fr-FR"/>
        </w:rPr>
        <w:t>e202104340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379BB">
        <w:rPr>
          <w:rFonts w:cstheme="minorHAnsi"/>
          <w:sz w:val="24"/>
          <w:szCs w:val="24"/>
        </w:rPr>
        <w:t>Wiley-VCH Verlag</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379BB">
        <w:rPr>
          <w:rFonts w:cstheme="minorHAnsi"/>
          <w:sz w:val="24"/>
          <w:szCs w:val="24"/>
        </w:rPr>
        <w:t>Wiley-VCH Verlag</w:t>
      </w:r>
      <w:r w:rsidR="000A7622" w:rsidRPr="00C04F25">
        <w:rPr>
          <w:rFonts w:cstheme="minorHAnsi"/>
          <w:sz w:val="24"/>
          <w:szCs w:val="24"/>
        </w:rPr>
        <w:t xml:space="preserve"> does not grant permission for this article to be further copied/distributed or hosted elsewhere without the express permission from </w:t>
      </w:r>
      <w:r w:rsidR="002379BB">
        <w:rPr>
          <w:rFonts w:cstheme="minorHAnsi"/>
          <w:sz w:val="24"/>
          <w:szCs w:val="24"/>
        </w:rPr>
        <w:t>Wiley-VCH Verlag</w:t>
      </w:r>
      <w:r w:rsidR="000A7622" w:rsidRPr="00C04F25">
        <w:rPr>
          <w:rFonts w:cstheme="minorHAnsi"/>
          <w:sz w:val="24"/>
          <w:szCs w:val="24"/>
        </w:rPr>
        <w:t xml:space="preserve">. </w:t>
      </w:r>
      <w:bookmarkEnd w:id="1"/>
    </w:p>
    <w:p w14:paraId="3E4E67BC" w14:textId="77777777" w:rsidR="006678D9" w:rsidRDefault="006678D9" w:rsidP="00D14423">
      <w:pPr>
        <w:rPr>
          <w:rFonts w:cstheme="minorHAnsi"/>
          <w:sz w:val="24"/>
          <w:szCs w:val="24"/>
        </w:rPr>
      </w:pPr>
    </w:p>
    <w:p w14:paraId="5CD87FEC" w14:textId="77777777" w:rsidR="00F91A4B" w:rsidRPr="00F91A4B" w:rsidRDefault="00F91A4B" w:rsidP="00F91A4B">
      <w:pPr>
        <w:pStyle w:val="Title"/>
      </w:pPr>
      <w:r w:rsidRPr="00F91A4B">
        <w:t xml:space="preserve">Enantioselective Synthesis of </w:t>
      </w:r>
      <w:proofErr w:type="spellStart"/>
      <w:r w:rsidRPr="00F91A4B">
        <w:t>Enantioisotopomers</w:t>
      </w:r>
      <w:proofErr w:type="spellEnd"/>
      <w:r w:rsidRPr="00F91A4B">
        <w:t xml:space="preserve"> with Quantitative Chiral Analysis by Chiral Tag Rotational Spectroscopy</w:t>
      </w:r>
    </w:p>
    <w:p w14:paraId="00B83DBD" w14:textId="77777777" w:rsidR="00F91A4B" w:rsidRDefault="00F91A4B" w:rsidP="00F91A4B">
      <w:pPr>
        <w:rPr>
          <w:rFonts w:cstheme="minorHAnsi"/>
          <w:sz w:val="24"/>
          <w:szCs w:val="24"/>
        </w:rPr>
      </w:pPr>
    </w:p>
    <w:p w14:paraId="6AD2F76B" w14:textId="77777777" w:rsidR="00F91A4B" w:rsidRPr="009930B2" w:rsidRDefault="00F91A4B" w:rsidP="009930B2">
      <w:pPr>
        <w:pStyle w:val="NoSpacing"/>
        <w:rPr>
          <w:sz w:val="32"/>
          <w:szCs w:val="32"/>
        </w:rPr>
      </w:pPr>
      <w:r w:rsidRPr="009930B2">
        <w:rPr>
          <w:sz w:val="32"/>
          <w:szCs w:val="32"/>
        </w:rPr>
        <w:t>Mitchell D. Mills</w:t>
      </w:r>
    </w:p>
    <w:p w14:paraId="2A9DD959" w14:textId="2B3CDB4F" w:rsidR="00F91A4B" w:rsidRPr="009930B2" w:rsidRDefault="00127DAF" w:rsidP="009930B2">
      <w:pPr>
        <w:pStyle w:val="NoSpacing"/>
        <w:rPr>
          <w:sz w:val="24"/>
          <w:szCs w:val="24"/>
        </w:rPr>
      </w:pPr>
      <w:r w:rsidRPr="009930B2">
        <w:rPr>
          <w:sz w:val="24"/>
          <w:szCs w:val="24"/>
        </w:rPr>
        <w:t>Department of Chemistry, Marquette University, Milwaukee, WI</w:t>
      </w:r>
    </w:p>
    <w:p w14:paraId="676B54F6" w14:textId="77777777" w:rsidR="00F91A4B" w:rsidRPr="009930B2" w:rsidRDefault="00F91A4B" w:rsidP="009930B2">
      <w:pPr>
        <w:pStyle w:val="NoSpacing"/>
        <w:rPr>
          <w:sz w:val="32"/>
          <w:szCs w:val="32"/>
        </w:rPr>
      </w:pPr>
      <w:r w:rsidRPr="009930B2">
        <w:rPr>
          <w:sz w:val="32"/>
          <w:szCs w:val="32"/>
        </w:rPr>
        <w:t xml:space="preserve">Reilly E. </w:t>
      </w:r>
      <w:proofErr w:type="spellStart"/>
      <w:r w:rsidRPr="009930B2">
        <w:rPr>
          <w:sz w:val="32"/>
          <w:szCs w:val="32"/>
        </w:rPr>
        <w:t>Sonstrom</w:t>
      </w:r>
      <w:proofErr w:type="spellEnd"/>
    </w:p>
    <w:p w14:paraId="371AC81E" w14:textId="39E76A35" w:rsidR="004062A8" w:rsidRPr="009930B2" w:rsidRDefault="00127DAF" w:rsidP="009930B2">
      <w:pPr>
        <w:pStyle w:val="NoSpacing"/>
        <w:rPr>
          <w:sz w:val="24"/>
          <w:szCs w:val="24"/>
        </w:rPr>
      </w:pPr>
      <w:r w:rsidRPr="009930B2">
        <w:rPr>
          <w:sz w:val="24"/>
          <w:szCs w:val="24"/>
        </w:rPr>
        <w:t>Department of Chemistry, University of Virginia, Charlottesville, VA</w:t>
      </w:r>
    </w:p>
    <w:p w14:paraId="04633F4B" w14:textId="77777777" w:rsidR="004062A8" w:rsidRPr="009930B2" w:rsidRDefault="00F91A4B" w:rsidP="009930B2">
      <w:pPr>
        <w:pStyle w:val="NoSpacing"/>
        <w:rPr>
          <w:sz w:val="32"/>
          <w:szCs w:val="32"/>
        </w:rPr>
      </w:pPr>
      <w:r w:rsidRPr="009930B2">
        <w:rPr>
          <w:sz w:val="32"/>
          <w:szCs w:val="32"/>
        </w:rPr>
        <w:t>Zoua Pa Vang</w:t>
      </w:r>
    </w:p>
    <w:p w14:paraId="396E6BEE" w14:textId="5B51B470" w:rsidR="004062A8" w:rsidRPr="009930B2" w:rsidRDefault="007B23CA" w:rsidP="009930B2">
      <w:pPr>
        <w:pStyle w:val="NoSpacing"/>
        <w:rPr>
          <w:sz w:val="24"/>
          <w:szCs w:val="24"/>
        </w:rPr>
      </w:pPr>
      <w:r w:rsidRPr="009930B2">
        <w:rPr>
          <w:sz w:val="24"/>
          <w:szCs w:val="24"/>
        </w:rPr>
        <w:t>Department of Chemistry, Marquette University, Milwaukee, WI</w:t>
      </w:r>
    </w:p>
    <w:p w14:paraId="6C4CD8F8" w14:textId="77777777" w:rsidR="004062A8" w:rsidRPr="009930B2" w:rsidRDefault="00F91A4B" w:rsidP="009930B2">
      <w:pPr>
        <w:pStyle w:val="NoSpacing"/>
        <w:rPr>
          <w:sz w:val="32"/>
          <w:szCs w:val="32"/>
        </w:rPr>
      </w:pPr>
      <w:r w:rsidRPr="009930B2">
        <w:rPr>
          <w:sz w:val="32"/>
          <w:szCs w:val="32"/>
        </w:rPr>
        <w:t>Justin L. Neill</w:t>
      </w:r>
    </w:p>
    <w:p w14:paraId="5713B51E" w14:textId="19FE18FB" w:rsidR="004062A8" w:rsidRPr="009930B2" w:rsidRDefault="007B23CA" w:rsidP="009930B2">
      <w:pPr>
        <w:pStyle w:val="NoSpacing"/>
        <w:rPr>
          <w:sz w:val="24"/>
          <w:szCs w:val="24"/>
        </w:rPr>
      </w:pPr>
      <w:proofErr w:type="spellStart"/>
      <w:r w:rsidRPr="009930B2">
        <w:rPr>
          <w:sz w:val="24"/>
          <w:szCs w:val="24"/>
        </w:rPr>
        <w:t>BrightSpec</w:t>
      </w:r>
      <w:proofErr w:type="spellEnd"/>
      <w:r w:rsidRPr="009930B2">
        <w:rPr>
          <w:sz w:val="24"/>
          <w:szCs w:val="24"/>
        </w:rPr>
        <w:t xml:space="preserve"> Inc., 770 Harris Street Suite 104b, Charlottesville, VA</w:t>
      </w:r>
    </w:p>
    <w:p w14:paraId="1A828C0E" w14:textId="77777777" w:rsidR="004062A8" w:rsidRPr="009930B2" w:rsidRDefault="00F91A4B" w:rsidP="009930B2">
      <w:pPr>
        <w:pStyle w:val="NoSpacing"/>
        <w:rPr>
          <w:sz w:val="32"/>
          <w:szCs w:val="32"/>
        </w:rPr>
      </w:pPr>
      <w:r w:rsidRPr="009930B2">
        <w:rPr>
          <w:sz w:val="32"/>
          <w:szCs w:val="32"/>
        </w:rPr>
        <w:t xml:space="preserve">Haley N. </w:t>
      </w:r>
      <w:proofErr w:type="spellStart"/>
      <w:r w:rsidRPr="009930B2">
        <w:rPr>
          <w:sz w:val="32"/>
          <w:szCs w:val="32"/>
        </w:rPr>
        <w:t>Scolati</w:t>
      </w:r>
      <w:proofErr w:type="spellEnd"/>
    </w:p>
    <w:p w14:paraId="49E27440" w14:textId="4F9BF5A2" w:rsidR="004062A8" w:rsidRPr="009930B2" w:rsidRDefault="008530C2" w:rsidP="009930B2">
      <w:pPr>
        <w:pStyle w:val="NoSpacing"/>
        <w:rPr>
          <w:sz w:val="24"/>
          <w:szCs w:val="24"/>
        </w:rPr>
      </w:pPr>
      <w:r w:rsidRPr="009930B2">
        <w:rPr>
          <w:sz w:val="24"/>
          <w:szCs w:val="24"/>
        </w:rPr>
        <w:t>Department of Chemistry, University of Virginia, Charlottesville, VA</w:t>
      </w:r>
    </w:p>
    <w:p w14:paraId="267A8870" w14:textId="77777777" w:rsidR="004062A8" w:rsidRPr="009930B2" w:rsidRDefault="00F91A4B" w:rsidP="009930B2">
      <w:pPr>
        <w:pStyle w:val="NoSpacing"/>
        <w:rPr>
          <w:sz w:val="32"/>
          <w:szCs w:val="32"/>
        </w:rPr>
      </w:pPr>
      <w:r w:rsidRPr="009930B2">
        <w:rPr>
          <w:sz w:val="32"/>
          <w:szCs w:val="32"/>
        </w:rPr>
        <w:t>Channing T. West</w:t>
      </w:r>
    </w:p>
    <w:p w14:paraId="7C015794" w14:textId="647184F9" w:rsidR="004062A8" w:rsidRPr="009930B2" w:rsidRDefault="008530C2" w:rsidP="009930B2">
      <w:pPr>
        <w:pStyle w:val="NoSpacing"/>
        <w:rPr>
          <w:sz w:val="24"/>
          <w:szCs w:val="24"/>
        </w:rPr>
      </w:pPr>
      <w:r w:rsidRPr="009930B2">
        <w:rPr>
          <w:sz w:val="24"/>
          <w:szCs w:val="24"/>
        </w:rPr>
        <w:t>Department of Chemistry, University of Virginia, Charlottesville, VA</w:t>
      </w:r>
    </w:p>
    <w:p w14:paraId="06EC2EB0" w14:textId="77777777" w:rsidR="004062A8" w:rsidRPr="009930B2" w:rsidRDefault="00F91A4B" w:rsidP="009930B2">
      <w:pPr>
        <w:pStyle w:val="NoSpacing"/>
        <w:rPr>
          <w:sz w:val="32"/>
          <w:szCs w:val="32"/>
        </w:rPr>
      </w:pPr>
      <w:r w:rsidRPr="009930B2">
        <w:rPr>
          <w:sz w:val="32"/>
          <w:szCs w:val="32"/>
        </w:rPr>
        <w:t>Brooks H. Pate</w:t>
      </w:r>
    </w:p>
    <w:p w14:paraId="6663E3B6" w14:textId="41EEECE4" w:rsidR="004062A8" w:rsidRPr="009930B2" w:rsidRDefault="008530C2" w:rsidP="009930B2">
      <w:pPr>
        <w:pStyle w:val="NoSpacing"/>
        <w:rPr>
          <w:sz w:val="24"/>
          <w:szCs w:val="24"/>
        </w:rPr>
      </w:pPr>
      <w:r w:rsidRPr="009930B2">
        <w:rPr>
          <w:sz w:val="24"/>
          <w:szCs w:val="24"/>
        </w:rPr>
        <w:t>Department of Chemistry, University of Virginia, Charlottesville, VA</w:t>
      </w:r>
    </w:p>
    <w:p w14:paraId="78B05985" w14:textId="2DC7D5DA" w:rsidR="00F91A4B" w:rsidRPr="009930B2" w:rsidRDefault="00F91A4B" w:rsidP="009930B2">
      <w:pPr>
        <w:pStyle w:val="NoSpacing"/>
        <w:rPr>
          <w:sz w:val="32"/>
          <w:szCs w:val="32"/>
        </w:rPr>
      </w:pPr>
      <w:r w:rsidRPr="009930B2">
        <w:rPr>
          <w:sz w:val="32"/>
          <w:szCs w:val="32"/>
        </w:rPr>
        <w:t>Joseph R. Clark</w:t>
      </w:r>
    </w:p>
    <w:p w14:paraId="35718928" w14:textId="45A1E170" w:rsidR="006678D9" w:rsidRPr="009930B2" w:rsidRDefault="009930B2" w:rsidP="009930B2">
      <w:pPr>
        <w:pStyle w:val="NoSpacing"/>
        <w:rPr>
          <w:sz w:val="24"/>
          <w:szCs w:val="24"/>
        </w:rPr>
      </w:pPr>
      <w:r w:rsidRPr="009930B2">
        <w:rPr>
          <w:sz w:val="24"/>
          <w:szCs w:val="24"/>
        </w:rPr>
        <w:t>Department of Chemistry, Marquette University, Milwaukee, WI</w:t>
      </w:r>
    </w:p>
    <w:p w14:paraId="45838334" w14:textId="77777777" w:rsidR="001511EC" w:rsidRDefault="001511EC" w:rsidP="00D14423">
      <w:pPr>
        <w:rPr>
          <w:rFonts w:cstheme="minorHAnsi"/>
          <w:sz w:val="24"/>
          <w:szCs w:val="24"/>
        </w:rPr>
      </w:pPr>
    </w:p>
    <w:p w14:paraId="31ABE09E" w14:textId="77777777" w:rsidR="00073BE7" w:rsidRDefault="00073BE7" w:rsidP="00073BE7">
      <w:pPr>
        <w:pStyle w:val="Heading2"/>
        <w:shd w:val="clear" w:color="auto" w:fill="FFFFFF"/>
        <w:rPr>
          <w:rFonts w:ascii="Arial" w:hAnsi="Arial" w:cs="Arial"/>
          <w:color w:val="1C1D1E"/>
        </w:rPr>
      </w:pPr>
      <w:r>
        <w:rPr>
          <w:rFonts w:ascii="Arial" w:hAnsi="Arial" w:cs="Arial"/>
          <w:color w:val="1C1D1E"/>
        </w:rPr>
        <w:t>Graphical Abstract</w:t>
      </w:r>
    </w:p>
    <w:p w14:paraId="29D4C898" w14:textId="77777777" w:rsidR="00073BE7" w:rsidRDefault="00073BE7" w:rsidP="001C26FC">
      <w:pPr>
        <w:pStyle w:val="NoSpacing"/>
      </w:pPr>
      <w:r>
        <w:t xml:space="preserve">The validation and application of chiral tagging in molecular rotational resonance spectroscopy is reported for the assignment of absolute configuration and direct determination of enantiomeric excess for </w:t>
      </w:r>
      <w:proofErr w:type="spellStart"/>
      <w:r>
        <w:t>enantioisotopomers</w:t>
      </w:r>
      <w:proofErr w:type="spellEnd"/>
      <w:r>
        <w:t xml:space="preserve">. Furthermore, a new catalytic, highly enantioselective, and scalable reaction is described for the direct synthesis of </w:t>
      </w:r>
      <w:proofErr w:type="spellStart"/>
      <w:r>
        <w:t>enantioisotopomers</w:t>
      </w:r>
      <w:proofErr w:type="spellEnd"/>
      <w:r>
        <w:t xml:space="preserve"> from styrene substrates.</w:t>
      </w:r>
    </w:p>
    <w:p w14:paraId="632035B9" w14:textId="2A52D964" w:rsidR="00073BE7" w:rsidRDefault="00073BE7" w:rsidP="00073BE7">
      <w:pPr>
        <w:shd w:val="clear" w:color="auto" w:fill="FFFFFF"/>
        <w:jc w:val="center"/>
        <w:rPr>
          <w:rFonts w:ascii="Arial" w:hAnsi="Arial" w:cs="Arial"/>
          <w:color w:val="1C1D1E"/>
          <w:sz w:val="21"/>
          <w:szCs w:val="21"/>
        </w:rPr>
      </w:pPr>
      <w:r>
        <w:rPr>
          <w:rFonts w:ascii="Arial" w:hAnsi="Arial" w:cs="Arial"/>
          <w:noProof/>
          <w:color w:val="0000FF"/>
          <w:sz w:val="21"/>
          <w:szCs w:val="21"/>
        </w:rPr>
        <w:drawing>
          <wp:inline distT="0" distB="0" distL="0" distR="0" wp14:anchorId="36F162C1" wp14:editId="727FC26E">
            <wp:extent cx="4762500" cy="680085"/>
            <wp:effectExtent l="0" t="0" r="0" b="5715"/>
            <wp:docPr id="726440772" name="Picture 9" descr="Description unavailabl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availabl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680085"/>
                    </a:xfrm>
                    <a:prstGeom prst="rect">
                      <a:avLst/>
                    </a:prstGeom>
                    <a:noFill/>
                    <a:ln>
                      <a:noFill/>
                    </a:ln>
                  </pic:spPr>
                </pic:pic>
              </a:graphicData>
            </a:graphic>
          </wp:inline>
        </w:drawing>
      </w:r>
    </w:p>
    <w:p w14:paraId="65B9F77C" w14:textId="77777777" w:rsidR="00073BE7" w:rsidRPr="001C26FC" w:rsidRDefault="00073BE7" w:rsidP="00A11CC1">
      <w:pPr>
        <w:pStyle w:val="Heading1"/>
        <w:rPr>
          <w:sz w:val="36"/>
          <w:szCs w:val="36"/>
        </w:rPr>
      </w:pPr>
      <w:r w:rsidRPr="001C26FC">
        <w:t>Abstract</w:t>
      </w:r>
    </w:p>
    <w:p w14:paraId="2A5844DD" w14:textId="77777777" w:rsidR="00073BE7" w:rsidRPr="001C26FC" w:rsidRDefault="00073BE7" w:rsidP="001C26FC">
      <w:r w:rsidRPr="001C26FC">
        <w:t xml:space="preserve">Fundamental to the synthesis of enantioenriched chiral molecules is the ability to assign absolute configuration at each </w:t>
      </w:r>
      <w:proofErr w:type="spellStart"/>
      <w:r w:rsidRPr="001C26FC">
        <w:t>stereogenic</w:t>
      </w:r>
      <w:proofErr w:type="spellEnd"/>
      <w:r w:rsidRPr="001C26FC">
        <w:t xml:space="preserve"> center, and to determine the enantiomeric excess for each compound. While determination of enantiomeric excess and absolute configuration is often considered routine in many facets of asymmetric synthesis, the same determinations for </w:t>
      </w:r>
      <w:proofErr w:type="spellStart"/>
      <w:r w:rsidRPr="001C26FC">
        <w:t>enantioisotopomers</w:t>
      </w:r>
      <w:proofErr w:type="spellEnd"/>
      <w:r w:rsidRPr="001C26FC">
        <w:t xml:space="preserve"> remains a formidable challenge. Here, we report the first highly enantioselective metal-catalyzed synthesis of </w:t>
      </w:r>
      <w:proofErr w:type="spellStart"/>
      <w:r w:rsidRPr="001C26FC">
        <w:t>enantioisotopomers</w:t>
      </w:r>
      <w:proofErr w:type="spellEnd"/>
      <w:r w:rsidRPr="001C26FC">
        <w:t xml:space="preserve"> that are chiral by virtue of deuterium substitution along with the first general spectroscopic technique for assignment of the absolute configuration and quantitative determination of the enantiomeric excess of isotopically chiral molecules. Chiral tag rotational spectroscopy uses noncovalent chiral derivatization, which eliminates the possibility of racemization during derivatization, to perform the chiral analysis without the need of reference samples of the </w:t>
      </w:r>
      <w:proofErr w:type="spellStart"/>
      <w:r w:rsidRPr="001C26FC">
        <w:t>enantioisotopomer</w:t>
      </w:r>
      <w:proofErr w:type="spellEnd"/>
      <w:r w:rsidRPr="001C26FC">
        <w:t>.</w:t>
      </w:r>
    </w:p>
    <w:p w14:paraId="17568C95" w14:textId="77777777" w:rsidR="00073BE7" w:rsidRPr="001C26FC" w:rsidRDefault="00073BE7" w:rsidP="00A11CC1">
      <w:pPr>
        <w:pStyle w:val="Heading1"/>
        <w:rPr>
          <w:color w:val="auto"/>
        </w:rPr>
      </w:pPr>
      <w:r w:rsidRPr="001C26FC">
        <w:t>Introduction</w:t>
      </w:r>
    </w:p>
    <w:p w14:paraId="6E5BEFBE" w14:textId="6A1F2BA4" w:rsidR="00073BE7" w:rsidRPr="001C26FC" w:rsidRDefault="00073BE7" w:rsidP="001C26FC">
      <w:r w:rsidRPr="001C26FC">
        <w:t xml:space="preserve">Practical methods for the synthesis and characterization of </w:t>
      </w:r>
      <w:proofErr w:type="spellStart"/>
      <w:r w:rsidRPr="001C26FC">
        <w:t>enantioisotopomers</w:t>
      </w:r>
      <w:proofErr w:type="spellEnd"/>
      <w:r w:rsidRPr="001C26FC">
        <w:t>, specifically those in which a carbon is chiral by virtue of deuterium substitution (Figure </w:t>
      </w:r>
      <w:r w:rsidRPr="00AA4CA8">
        <w:rPr>
          <w:rFonts w:cstheme="minorHAnsi"/>
          <w:b/>
          <w:bCs/>
        </w:rPr>
        <w:t>1</w:t>
      </w:r>
      <w:r w:rsidRPr="001C26FC">
        <w:t xml:space="preserve">a), have eluded chemists since the first report of optical activity for an </w:t>
      </w:r>
      <w:proofErr w:type="spellStart"/>
      <w:r w:rsidRPr="001C26FC">
        <w:t>enantioisotopomer</w:t>
      </w:r>
      <w:proofErr w:type="spellEnd"/>
      <w:r w:rsidRPr="001C26FC">
        <w:t xml:space="preserve"> in 1949.</w:t>
      </w:r>
      <w:r w:rsidRPr="00AA4CA8">
        <w:rPr>
          <w:rFonts w:cstheme="minorHAnsi"/>
          <w:sz w:val="18"/>
          <w:szCs w:val="18"/>
          <w:vertAlign w:val="superscript"/>
        </w:rPr>
        <w:t>1</w:t>
      </w:r>
      <w:r w:rsidRPr="001C26FC">
        <w:t xml:space="preserve"> This exclusive class of precisely deuterated small molecules </w:t>
      </w:r>
      <w:r w:rsidRPr="001C26FC">
        <w:lastRenderedPageBreak/>
        <w:t xml:space="preserve">holds tremendous potential for applications across several scientific disciplines, especially chemistry and medicine. Given the importance of chiral recognition in medicine, the report by Belleau and Burba in 1961 that an enzyme displays a high degree of optical specificity between </w:t>
      </w:r>
      <w:proofErr w:type="spellStart"/>
      <w:r w:rsidRPr="001C26FC">
        <w:t>enantioisotopomers</w:t>
      </w:r>
      <w:proofErr w:type="spellEnd"/>
      <w:r w:rsidRPr="001C26FC">
        <w:t xml:space="preserve"> remains both significant and topical in research (Figure </w:t>
      </w:r>
      <w:r w:rsidRPr="00AA4CA8">
        <w:rPr>
          <w:rFonts w:cstheme="minorHAnsi"/>
          <w:b/>
          <w:bCs/>
        </w:rPr>
        <w:t>1</w:t>
      </w:r>
      <w:r w:rsidRPr="001C26FC">
        <w:t>b).</w:t>
      </w:r>
      <w:r w:rsidRPr="00AA4CA8">
        <w:rPr>
          <w:rFonts w:cstheme="minorHAnsi"/>
          <w:sz w:val="18"/>
          <w:szCs w:val="18"/>
          <w:vertAlign w:val="superscript"/>
        </w:rPr>
        <w:t>2</w:t>
      </w:r>
      <w:r w:rsidRPr="001C26FC">
        <w:t xml:space="preserve"> Despite this discovery more than half a century ago, the full potential of </w:t>
      </w:r>
      <w:proofErr w:type="spellStart"/>
      <w:r w:rsidRPr="001C26FC">
        <w:t>enantioisotopomers</w:t>
      </w:r>
      <w:proofErr w:type="spellEnd"/>
      <w:r w:rsidRPr="001C26FC">
        <w:t xml:space="preserve"> is not being realized. However, since the arrival of the first FDA approved deuterated drug, Deutetrabenazine,</w:t>
      </w:r>
      <w:r w:rsidRPr="00AA4CA8">
        <w:rPr>
          <w:rFonts w:cstheme="minorHAnsi"/>
          <w:sz w:val="18"/>
          <w:szCs w:val="18"/>
          <w:vertAlign w:val="superscript"/>
        </w:rPr>
        <w:t>3</w:t>
      </w:r>
      <w:r w:rsidRPr="001C26FC">
        <w:t> selectively deuterated small organic molecules have emerged as novel drug leads in the development of safer medicines.</w:t>
      </w:r>
      <w:r w:rsidRPr="00AA4CA8">
        <w:rPr>
          <w:rFonts w:cstheme="minorHAnsi"/>
          <w:sz w:val="18"/>
          <w:szCs w:val="18"/>
          <w:vertAlign w:val="superscript"/>
        </w:rPr>
        <w:t>4</w:t>
      </w:r>
      <w:r w:rsidRPr="001C26FC">
        <w:rPr>
          <w:sz w:val="18"/>
          <w:szCs w:val="18"/>
          <w:vertAlign w:val="superscript"/>
        </w:rPr>
        <w:t>, </w:t>
      </w:r>
      <w:r w:rsidRPr="00AA4CA8">
        <w:rPr>
          <w:rFonts w:cstheme="minorHAnsi"/>
          <w:sz w:val="18"/>
          <w:szCs w:val="18"/>
          <w:vertAlign w:val="superscript"/>
        </w:rPr>
        <w:t>5</w:t>
      </w:r>
      <w:r w:rsidRPr="001C26FC">
        <w:t xml:space="preserve"> Consequently, </w:t>
      </w:r>
      <w:proofErr w:type="spellStart"/>
      <w:r w:rsidRPr="001C26FC">
        <w:t>enantioisotopomers</w:t>
      </w:r>
      <w:proofErr w:type="spellEnd"/>
      <w:r w:rsidRPr="001C26FC">
        <w:t xml:space="preserve"> could play a role in future development of deuterated pharmaceuticals, where precise control of the deuteration pattern is increasingly desired.</w:t>
      </w:r>
      <w:r w:rsidRPr="00AA4CA8">
        <w:rPr>
          <w:rFonts w:cstheme="minorHAnsi"/>
          <w:sz w:val="18"/>
          <w:szCs w:val="18"/>
          <w:vertAlign w:val="superscript"/>
        </w:rPr>
        <w:t>6</w:t>
      </w:r>
    </w:p>
    <w:p w14:paraId="58092E07" w14:textId="393ED8ED" w:rsidR="00073BE7" w:rsidRPr="001C26FC" w:rsidRDefault="00073BE7" w:rsidP="001C26FC">
      <w:pPr>
        <w:pStyle w:val="NoSpacing"/>
      </w:pPr>
      <w:r w:rsidRPr="001C26FC">
        <w:rPr>
          <w:noProof/>
        </w:rPr>
        <w:drawing>
          <wp:inline distT="0" distB="0" distL="0" distR="0" wp14:anchorId="656667F8" wp14:editId="64916790">
            <wp:extent cx="4762500" cy="2333625"/>
            <wp:effectExtent l="0" t="0" r="0" b="9525"/>
            <wp:docPr id="716110478" name="Picture 8"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2333625"/>
                    </a:xfrm>
                    <a:prstGeom prst="rect">
                      <a:avLst/>
                    </a:prstGeom>
                    <a:noFill/>
                    <a:ln>
                      <a:noFill/>
                    </a:ln>
                  </pic:spPr>
                </pic:pic>
              </a:graphicData>
            </a:graphic>
          </wp:inline>
        </w:drawing>
      </w:r>
    </w:p>
    <w:p w14:paraId="2C94C72B" w14:textId="550A35C6" w:rsidR="00073BE7" w:rsidRPr="001C26FC" w:rsidRDefault="00073BE7" w:rsidP="001C26FC">
      <w:pPr>
        <w:pStyle w:val="NoSpacing"/>
      </w:pPr>
      <w:r w:rsidRPr="001C26FC">
        <w:rPr>
          <w:rStyle w:val="Strong"/>
          <w:rFonts w:cstheme="minorHAnsi"/>
          <w:color w:val="212121"/>
        </w:rPr>
        <w:t>Figure 1</w:t>
      </w:r>
      <w:r w:rsidR="001C26FC">
        <w:rPr>
          <w:rStyle w:val="Strong"/>
          <w:rFonts w:cstheme="minorHAnsi"/>
          <w:color w:val="212121"/>
        </w:rPr>
        <w:t xml:space="preserve"> </w:t>
      </w:r>
      <w:r w:rsidRPr="001C26FC">
        <w:t xml:space="preserve">Synthesis and spectroscopic analysis of </w:t>
      </w:r>
      <w:proofErr w:type="spellStart"/>
      <w:r w:rsidRPr="001C26FC">
        <w:t>enantioisotopomers</w:t>
      </w:r>
      <w:proofErr w:type="spellEnd"/>
      <w:r w:rsidRPr="001C26FC">
        <w:t xml:space="preserve"> that are chiral by virtue of deuterium substitution. [a] A molecule containing a prochiral methylene site becomes chiral when </w:t>
      </w:r>
      <w:proofErr w:type="gramStart"/>
      <w:r w:rsidRPr="001C26FC">
        <w:t>a hydrogen</w:t>
      </w:r>
      <w:proofErr w:type="gramEnd"/>
      <w:r w:rsidRPr="001C26FC">
        <w:t xml:space="preserve"> is replaced with a deuterium. [b] Enzymes display a high degree of optical specificity in certain molecules containing a single </w:t>
      </w:r>
      <w:proofErr w:type="spellStart"/>
      <w:r w:rsidRPr="001C26FC">
        <w:t>stereogenic</w:t>
      </w:r>
      <w:proofErr w:type="spellEnd"/>
      <w:r w:rsidRPr="001C26FC">
        <w:t xml:space="preserve"> center that is chiral by virtue of deuterium substitution. [c] All prior syntheses of (</w:t>
      </w:r>
      <w:r w:rsidRPr="001C26FC">
        <w:rPr>
          <w:i/>
          <w:iCs/>
        </w:rPr>
        <w:t>S</w:t>
      </w:r>
      <w:r w:rsidRPr="001C26FC">
        <w:t>)-ethylbenzene-</w:t>
      </w:r>
      <w:r w:rsidRPr="001C26FC">
        <w:rPr>
          <w:i/>
          <w:iCs/>
        </w:rPr>
        <w:t>d1</w:t>
      </w:r>
      <w:r w:rsidRPr="001C26FC">
        <w:t xml:space="preserve"> require a chiral starting material and multi-step synthetic route. Absolute determination of enantiomeric excess (EE) has only been achieved by Christoffers in 2019 by NMR spectroscopy after a multi-step synthetic derivatization. [d] This work demonstrates a Cu-catalyzed transfer </w:t>
      </w:r>
      <w:proofErr w:type="spellStart"/>
      <w:r w:rsidRPr="001C26FC">
        <w:t>hydrodeuteration</w:t>
      </w:r>
      <w:proofErr w:type="spellEnd"/>
      <w:r w:rsidRPr="001C26FC">
        <w:t xml:space="preserve"> for the enantioselective synthesis of (</w:t>
      </w:r>
      <w:r w:rsidRPr="001C26FC">
        <w:rPr>
          <w:i/>
          <w:iCs/>
        </w:rPr>
        <w:t>S</w:t>
      </w:r>
      <w:r w:rsidRPr="001C26FC">
        <w:t>)-ethylbenzene-</w:t>
      </w:r>
      <w:r w:rsidRPr="001C26FC">
        <w:rPr>
          <w:i/>
          <w:iCs/>
        </w:rPr>
        <w:t>d1</w:t>
      </w:r>
      <w:r w:rsidRPr="001C26FC">
        <w:t xml:space="preserve"> in one-step, using an abundant achiral alkene starting material. In total, three enantioselective Cu-catalyzed transfer </w:t>
      </w:r>
      <w:proofErr w:type="spellStart"/>
      <w:r w:rsidRPr="001C26FC">
        <w:t>hydrodeuterations</w:t>
      </w:r>
      <w:proofErr w:type="spellEnd"/>
      <w:r w:rsidRPr="001C26FC">
        <w:t xml:space="preserve"> are reported, with each product being analyzed by molecular rotational resonance spectroscopy for absolute determination of EE and absolute configuration (AC). This work also establishes chiral tagging in molecular rotational resonance (MRR) spectroscopy as the first general spectroscopic technique for the absolute determination of EE and AC of </w:t>
      </w:r>
      <w:proofErr w:type="spellStart"/>
      <w:r w:rsidRPr="001C26FC">
        <w:t>enantioisotopomers</w:t>
      </w:r>
      <w:proofErr w:type="spellEnd"/>
      <w:r w:rsidRPr="001C26FC">
        <w:t xml:space="preserve">. In the gas phase, a chiral tag binds to the analyte and creates a diastereomeric mixture of </w:t>
      </w:r>
      <w:proofErr w:type="spellStart"/>
      <w:r w:rsidRPr="001C26FC">
        <w:t>isotopomers</w:t>
      </w:r>
      <w:proofErr w:type="spellEnd"/>
      <w:r w:rsidRPr="001C26FC">
        <w:t xml:space="preserve"> that are distinguishable by MRR. Analysis of each unique spectral signature permits determination of EE and AC.</w:t>
      </w:r>
    </w:p>
    <w:p w14:paraId="62A99615" w14:textId="50FFB2A6" w:rsidR="00073BE7" w:rsidRPr="001C26FC" w:rsidRDefault="00073BE7" w:rsidP="001C26FC">
      <w:r w:rsidRPr="001C26FC">
        <w:t xml:space="preserve">The intrinsically small differences among pairs of isotopically chiral molecules </w:t>
      </w:r>
      <w:proofErr w:type="gramStart"/>
      <w:r w:rsidRPr="001C26FC">
        <w:t>pushes</w:t>
      </w:r>
      <w:proofErr w:type="gramEnd"/>
      <w:r w:rsidRPr="001C26FC">
        <w:t xml:space="preserve"> the limits of both synthesis and spectroscopic analysis. Consequently, these chiral molecules have inspired impacting discoveries in asymmetric synthesis,</w:t>
      </w:r>
      <w:r w:rsidRPr="00AA4CA8">
        <w:rPr>
          <w:rFonts w:cstheme="minorHAnsi"/>
          <w:sz w:val="18"/>
          <w:szCs w:val="18"/>
          <w:vertAlign w:val="superscript"/>
        </w:rPr>
        <w:t>7</w:t>
      </w:r>
      <w:r w:rsidRPr="001C26FC">
        <w:rPr>
          <w:sz w:val="18"/>
          <w:szCs w:val="18"/>
          <w:vertAlign w:val="superscript"/>
        </w:rPr>
        <w:t>, </w:t>
      </w:r>
      <w:r w:rsidRPr="00AA4CA8">
        <w:rPr>
          <w:rFonts w:cstheme="minorHAnsi"/>
          <w:sz w:val="18"/>
          <w:szCs w:val="18"/>
          <w:vertAlign w:val="superscript"/>
        </w:rPr>
        <w:t>8</w:t>
      </w:r>
      <w:r w:rsidRPr="001C26FC">
        <w:t> elucidation of enzymatic mechanisms,</w:t>
      </w:r>
      <w:r w:rsidRPr="00AA4CA8">
        <w:rPr>
          <w:rFonts w:cstheme="minorHAnsi"/>
          <w:sz w:val="18"/>
          <w:szCs w:val="18"/>
          <w:vertAlign w:val="superscript"/>
        </w:rPr>
        <w:t>9</w:t>
      </w:r>
      <w:r w:rsidRPr="001C26FC">
        <w:rPr>
          <w:sz w:val="18"/>
          <w:szCs w:val="18"/>
          <w:vertAlign w:val="superscript"/>
        </w:rPr>
        <w:t>, </w:t>
      </w:r>
      <w:r w:rsidRPr="00AA4CA8">
        <w:rPr>
          <w:rFonts w:cstheme="minorHAnsi"/>
          <w:sz w:val="18"/>
          <w:szCs w:val="18"/>
          <w:vertAlign w:val="superscript"/>
        </w:rPr>
        <w:t>10</w:t>
      </w:r>
      <w:r w:rsidRPr="001C26FC">
        <w:t> polymer chemistry,</w:t>
      </w:r>
      <w:r w:rsidRPr="00AA4CA8">
        <w:rPr>
          <w:rFonts w:cstheme="minorHAnsi"/>
          <w:sz w:val="18"/>
          <w:szCs w:val="18"/>
          <w:vertAlign w:val="superscript"/>
        </w:rPr>
        <w:t>11</w:t>
      </w:r>
      <w:r w:rsidRPr="001C26FC">
        <w:rPr>
          <w:sz w:val="18"/>
          <w:szCs w:val="18"/>
          <w:vertAlign w:val="superscript"/>
        </w:rPr>
        <w:t>, </w:t>
      </w:r>
      <w:r w:rsidRPr="00AA4CA8">
        <w:rPr>
          <w:rFonts w:cstheme="minorHAnsi"/>
          <w:sz w:val="18"/>
          <w:szCs w:val="18"/>
          <w:vertAlign w:val="superscript"/>
        </w:rPr>
        <w:t>12</w:t>
      </w:r>
      <w:r w:rsidRPr="001C26FC">
        <w:t> and spectroscopy.</w:t>
      </w:r>
      <w:r w:rsidRPr="00AA4CA8">
        <w:rPr>
          <w:rFonts w:cstheme="minorHAnsi"/>
          <w:sz w:val="18"/>
          <w:szCs w:val="18"/>
          <w:vertAlign w:val="superscript"/>
        </w:rPr>
        <w:t>13</w:t>
      </w:r>
      <w:r w:rsidRPr="001C26FC">
        <w:rPr>
          <w:sz w:val="18"/>
          <w:szCs w:val="18"/>
          <w:vertAlign w:val="superscript"/>
        </w:rPr>
        <w:t>-</w:t>
      </w:r>
      <w:r w:rsidRPr="00AA4CA8">
        <w:rPr>
          <w:rFonts w:cstheme="minorHAnsi"/>
          <w:sz w:val="18"/>
          <w:szCs w:val="18"/>
          <w:vertAlign w:val="superscript"/>
        </w:rPr>
        <w:t>18</w:t>
      </w:r>
      <w:r w:rsidRPr="001C26FC">
        <w:t> Furthermore, understanding the origin of biological homochirality remains at the forefront of scientific research,</w:t>
      </w:r>
      <w:r w:rsidRPr="00AA4CA8">
        <w:rPr>
          <w:rFonts w:cstheme="minorHAnsi"/>
          <w:sz w:val="18"/>
          <w:szCs w:val="18"/>
          <w:vertAlign w:val="superscript"/>
        </w:rPr>
        <w:t>19</w:t>
      </w:r>
      <w:r w:rsidRPr="001C26FC">
        <w:t xml:space="preserve"> and the experimental observation that </w:t>
      </w:r>
      <w:proofErr w:type="spellStart"/>
      <w:r w:rsidRPr="001C26FC">
        <w:t>enantioisotopomers</w:t>
      </w:r>
      <w:proofErr w:type="spellEnd"/>
      <w:r w:rsidRPr="001C26FC">
        <w:t xml:space="preserve"> induce asymmetric autocatalysis in the </w:t>
      </w:r>
      <w:proofErr w:type="spellStart"/>
      <w:r w:rsidRPr="001C26FC">
        <w:t>Soai</w:t>
      </w:r>
      <w:proofErr w:type="spellEnd"/>
      <w:r w:rsidRPr="001C26FC">
        <w:t xml:space="preserve"> reaction may imply that </w:t>
      </w:r>
      <w:proofErr w:type="spellStart"/>
      <w:r w:rsidRPr="001C26FC">
        <w:t>enantioisotopomers</w:t>
      </w:r>
      <w:proofErr w:type="spellEnd"/>
      <w:r w:rsidRPr="001C26FC">
        <w:t xml:space="preserve"> have a larger role to play in chemical research beyond serving as tools to advance reactions, techniques, or mechanistic understanding.</w:t>
      </w:r>
      <w:r w:rsidRPr="00AA4CA8">
        <w:rPr>
          <w:rFonts w:cstheme="minorHAnsi"/>
          <w:sz w:val="18"/>
          <w:szCs w:val="18"/>
          <w:vertAlign w:val="superscript"/>
        </w:rPr>
        <w:t>8</w:t>
      </w:r>
      <w:r w:rsidRPr="001C26FC">
        <w:rPr>
          <w:sz w:val="18"/>
          <w:szCs w:val="18"/>
          <w:vertAlign w:val="superscript"/>
        </w:rPr>
        <w:t>, </w:t>
      </w:r>
      <w:r w:rsidRPr="00AA4CA8">
        <w:rPr>
          <w:rFonts w:cstheme="minorHAnsi"/>
          <w:sz w:val="18"/>
          <w:szCs w:val="18"/>
          <w:vertAlign w:val="superscript"/>
        </w:rPr>
        <w:t>20</w:t>
      </w:r>
      <w:r w:rsidRPr="001C26FC">
        <w:rPr>
          <w:sz w:val="18"/>
          <w:szCs w:val="18"/>
          <w:vertAlign w:val="superscript"/>
        </w:rPr>
        <w:t>-</w:t>
      </w:r>
      <w:r w:rsidRPr="00AA4CA8">
        <w:rPr>
          <w:rFonts w:cstheme="minorHAnsi"/>
          <w:sz w:val="18"/>
          <w:szCs w:val="18"/>
          <w:vertAlign w:val="superscript"/>
        </w:rPr>
        <w:t>22</w:t>
      </w:r>
    </w:p>
    <w:p w14:paraId="1EEF9F30" w14:textId="63B8E527" w:rsidR="00073BE7" w:rsidRPr="001C26FC" w:rsidRDefault="00073BE7" w:rsidP="001C26FC">
      <w:r w:rsidRPr="001C26FC">
        <w:t xml:space="preserve">Despite the tremendous potential that </w:t>
      </w:r>
      <w:proofErr w:type="spellStart"/>
      <w:r w:rsidRPr="001C26FC">
        <w:t>enantioisotopomers</w:t>
      </w:r>
      <w:proofErr w:type="spellEnd"/>
      <w:r w:rsidRPr="001C26FC">
        <w:t xml:space="preserve"> have in chemical research, no general and highly selective protocols exist for their synthesis. The challenges facing synthetic chemists in the preparation and characterization of </w:t>
      </w:r>
      <w:proofErr w:type="spellStart"/>
      <w:r w:rsidRPr="001C26FC">
        <w:t>enantioisotopomers</w:t>
      </w:r>
      <w:proofErr w:type="spellEnd"/>
      <w:r w:rsidRPr="001C26FC">
        <w:t xml:space="preserve"> is highlighted over several decades in the pursuit of making (</w:t>
      </w:r>
      <w:r w:rsidRPr="001C26FC">
        <w:rPr>
          <w:i/>
          <w:iCs/>
        </w:rPr>
        <w:t>S</w:t>
      </w:r>
      <w:r w:rsidRPr="001C26FC">
        <w:t>)-ethylbenzene-</w:t>
      </w:r>
      <w:r w:rsidRPr="001C26FC">
        <w:rPr>
          <w:i/>
          <w:iCs/>
        </w:rPr>
        <w:t>d1</w:t>
      </w:r>
      <w:r w:rsidRPr="001C26FC">
        <w:t>, the benchmark sample used in this study, in high enantiopurity (Figure </w:t>
      </w:r>
      <w:r w:rsidRPr="00AA4CA8">
        <w:rPr>
          <w:rFonts w:cstheme="minorHAnsi"/>
          <w:b/>
          <w:bCs/>
        </w:rPr>
        <w:t>1</w:t>
      </w:r>
      <w:r w:rsidRPr="001C26FC">
        <w:t>c).</w:t>
      </w:r>
      <w:r w:rsidRPr="00AA4CA8">
        <w:rPr>
          <w:rFonts w:cstheme="minorHAnsi"/>
          <w:sz w:val="18"/>
          <w:szCs w:val="18"/>
          <w:vertAlign w:val="superscript"/>
        </w:rPr>
        <w:t>23</w:t>
      </w:r>
      <w:r w:rsidRPr="001C26FC">
        <w:rPr>
          <w:sz w:val="18"/>
          <w:szCs w:val="18"/>
          <w:vertAlign w:val="superscript"/>
        </w:rPr>
        <w:t>-</w:t>
      </w:r>
      <w:r w:rsidRPr="00AA4CA8">
        <w:rPr>
          <w:rFonts w:cstheme="minorHAnsi"/>
          <w:sz w:val="18"/>
          <w:szCs w:val="18"/>
          <w:vertAlign w:val="superscript"/>
        </w:rPr>
        <w:t>26</w:t>
      </w:r>
      <w:r w:rsidRPr="001C26FC">
        <w:t xml:space="preserve"> While some reports offer short, 2-step routes, they require an enantioenriched starting material, can be low yielding, and </w:t>
      </w:r>
      <w:r w:rsidRPr="001C26FC">
        <w:lastRenderedPageBreak/>
        <w:t>lack characterization data regarding enantiopurity and absolute stereochemistry.</w:t>
      </w:r>
      <w:r w:rsidRPr="00AA4CA8">
        <w:rPr>
          <w:rFonts w:cstheme="minorHAnsi"/>
          <w:sz w:val="18"/>
          <w:szCs w:val="18"/>
          <w:vertAlign w:val="superscript"/>
        </w:rPr>
        <w:t>23</w:t>
      </w:r>
      <w:r w:rsidRPr="001C26FC">
        <w:rPr>
          <w:sz w:val="18"/>
          <w:szCs w:val="18"/>
          <w:vertAlign w:val="superscript"/>
        </w:rPr>
        <w:t>, </w:t>
      </w:r>
      <w:r w:rsidRPr="00AA4CA8">
        <w:rPr>
          <w:rFonts w:cstheme="minorHAnsi"/>
          <w:sz w:val="18"/>
          <w:szCs w:val="18"/>
          <w:vertAlign w:val="superscript"/>
        </w:rPr>
        <w:t>25</w:t>
      </w:r>
      <w:r w:rsidRPr="001C26FC">
        <w:rPr>
          <w:sz w:val="18"/>
          <w:szCs w:val="18"/>
          <w:vertAlign w:val="superscript"/>
        </w:rPr>
        <w:t>, </w:t>
      </w:r>
      <w:r w:rsidRPr="00AA4CA8">
        <w:rPr>
          <w:rFonts w:cstheme="minorHAnsi"/>
          <w:sz w:val="18"/>
          <w:szCs w:val="18"/>
          <w:vertAlign w:val="superscript"/>
        </w:rPr>
        <w:t>26</w:t>
      </w:r>
      <w:r w:rsidRPr="001C26FC">
        <w:t> Other reported routes to provide (</w:t>
      </w:r>
      <w:r w:rsidRPr="001C26FC">
        <w:rPr>
          <w:i/>
          <w:iCs/>
        </w:rPr>
        <w:t>S</w:t>
      </w:r>
      <w:r w:rsidRPr="001C26FC">
        <w:t>)-ethylbenzene-</w:t>
      </w:r>
      <w:r w:rsidRPr="001C26FC">
        <w:rPr>
          <w:i/>
          <w:iCs/>
        </w:rPr>
        <w:t>d1</w:t>
      </w:r>
      <w:r w:rsidRPr="001C26FC">
        <w:t> in an assumed high enantiopurity require a 7-step synthesis and an enantioenriched starting material.</w:t>
      </w:r>
      <w:r w:rsidRPr="00AA4CA8">
        <w:rPr>
          <w:rFonts w:cstheme="minorHAnsi"/>
          <w:sz w:val="18"/>
          <w:szCs w:val="18"/>
          <w:vertAlign w:val="superscript"/>
        </w:rPr>
        <w:t>24</w:t>
      </w:r>
      <w:r w:rsidRPr="001C26FC">
        <w:rPr>
          <w:sz w:val="18"/>
          <w:szCs w:val="18"/>
          <w:vertAlign w:val="superscript"/>
        </w:rPr>
        <w:t>, </w:t>
      </w:r>
      <w:r w:rsidRPr="00AA4CA8">
        <w:rPr>
          <w:rFonts w:cstheme="minorHAnsi"/>
          <w:sz w:val="18"/>
          <w:szCs w:val="18"/>
          <w:vertAlign w:val="superscript"/>
        </w:rPr>
        <w:t>27</w:t>
      </w:r>
      <w:r w:rsidRPr="001C26FC">
        <w:rPr>
          <w:sz w:val="18"/>
          <w:szCs w:val="18"/>
          <w:vertAlign w:val="superscript"/>
        </w:rPr>
        <w:t>, </w:t>
      </w:r>
      <w:r w:rsidRPr="00AA4CA8">
        <w:rPr>
          <w:rFonts w:cstheme="minorHAnsi"/>
          <w:sz w:val="18"/>
          <w:szCs w:val="18"/>
          <w:vertAlign w:val="superscript"/>
        </w:rPr>
        <w:t>28</w:t>
      </w:r>
    </w:p>
    <w:p w14:paraId="69BABC11" w14:textId="1E90B226" w:rsidR="00073BE7" w:rsidRPr="001C26FC" w:rsidRDefault="00073BE7" w:rsidP="001C26FC">
      <w:r w:rsidRPr="001C26FC">
        <w:t xml:space="preserve">The synthetic challenges described in the preparation of </w:t>
      </w:r>
      <w:proofErr w:type="spellStart"/>
      <w:r w:rsidRPr="001C26FC">
        <w:t>enantioisotopomers</w:t>
      </w:r>
      <w:proofErr w:type="spellEnd"/>
      <w:r w:rsidRPr="001C26FC">
        <w:t xml:space="preserve"> with high </w:t>
      </w:r>
      <w:proofErr w:type="spellStart"/>
      <w:r w:rsidRPr="001C26FC">
        <w:t>enantioenrichment</w:t>
      </w:r>
      <w:proofErr w:type="spellEnd"/>
      <w:r w:rsidRPr="001C26FC">
        <w:t xml:space="preserve"> are compounded by a lack of analytical chemistry techniques for establishing the absolute configuration (AC) at the </w:t>
      </w:r>
      <w:proofErr w:type="spellStart"/>
      <w:r w:rsidRPr="001C26FC">
        <w:t>stereogenic</w:t>
      </w:r>
      <w:proofErr w:type="spellEnd"/>
      <w:r w:rsidRPr="001C26FC">
        <w:t xml:space="preserve"> center and measuring the enantiomeric excess (EE) of the sample. Direct liquid chromatographic separation of enantiomers that are chiral by virtue of deuterium substitution has been demonstrated for a small number of analytes containing a highly deuterated phenyl substituent.</w:t>
      </w:r>
      <w:r w:rsidRPr="00AA4CA8">
        <w:rPr>
          <w:rFonts w:cstheme="minorHAnsi"/>
          <w:sz w:val="18"/>
          <w:szCs w:val="18"/>
          <w:vertAlign w:val="superscript"/>
        </w:rPr>
        <w:t>29</w:t>
      </w:r>
      <w:r w:rsidRPr="001C26FC">
        <w:rPr>
          <w:sz w:val="18"/>
          <w:szCs w:val="18"/>
          <w:vertAlign w:val="superscript"/>
        </w:rPr>
        <w:t>, </w:t>
      </w:r>
      <w:r w:rsidRPr="00AA4CA8">
        <w:rPr>
          <w:rFonts w:cstheme="minorHAnsi"/>
          <w:sz w:val="18"/>
          <w:szCs w:val="18"/>
          <w:vertAlign w:val="superscript"/>
        </w:rPr>
        <w:t>30</w:t>
      </w:r>
      <w:r w:rsidRPr="001C26FC">
        <w:t xml:space="preserve"> However, these separations are time consuming, and the AC can only be established through comparisons between retention times of structurally similar analytes requiring additional synthetic work. Two approaches with nuclear magnetic resonance (NMR) spectroscopy have been used to measure the EE of </w:t>
      </w:r>
      <w:proofErr w:type="spellStart"/>
      <w:r w:rsidRPr="001C26FC">
        <w:t>enantioisotopomers</w:t>
      </w:r>
      <w:proofErr w:type="spellEnd"/>
      <w:r w:rsidRPr="001C26FC">
        <w:t>: chiral derivatization and deuterium quadrupole structure of molecules aligned in chiral media.</w:t>
      </w:r>
      <w:r w:rsidRPr="00AA4CA8">
        <w:rPr>
          <w:rFonts w:cstheme="minorHAnsi"/>
          <w:sz w:val="18"/>
          <w:szCs w:val="18"/>
          <w:vertAlign w:val="superscript"/>
        </w:rPr>
        <w:t>13</w:t>
      </w:r>
      <w:r w:rsidRPr="001C26FC">
        <w:rPr>
          <w:sz w:val="18"/>
          <w:szCs w:val="18"/>
          <w:vertAlign w:val="superscript"/>
        </w:rPr>
        <w:t>, </w:t>
      </w:r>
      <w:r w:rsidRPr="00AA4CA8">
        <w:rPr>
          <w:rFonts w:cstheme="minorHAnsi"/>
          <w:sz w:val="18"/>
          <w:szCs w:val="18"/>
          <w:vertAlign w:val="superscript"/>
        </w:rPr>
        <w:t>26</w:t>
      </w:r>
      <w:r w:rsidRPr="001C26FC">
        <w:rPr>
          <w:sz w:val="18"/>
          <w:szCs w:val="18"/>
          <w:vertAlign w:val="superscript"/>
        </w:rPr>
        <w:t>, </w:t>
      </w:r>
      <w:r w:rsidRPr="00AA4CA8">
        <w:rPr>
          <w:rFonts w:cstheme="minorHAnsi"/>
          <w:sz w:val="18"/>
          <w:szCs w:val="18"/>
          <w:vertAlign w:val="superscript"/>
        </w:rPr>
        <w:t>31</w:t>
      </w:r>
      <w:r w:rsidRPr="001C26FC">
        <w:rPr>
          <w:sz w:val="18"/>
          <w:szCs w:val="18"/>
          <w:vertAlign w:val="superscript"/>
        </w:rPr>
        <w:t>, </w:t>
      </w:r>
      <w:r w:rsidRPr="00AA4CA8">
        <w:rPr>
          <w:rFonts w:cstheme="minorHAnsi"/>
          <w:sz w:val="18"/>
          <w:szCs w:val="18"/>
          <w:vertAlign w:val="superscript"/>
        </w:rPr>
        <w:t>32</w:t>
      </w:r>
      <w:r w:rsidRPr="001C26FC">
        <w:t> Chiral derivatization approaches require molecule-specific development of the derivatizing agent as illustrated by a previous analysis of ethylbenzene-</w:t>
      </w:r>
      <w:r w:rsidRPr="001C26FC">
        <w:rPr>
          <w:i/>
          <w:iCs/>
        </w:rPr>
        <w:t>d1</w:t>
      </w:r>
      <w:r w:rsidRPr="001C26FC">
        <w:t>.</w:t>
      </w:r>
      <w:r w:rsidRPr="00AA4CA8">
        <w:rPr>
          <w:rFonts w:cstheme="minorHAnsi"/>
          <w:sz w:val="18"/>
          <w:szCs w:val="18"/>
          <w:vertAlign w:val="superscript"/>
        </w:rPr>
        <w:t>26</w:t>
      </w:r>
      <w:r w:rsidRPr="001C26FC">
        <w:t> Both chiral derivatization and </w:t>
      </w:r>
      <w:r w:rsidRPr="001C26FC">
        <w:rPr>
          <w:sz w:val="18"/>
          <w:szCs w:val="18"/>
          <w:vertAlign w:val="superscript"/>
        </w:rPr>
        <w:t>2</w:t>
      </w:r>
      <w:r w:rsidRPr="001C26FC">
        <w:t>H-NMR measurements in aligned media pose challenges for high-confidence AC determination. For example, strong temperature dependence of the deuterium quadrupole splitting in aligned media—including reversal of the enantiomer signatures—has been noted.</w:t>
      </w:r>
      <w:r w:rsidRPr="00AA4CA8">
        <w:rPr>
          <w:rFonts w:cstheme="minorHAnsi"/>
          <w:sz w:val="18"/>
          <w:szCs w:val="18"/>
          <w:vertAlign w:val="superscript"/>
        </w:rPr>
        <w:t>13</w:t>
      </w:r>
      <w:r w:rsidRPr="001C26FC">
        <w:t> Other techniques can be used to assign the AC of isotopically chiral molecules including routine laboratory techniques like vibrational circular dichroism (and the related technique of Raman optical activity)</w:t>
      </w:r>
      <w:r w:rsidRPr="00AA4CA8">
        <w:rPr>
          <w:rFonts w:cstheme="minorHAnsi"/>
          <w:sz w:val="18"/>
          <w:szCs w:val="18"/>
          <w:vertAlign w:val="superscript"/>
        </w:rPr>
        <w:t>17</w:t>
      </w:r>
      <w:r w:rsidRPr="001C26FC">
        <w:rPr>
          <w:sz w:val="18"/>
          <w:szCs w:val="18"/>
          <w:vertAlign w:val="superscript"/>
        </w:rPr>
        <w:t>, </w:t>
      </w:r>
      <w:r w:rsidRPr="00AA4CA8">
        <w:rPr>
          <w:rFonts w:cstheme="minorHAnsi"/>
          <w:sz w:val="18"/>
          <w:szCs w:val="18"/>
          <w:vertAlign w:val="superscript"/>
        </w:rPr>
        <w:t>33</w:t>
      </w:r>
      <w:r w:rsidRPr="001C26FC">
        <w:t> and more complex emerging techniques like Coulomb explosion</w:t>
      </w:r>
      <w:r w:rsidRPr="00AA4CA8">
        <w:rPr>
          <w:rFonts w:cstheme="minorHAnsi"/>
          <w:sz w:val="18"/>
          <w:szCs w:val="18"/>
          <w:vertAlign w:val="superscript"/>
        </w:rPr>
        <w:t>16</w:t>
      </w:r>
      <w:r w:rsidRPr="001C26FC">
        <w:t> that are not yet available for general analytical chemistry use.</w:t>
      </w:r>
    </w:p>
    <w:p w14:paraId="3BCDCAE4" w14:textId="5E6065BE" w:rsidR="00073BE7" w:rsidRPr="001C26FC" w:rsidRDefault="00073BE7" w:rsidP="001C26FC">
      <w:r w:rsidRPr="001C26FC">
        <w:t xml:space="preserve">Herein, we report the first metal-catalyzed, highly enantioselective synthesis of </w:t>
      </w:r>
      <w:proofErr w:type="spellStart"/>
      <w:r w:rsidRPr="001C26FC">
        <w:t>enantioisotopomers</w:t>
      </w:r>
      <w:proofErr w:type="spellEnd"/>
      <w:r w:rsidRPr="001C26FC">
        <w:t>, along with the first general spectroscopic technique for absolute determination of EE and AC (Figure </w:t>
      </w:r>
      <w:r w:rsidRPr="00AA4CA8">
        <w:rPr>
          <w:rFonts w:cstheme="minorHAnsi"/>
          <w:b/>
          <w:bCs/>
        </w:rPr>
        <w:t>1</w:t>
      </w:r>
      <w:r w:rsidRPr="001C26FC">
        <w:t xml:space="preserve">d). Analysis is performed using molecular rotational resonance (MRR) spectroscopy. The features of rotational spectroscopy and their utility in the analysis of the </w:t>
      </w:r>
      <w:proofErr w:type="spellStart"/>
      <w:r w:rsidRPr="001C26FC">
        <w:t>isotopologue</w:t>
      </w:r>
      <w:proofErr w:type="spellEnd"/>
      <w:r w:rsidRPr="001C26FC">
        <w:t xml:space="preserve"> and </w:t>
      </w:r>
      <w:proofErr w:type="spellStart"/>
      <w:r w:rsidRPr="001C26FC">
        <w:t>isotopomer</w:t>
      </w:r>
      <w:proofErr w:type="spellEnd"/>
      <w:r w:rsidRPr="001C26FC">
        <w:t xml:space="preserve"> composition of reaction mixtures of deuterated molecules, including the potential for high-throughput analysis, have been discussed in recent work.</w:t>
      </w:r>
      <w:r w:rsidRPr="00AA4CA8">
        <w:rPr>
          <w:rFonts w:cstheme="minorHAnsi"/>
          <w:sz w:val="18"/>
          <w:szCs w:val="18"/>
          <w:vertAlign w:val="superscript"/>
        </w:rPr>
        <w:t>34</w:t>
      </w:r>
      <w:r w:rsidRPr="001C26FC">
        <w:rPr>
          <w:sz w:val="18"/>
          <w:szCs w:val="18"/>
          <w:vertAlign w:val="superscript"/>
        </w:rPr>
        <w:t>, </w:t>
      </w:r>
      <w:r w:rsidRPr="00AA4CA8">
        <w:rPr>
          <w:rFonts w:cstheme="minorHAnsi"/>
          <w:sz w:val="18"/>
          <w:szCs w:val="18"/>
          <w:vertAlign w:val="superscript"/>
        </w:rPr>
        <w:t>35</w:t>
      </w:r>
      <w:r w:rsidRPr="001C26FC">
        <w:t> The limitation that enantiomers of an isotopically chiral molecule have identical rotational spectra is addressed by employing the recently introduced chiral analysis method of chiral tag rotational spectroscopy.</w:t>
      </w:r>
      <w:r w:rsidRPr="00AA4CA8">
        <w:rPr>
          <w:rFonts w:cstheme="minorHAnsi"/>
          <w:sz w:val="18"/>
          <w:szCs w:val="18"/>
          <w:vertAlign w:val="superscript"/>
        </w:rPr>
        <w:t>36</w:t>
      </w:r>
      <w:r w:rsidRPr="001C26FC">
        <w:rPr>
          <w:sz w:val="18"/>
          <w:szCs w:val="18"/>
          <w:vertAlign w:val="superscript"/>
        </w:rPr>
        <w:t>-</w:t>
      </w:r>
      <w:proofErr w:type="gramStart"/>
      <w:r w:rsidRPr="00AA4CA8">
        <w:rPr>
          <w:rFonts w:cstheme="minorHAnsi"/>
          <w:sz w:val="18"/>
          <w:szCs w:val="18"/>
          <w:vertAlign w:val="superscript"/>
        </w:rPr>
        <w:t>38</w:t>
      </w:r>
      <w:proofErr w:type="gramEnd"/>
    </w:p>
    <w:p w14:paraId="60ED6A30" w14:textId="77777777" w:rsidR="00073BE7" w:rsidRPr="001C26FC" w:rsidRDefault="00073BE7" w:rsidP="00A11CC1">
      <w:pPr>
        <w:pStyle w:val="Heading1"/>
      </w:pPr>
      <w:r w:rsidRPr="001C26FC">
        <w:t>Results and Discussion</w:t>
      </w:r>
    </w:p>
    <w:p w14:paraId="0F0F99B8" w14:textId="77777777" w:rsidR="00073BE7" w:rsidRPr="001C26FC" w:rsidRDefault="00073BE7" w:rsidP="001C26FC">
      <w:r w:rsidRPr="001C26FC">
        <w:t xml:space="preserve">The unique strengths of rotational spectroscopy for isotope analysis are: 1) Each chemically distinct isotopic variant has a unique spectral signature. 2) The exceptionally high spectral resolution of MRR makes it possible to measure these spectra without </w:t>
      </w:r>
      <w:proofErr w:type="gramStart"/>
      <w:r w:rsidRPr="001C26FC">
        <w:t>overlap</w:t>
      </w:r>
      <w:proofErr w:type="gramEnd"/>
      <w:r w:rsidRPr="001C26FC">
        <w:t>, so that complex isotopic mixtures can be analyzed without chromatographic separation (which is generally impossible for isotopic mixtures). 3) All isotopic species have the same equilibrium geometry, and this geometry is used to calculate the transition frequencies for all isotopic variants. 4) The equilibrium geometry can be calculated to high accuracy by quantum chemistry, permitting high confidence identification of isotopic species without the need for reference compounds.</w:t>
      </w:r>
    </w:p>
    <w:p w14:paraId="6488D8FF" w14:textId="3239F13A" w:rsidR="00073BE7" w:rsidRPr="001C26FC" w:rsidRDefault="00073BE7" w:rsidP="001C26FC">
      <w:r w:rsidRPr="001C26FC">
        <w:t xml:space="preserve">The focus of this work is the analysis of </w:t>
      </w:r>
      <w:proofErr w:type="spellStart"/>
      <w:r w:rsidRPr="001C26FC">
        <w:t>enantioisotopomers</w:t>
      </w:r>
      <w:proofErr w:type="spellEnd"/>
      <w:r w:rsidRPr="001C26FC">
        <w:t>, which have identical rotational spectra at any practical spectral resolution.</w:t>
      </w:r>
      <w:r w:rsidRPr="00AA4CA8">
        <w:rPr>
          <w:rFonts w:cstheme="minorHAnsi"/>
          <w:sz w:val="18"/>
          <w:szCs w:val="18"/>
          <w:vertAlign w:val="superscript"/>
        </w:rPr>
        <w:t>39</w:t>
      </w:r>
      <w:r w:rsidRPr="001C26FC">
        <w:t xml:space="preserve"> In this case, MRR analysis occurs in the gas phase and uses noncovalent derivatization of the </w:t>
      </w:r>
      <w:proofErr w:type="spellStart"/>
      <w:r w:rsidRPr="001C26FC">
        <w:t>enantioisotopomers</w:t>
      </w:r>
      <w:proofErr w:type="spellEnd"/>
      <w:r w:rsidRPr="001C26FC">
        <w:t xml:space="preserve"> with a small chiral molecule of known configuration to produce distinguishable diastereomers. The chiral tag is added to the neon carrier gas used in the molecular beam experiments and attaches to the analyte during cluster formation in the pulsed jet expansion. Analysis of the spectra of these chiral tag complexes permits determination of both the AC and EE of the analyte.</w:t>
      </w:r>
    </w:p>
    <w:p w14:paraId="70F98E78" w14:textId="5EBDBCCE" w:rsidR="00073BE7" w:rsidRPr="001C26FC" w:rsidRDefault="00073BE7" w:rsidP="001C26FC">
      <w:r w:rsidRPr="001C26FC">
        <w:t>This chiral tag analysis method is validated using samples of ethylbenzene-</w:t>
      </w:r>
      <w:r w:rsidRPr="001C26FC">
        <w:rPr>
          <w:i/>
          <w:iCs/>
        </w:rPr>
        <w:t>d1</w:t>
      </w:r>
      <w:r w:rsidRPr="001C26FC">
        <w:t> prepared by two literature methods. The first sample uses a synthetic route from Mosher and co-workers that was designed to ensure high enantiopurity and known AC of the prepared (</w:t>
      </w:r>
      <w:r w:rsidRPr="001C26FC">
        <w:rPr>
          <w:i/>
          <w:iCs/>
        </w:rPr>
        <w:t>S</w:t>
      </w:r>
      <w:r w:rsidRPr="001C26FC">
        <w:t>)-ethylbenzene-</w:t>
      </w:r>
      <w:r w:rsidRPr="001C26FC">
        <w:rPr>
          <w:i/>
          <w:iCs/>
        </w:rPr>
        <w:t>d1</w:t>
      </w:r>
      <w:r w:rsidRPr="001C26FC">
        <w:t> sample.</w:t>
      </w:r>
      <w:r w:rsidRPr="00AA4CA8">
        <w:rPr>
          <w:rFonts w:cstheme="minorHAnsi"/>
          <w:sz w:val="18"/>
          <w:szCs w:val="18"/>
          <w:vertAlign w:val="superscript"/>
        </w:rPr>
        <w:t>24</w:t>
      </w:r>
      <w:r w:rsidRPr="001C26FC">
        <w:t> The second sample was prepared with the method developed by Christoffers and co-workers where they described a molecule-specific synthetic chiral derivatization method for NMR analysis finding EE=92.</w:t>
      </w:r>
      <w:r w:rsidRPr="00AA4CA8">
        <w:rPr>
          <w:rFonts w:cstheme="minorHAnsi"/>
          <w:sz w:val="18"/>
          <w:szCs w:val="18"/>
          <w:vertAlign w:val="superscript"/>
        </w:rPr>
        <w:t>26</w:t>
      </w:r>
    </w:p>
    <w:p w14:paraId="30DB77A6" w14:textId="77777777" w:rsidR="00073BE7" w:rsidRPr="001C26FC" w:rsidRDefault="00073BE7" w:rsidP="001C26FC">
      <w:r w:rsidRPr="001C26FC">
        <w:t xml:space="preserve">The AC determination requires assigning a theoretical equilibrium geometry of the chiral tag complex to each observed rotational spectrum. The methodology used in this work uses a special feature of the analysis of </w:t>
      </w:r>
      <w:proofErr w:type="spellStart"/>
      <w:r w:rsidRPr="001C26FC">
        <w:t>enantioisotopomers</w:t>
      </w:r>
      <w:proofErr w:type="spellEnd"/>
      <w:r w:rsidRPr="001C26FC">
        <w:t>. Under the Born-Oppenheimer approximation, all isotopic variants of the chiral tag complex have the same equilibrium geometry. As a result, the validation of the geometry can be performed using the normal isotopic species of the analyte (i.e., non-deuterated) which is generally available at lower cost.</w:t>
      </w:r>
    </w:p>
    <w:p w14:paraId="6E89DE10" w14:textId="59386197" w:rsidR="00073BE7" w:rsidRPr="001C26FC" w:rsidRDefault="00073BE7" w:rsidP="001C26FC">
      <w:r w:rsidRPr="001C26FC">
        <w:t>The AC assignment for ethylbenzene-</w:t>
      </w:r>
      <w:r w:rsidRPr="001C26FC">
        <w:rPr>
          <w:i/>
          <w:iCs/>
        </w:rPr>
        <w:t>d1</w:t>
      </w:r>
      <w:r w:rsidRPr="001C26FC">
        <w:t> is made using 1,1,1-trifluoroisopropanol (TFIP) as the chiral tag, with the initial analysis using the normal species of ethylbenzene. TFIP was chosen because it has high volatility so that a gas mixture of the tag in the neon carrier gas can be prepared and because the large dipole moment of TFIP increases signal strength in the rotational spectrum of the tag complex. The equilibrium geometries for a set of candidate structures of the chiral tag complex are obtained from quantum chemistry to estimate the rotational constants that appear in the rigid rotor Hamiltonian for molecular rotation.</w:t>
      </w:r>
      <w:r w:rsidRPr="00AA4CA8">
        <w:rPr>
          <w:rFonts w:cstheme="minorHAnsi"/>
          <w:sz w:val="18"/>
          <w:szCs w:val="18"/>
          <w:vertAlign w:val="superscript"/>
        </w:rPr>
        <w:t>40</w:t>
      </w:r>
      <w:r w:rsidRPr="001C26FC">
        <w:t> The calculated structures are reported in the Supporting Information. The theoretical rotational spectra of the complexes aid the analysis of the experimental spectrum. In general, several isomers of the tag complex are formed in the pulsed jet expansion and can be identified. The lowest energy structure for the ethylbenzene/TFIP complex is shown in Figure </w:t>
      </w:r>
      <w:r w:rsidRPr="00AA4CA8">
        <w:rPr>
          <w:rFonts w:cstheme="minorHAnsi"/>
          <w:b/>
          <w:bCs/>
        </w:rPr>
        <w:t>2</w:t>
      </w:r>
      <w:r w:rsidRPr="001C26FC">
        <w:t>. Its calculated rotational constants are consistent with the experimental rotational constants of the highest intensity spectrum which are reported in Table </w:t>
      </w:r>
      <w:r w:rsidRPr="00AA4CA8">
        <w:rPr>
          <w:rFonts w:cstheme="minorHAnsi"/>
          <w:b/>
          <w:bCs/>
        </w:rPr>
        <w:t>1</w:t>
      </w:r>
      <w:r w:rsidRPr="001C26FC">
        <w:t xml:space="preserve"> (as Isomer 1). The theoretical geometry is further validated by determining the positions of the carbon atoms in the complex using </w:t>
      </w:r>
      <w:proofErr w:type="spellStart"/>
      <w:r w:rsidRPr="001C26FC">
        <w:t>Kraitchman's</w:t>
      </w:r>
      <w:proofErr w:type="spellEnd"/>
      <w:r w:rsidRPr="001C26FC">
        <w:t xml:space="preserve"> method.</w:t>
      </w:r>
      <w:r w:rsidRPr="00AA4CA8">
        <w:rPr>
          <w:rFonts w:cstheme="minorHAnsi"/>
          <w:sz w:val="18"/>
          <w:szCs w:val="18"/>
          <w:vertAlign w:val="superscript"/>
        </w:rPr>
        <w:t>41</w:t>
      </w:r>
      <w:r w:rsidRPr="001C26FC">
        <w:t> This analysis uses the assignment of the rotational spectra for the eleven singly substituted </w:t>
      </w:r>
      <w:r w:rsidRPr="001C26FC">
        <w:rPr>
          <w:sz w:val="18"/>
          <w:szCs w:val="18"/>
          <w:vertAlign w:val="superscript"/>
        </w:rPr>
        <w:t>13</w:t>
      </w:r>
      <w:r w:rsidRPr="001C26FC">
        <w:t>C-isotopomers of the complex observed in natural abundance. The details can be found in the Supporting Information. The experimental carbon atom positions are shown in Figure </w:t>
      </w:r>
      <w:r w:rsidRPr="00AA4CA8">
        <w:rPr>
          <w:rFonts w:cstheme="minorHAnsi"/>
          <w:b/>
          <w:bCs/>
        </w:rPr>
        <w:t>2</w:t>
      </w:r>
      <w:r w:rsidRPr="001C26FC">
        <w:t> as the blue spheres superimposed on the theoretical equilibrium geometry, showing excellent agreement.</w:t>
      </w:r>
    </w:p>
    <w:p w14:paraId="3A1905F2" w14:textId="3194BC47" w:rsidR="00073BE7" w:rsidRPr="001C26FC" w:rsidRDefault="00073BE7" w:rsidP="001C26FC">
      <w:pPr>
        <w:pStyle w:val="NoSpacing"/>
      </w:pPr>
      <w:r w:rsidRPr="001C26FC">
        <w:rPr>
          <w:noProof/>
        </w:rPr>
        <w:drawing>
          <wp:inline distT="0" distB="0" distL="0" distR="0" wp14:anchorId="24AF777A" wp14:editId="024CE080">
            <wp:extent cx="2743200" cy="2487168"/>
            <wp:effectExtent l="0" t="0" r="0" b="8890"/>
            <wp:docPr id="1162342956" name="Picture 7"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14:paraId="72C10B2F" w14:textId="0E79D9E2" w:rsidR="00073BE7" w:rsidRPr="001C26FC" w:rsidRDefault="00073BE7" w:rsidP="001C26FC">
      <w:pPr>
        <w:pStyle w:val="NoSpacing"/>
      </w:pPr>
      <w:r w:rsidRPr="001C26FC">
        <w:rPr>
          <w:rStyle w:val="Strong"/>
          <w:rFonts w:cstheme="minorHAnsi"/>
          <w:color w:val="212121"/>
        </w:rPr>
        <w:t>Figure 2</w:t>
      </w:r>
      <w:r w:rsidR="001C26FC">
        <w:rPr>
          <w:rStyle w:val="Strong"/>
          <w:rFonts w:cstheme="minorHAnsi"/>
          <w:color w:val="212121"/>
        </w:rPr>
        <w:t xml:space="preserve"> </w:t>
      </w:r>
      <w:r w:rsidRPr="001C26FC">
        <w:t>Three views of the lowest energy chiral tag complex formed between ethylbenzene and 1,1,1-trifluoroisopropanol are shown. The full structure is the equilibrium geometry obtained from quantum chemistry using the B2PLYPD3/def2TZVP model chemistry. This structure is validated by determining the positions of the carbon atoms using the assigned spectra for the 11 singly substituted </w:t>
      </w:r>
      <w:r w:rsidRPr="001C26FC">
        <w:rPr>
          <w:sz w:val="18"/>
          <w:szCs w:val="18"/>
          <w:vertAlign w:val="superscript"/>
        </w:rPr>
        <w:t>13</w:t>
      </w:r>
      <w:r w:rsidRPr="001C26FC">
        <w:t xml:space="preserve">C </w:t>
      </w:r>
      <w:proofErr w:type="spellStart"/>
      <w:r w:rsidRPr="001C26FC">
        <w:t>isotopomers</w:t>
      </w:r>
      <w:proofErr w:type="spellEnd"/>
      <w:r w:rsidRPr="001C26FC">
        <w:t xml:space="preserve"> of the complex measured at natural abundance. These atom positions are shown by the smaller blue spheres superimposed on the quantum chemistry structure. The carbon atom position analysis validates the geometry of the chiral tag complex for the highest intensity spectrum, Isomer 1 of Table </w:t>
      </w:r>
      <w:r w:rsidRPr="00AA4CA8">
        <w:rPr>
          <w:rFonts w:cstheme="minorHAnsi"/>
          <w:b/>
          <w:bCs/>
        </w:rPr>
        <w:t>1</w:t>
      </w:r>
      <w:r w:rsidRPr="001C26FC">
        <w:t>, observed in the measurement.</w:t>
      </w:r>
    </w:p>
    <w:p w14:paraId="6563710E" w14:textId="77777777" w:rsidR="001C26FC" w:rsidRDefault="001C26FC" w:rsidP="00073BE7">
      <w:pPr>
        <w:rPr>
          <w:rStyle w:val="table-captionlabel"/>
          <w:rFonts w:cstheme="minorHAnsi"/>
          <w:b/>
          <w:bCs/>
        </w:rPr>
      </w:pPr>
    </w:p>
    <w:p w14:paraId="47E5AA1F" w14:textId="77777777" w:rsidR="001C26FC" w:rsidRDefault="001C26FC" w:rsidP="00073BE7">
      <w:pPr>
        <w:rPr>
          <w:rStyle w:val="table-captionlabel"/>
          <w:rFonts w:cstheme="minorHAnsi"/>
          <w:b/>
          <w:bCs/>
        </w:rPr>
        <w:sectPr w:rsidR="001C26FC" w:rsidSect="00013176">
          <w:pgSz w:w="12240" w:h="15840"/>
          <w:pgMar w:top="1080" w:right="1080" w:bottom="1080" w:left="1080" w:header="720" w:footer="720" w:gutter="0"/>
          <w:cols w:space="720"/>
          <w:docGrid w:linePitch="360"/>
        </w:sectPr>
      </w:pPr>
    </w:p>
    <w:p w14:paraId="72D6F538" w14:textId="13775E25" w:rsidR="00073BE7" w:rsidRPr="001C26FC" w:rsidRDefault="00073BE7" w:rsidP="001C26FC">
      <w:pPr>
        <w:spacing w:after="0"/>
        <w:rPr>
          <w:rFonts w:cstheme="minorHAnsi"/>
        </w:rPr>
      </w:pPr>
      <w:r w:rsidRPr="001C26FC">
        <w:rPr>
          <w:rStyle w:val="table-captionlabel"/>
          <w:rFonts w:cstheme="minorHAnsi"/>
          <w:b/>
          <w:bCs/>
        </w:rPr>
        <w:t>Table 1. </w:t>
      </w:r>
      <w:r w:rsidRPr="001C26FC">
        <w:rPr>
          <w:rFonts w:cstheme="minorHAnsi"/>
        </w:rPr>
        <w:t xml:space="preserve">Spectroscopic results </w:t>
      </w:r>
      <w:proofErr w:type="gramStart"/>
      <w:r w:rsidRPr="001C26FC">
        <w:rPr>
          <w:rFonts w:cstheme="minorHAnsi"/>
        </w:rPr>
        <w:t>used</w:t>
      </w:r>
      <w:proofErr w:type="gramEnd"/>
      <w:r w:rsidRPr="001C26FC">
        <w:rPr>
          <w:rFonts w:cstheme="minorHAnsi"/>
        </w:rPr>
        <w:t xml:space="preserve"> to establish the absolute configuration of the </w:t>
      </w:r>
      <w:proofErr w:type="spellStart"/>
      <w:r w:rsidRPr="001C26FC">
        <w:rPr>
          <w:rFonts w:cstheme="minorHAnsi"/>
        </w:rPr>
        <w:t>enantioisotopomers</w:t>
      </w:r>
      <w:proofErr w:type="spellEnd"/>
      <w:r w:rsidRPr="001C26FC">
        <w:rPr>
          <w:rFonts w:cstheme="minorHAnsi"/>
        </w:rPr>
        <w:t>.</w:t>
      </w:r>
    </w:p>
    <w:tbl>
      <w:tblPr>
        <w:tblStyle w:val="TableGrid"/>
        <w:tblW w:w="0" w:type="auto"/>
        <w:tblLook w:val="04A0" w:firstRow="1" w:lastRow="0" w:firstColumn="1" w:lastColumn="0" w:noHBand="0" w:noVBand="1"/>
      </w:tblPr>
      <w:tblGrid>
        <w:gridCol w:w="1874"/>
        <w:gridCol w:w="1001"/>
        <w:gridCol w:w="1739"/>
        <w:gridCol w:w="1053"/>
        <w:gridCol w:w="1632"/>
        <w:gridCol w:w="805"/>
        <w:gridCol w:w="1372"/>
        <w:gridCol w:w="1418"/>
        <w:gridCol w:w="718"/>
        <w:gridCol w:w="1340"/>
        <w:gridCol w:w="718"/>
      </w:tblGrid>
      <w:tr w:rsidR="005C59D6" w:rsidRPr="005C59D6" w14:paraId="7E9AE20D" w14:textId="77777777" w:rsidTr="00A11CC1">
        <w:tc>
          <w:tcPr>
            <w:tcW w:w="0" w:type="auto"/>
            <w:hideMark/>
          </w:tcPr>
          <w:p w14:paraId="3B8A5BF5" w14:textId="77777777" w:rsidR="005C59D6" w:rsidRPr="005C59D6" w:rsidRDefault="005C59D6" w:rsidP="001C26FC">
            <w:pPr>
              <w:pStyle w:val="NoSpacing"/>
              <w:rPr>
                <w:rFonts w:cstheme="minorHAnsi"/>
              </w:rPr>
            </w:pPr>
            <w:r w:rsidRPr="005C59D6">
              <w:rPr>
                <w:rFonts w:cstheme="minorHAnsi"/>
              </w:rPr>
              <w:t> </w:t>
            </w:r>
          </w:p>
        </w:tc>
        <w:tc>
          <w:tcPr>
            <w:tcW w:w="1001" w:type="dxa"/>
            <w:hideMark/>
          </w:tcPr>
          <w:p w14:paraId="45F68E29" w14:textId="77777777" w:rsidR="005C59D6" w:rsidRPr="005C59D6" w:rsidRDefault="005C59D6" w:rsidP="001C26FC">
            <w:pPr>
              <w:pStyle w:val="NoSpacing"/>
              <w:rPr>
                <w:rFonts w:cstheme="minorHAnsi"/>
              </w:rPr>
            </w:pPr>
            <w:r w:rsidRPr="005C59D6">
              <w:rPr>
                <w:rFonts w:cstheme="minorHAnsi"/>
              </w:rPr>
              <w:t> </w:t>
            </w:r>
          </w:p>
        </w:tc>
        <w:tc>
          <w:tcPr>
            <w:tcW w:w="1739" w:type="dxa"/>
            <w:hideMark/>
          </w:tcPr>
          <w:p w14:paraId="73CFB7C1" w14:textId="77777777" w:rsidR="005C59D6" w:rsidRPr="005C59D6" w:rsidRDefault="005C59D6" w:rsidP="001C26FC">
            <w:pPr>
              <w:pStyle w:val="NoSpacing"/>
              <w:rPr>
                <w:rFonts w:cstheme="minorHAnsi"/>
              </w:rPr>
            </w:pPr>
            <w:r w:rsidRPr="005C59D6">
              <w:rPr>
                <w:rFonts w:cstheme="minorHAnsi"/>
              </w:rPr>
              <w:t>Normal Species Chiral Tag Complex</w:t>
            </w:r>
            <w:r w:rsidRPr="005C59D6">
              <w:rPr>
                <w:rFonts w:cstheme="minorHAnsi"/>
                <w:vertAlign w:val="superscript"/>
              </w:rPr>
              <w:t>[a]</w:t>
            </w:r>
          </w:p>
        </w:tc>
        <w:tc>
          <w:tcPr>
            <w:tcW w:w="0" w:type="auto"/>
          </w:tcPr>
          <w:p w14:paraId="02C96FDD" w14:textId="77777777" w:rsidR="005C59D6" w:rsidRPr="005C59D6" w:rsidRDefault="005C59D6" w:rsidP="001C26FC">
            <w:pPr>
              <w:pStyle w:val="NoSpacing"/>
              <w:rPr>
                <w:rFonts w:cstheme="minorHAnsi"/>
              </w:rPr>
            </w:pPr>
          </w:p>
        </w:tc>
        <w:tc>
          <w:tcPr>
            <w:tcW w:w="0" w:type="auto"/>
          </w:tcPr>
          <w:p w14:paraId="04D5116F" w14:textId="77777777" w:rsidR="005C59D6" w:rsidRPr="005C59D6" w:rsidRDefault="005C59D6" w:rsidP="001C26FC">
            <w:pPr>
              <w:pStyle w:val="NoSpacing"/>
              <w:rPr>
                <w:rFonts w:cstheme="minorHAnsi"/>
              </w:rPr>
            </w:pPr>
          </w:p>
        </w:tc>
        <w:tc>
          <w:tcPr>
            <w:tcW w:w="0" w:type="auto"/>
          </w:tcPr>
          <w:p w14:paraId="1EB891AA" w14:textId="0A262114" w:rsidR="005C59D6" w:rsidRPr="005C59D6" w:rsidRDefault="005C59D6" w:rsidP="001C26FC">
            <w:pPr>
              <w:pStyle w:val="NoSpacing"/>
              <w:rPr>
                <w:rFonts w:cstheme="minorHAnsi"/>
              </w:rPr>
            </w:pPr>
          </w:p>
        </w:tc>
        <w:tc>
          <w:tcPr>
            <w:tcW w:w="0" w:type="auto"/>
            <w:hideMark/>
          </w:tcPr>
          <w:p w14:paraId="29B8E746" w14:textId="77777777" w:rsidR="005C59D6" w:rsidRPr="005C59D6" w:rsidRDefault="005C59D6" w:rsidP="001C26FC">
            <w:pPr>
              <w:pStyle w:val="NoSpacing"/>
              <w:rPr>
                <w:rFonts w:cstheme="minorHAnsi"/>
              </w:rPr>
            </w:pPr>
            <w:r w:rsidRPr="005C59D6">
              <w:rPr>
                <w:rFonts w:cstheme="minorHAnsi"/>
              </w:rPr>
              <w:t> </w:t>
            </w:r>
          </w:p>
        </w:tc>
        <w:tc>
          <w:tcPr>
            <w:tcW w:w="0" w:type="auto"/>
            <w:hideMark/>
          </w:tcPr>
          <w:p w14:paraId="066CD76C" w14:textId="77777777" w:rsidR="005C59D6" w:rsidRPr="005C59D6" w:rsidRDefault="005C59D6" w:rsidP="001C26FC">
            <w:pPr>
              <w:pStyle w:val="NoSpacing"/>
              <w:rPr>
                <w:rFonts w:cstheme="minorHAnsi"/>
              </w:rPr>
            </w:pPr>
            <w:r w:rsidRPr="005C59D6">
              <w:rPr>
                <w:rFonts w:cstheme="minorHAnsi"/>
                <w:i/>
                <w:iCs/>
              </w:rPr>
              <w:t>d1</w:t>
            </w:r>
            <w:r w:rsidRPr="005C59D6">
              <w:rPr>
                <w:rFonts w:cstheme="minorHAnsi"/>
              </w:rPr>
              <w:t>-Heterochiral</w:t>
            </w:r>
          </w:p>
        </w:tc>
        <w:tc>
          <w:tcPr>
            <w:tcW w:w="0" w:type="auto"/>
          </w:tcPr>
          <w:p w14:paraId="358D2AF8" w14:textId="10D2EA22" w:rsidR="005C59D6" w:rsidRPr="005C59D6" w:rsidRDefault="005C59D6" w:rsidP="001C26FC">
            <w:pPr>
              <w:pStyle w:val="NoSpacing"/>
              <w:rPr>
                <w:rFonts w:cstheme="minorHAnsi"/>
              </w:rPr>
            </w:pPr>
          </w:p>
        </w:tc>
        <w:tc>
          <w:tcPr>
            <w:tcW w:w="0" w:type="auto"/>
            <w:hideMark/>
          </w:tcPr>
          <w:p w14:paraId="0BD6D0A9" w14:textId="77777777" w:rsidR="005C59D6" w:rsidRPr="005C59D6" w:rsidRDefault="005C59D6" w:rsidP="001C26FC">
            <w:pPr>
              <w:pStyle w:val="NoSpacing"/>
              <w:rPr>
                <w:rFonts w:cstheme="minorHAnsi"/>
              </w:rPr>
            </w:pPr>
            <w:r w:rsidRPr="005C59D6">
              <w:rPr>
                <w:rFonts w:cstheme="minorHAnsi"/>
                <w:i/>
                <w:iCs/>
              </w:rPr>
              <w:t>d1</w:t>
            </w:r>
            <w:r w:rsidRPr="005C59D6">
              <w:rPr>
                <w:rFonts w:cstheme="minorHAnsi"/>
              </w:rPr>
              <w:t>-Homochiral</w:t>
            </w:r>
          </w:p>
        </w:tc>
        <w:tc>
          <w:tcPr>
            <w:tcW w:w="0" w:type="auto"/>
          </w:tcPr>
          <w:p w14:paraId="03B62AF6" w14:textId="5A3DB1B2" w:rsidR="005C59D6" w:rsidRPr="005C59D6" w:rsidRDefault="005C59D6" w:rsidP="001C26FC">
            <w:pPr>
              <w:pStyle w:val="NoSpacing"/>
              <w:rPr>
                <w:rFonts w:cstheme="minorHAnsi"/>
              </w:rPr>
            </w:pPr>
          </w:p>
        </w:tc>
      </w:tr>
      <w:tr w:rsidR="00A11CC1" w:rsidRPr="005C59D6" w14:paraId="546F6C96" w14:textId="77777777" w:rsidTr="00A11CC1">
        <w:tc>
          <w:tcPr>
            <w:tcW w:w="0" w:type="auto"/>
            <w:hideMark/>
          </w:tcPr>
          <w:p w14:paraId="16DEFFE4" w14:textId="77777777" w:rsidR="00073BE7" w:rsidRPr="005C59D6" w:rsidRDefault="00073BE7" w:rsidP="001C26FC">
            <w:pPr>
              <w:pStyle w:val="NoSpacing"/>
              <w:rPr>
                <w:rFonts w:cstheme="minorHAnsi"/>
              </w:rPr>
            </w:pPr>
            <w:r w:rsidRPr="005C59D6">
              <w:rPr>
                <w:rFonts w:cstheme="minorHAnsi"/>
              </w:rPr>
              <w:t> </w:t>
            </w:r>
          </w:p>
        </w:tc>
        <w:tc>
          <w:tcPr>
            <w:tcW w:w="1001" w:type="dxa"/>
            <w:hideMark/>
          </w:tcPr>
          <w:p w14:paraId="040B885A" w14:textId="77777777" w:rsidR="00073BE7" w:rsidRPr="005C59D6" w:rsidRDefault="00073BE7" w:rsidP="001C26FC">
            <w:pPr>
              <w:pStyle w:val="NoSpacing"/>
              <w:rPr>
                <w:rFonts w:cstheme="minorHAnsi"/>
              </w:rPr>
            </w:pPr>
            <w:r w:rsidRPr="005C59D6">
              <w:rPr>
                <w:rFonts w:cstheme="minorHAnsi"/>
              </w:rPr>
              <w:t> </w:t>
            </w:r>
          </w:p>
        </w:tc>
        <w:tc>
          <w:tcPr>
            <w:tcW w:w="1739" w:type="dxa"/>
            <w:hideMark/>
          </w:tcPr>
          <w:p w14:paraId="497A92DA" w14:textId="77777777" w:rsidR="00073BE7" w:rsidRPr="005C59D6" w:rsidRDefault="00073BE7" w:rsidP="001C26FC">
            <w:pPr>
              <w:pStyle w:val="NoSpacing"/>
              <w:rPr>
                <w:rFonts w:cstheme="minorHAnsi"/>
              </w:rPr>
            </w:pPr>
            <w:r w:rsidRPr="005C59D6">
              <w:rPr>
                <w:rFonts w:cstheme="minorHAnsi"/>
              </w:rPr>
              <w:t>Rotational Constant</w:t>
            </w:r>
          </w:p>
        </w:tc>
        <w:tc>
          <w:tcPr>
            <w:tcW w:w="0" w:type="auto"/>
            <w:hideMark/>
          </w:tcPr>
          <w:p w14:paraId="7E608AD6" w14:textId="77777777" w:rsidR="00073BE7" w:rsidRPr="005C59D6" w:rsidRDefault="00073BE7" w:rsidP="001C26FC">
            <w:pPr>
              <w:pStyle w:val="NoSpacing"/>
              <w:rPr>
                <w:rFonts w:cstheme="minorHAnsi"/>
              </w:rPr>
            </w:pPr>
            <w:r w:rsidRPr="005C59D6">
              <w:rPr>
                <w:rFonts w:cstheme="minorHAnsi"/>
              </w:rPr>
              <w:t>Theory</w:t>
            </w:r>
          </w:p>
        </w:tc>
        <w:tc>
          <w:tcPr>
            <w:tcW w:w="0" w:type="auto"/>
            <w:hideMark/>
          </w:tcPr>
          <w:p w14:paraId="58BB252F" w14:textId="77777777" w:rsidR="00073BE7" w:rsidRPr="005C59D6" w:rsidRDefault="00073BE7" w:rsidP="001C26FC">
            <w:pPr>
              <w:pStyle w:val="NoSpacing"/>
              <w:rPr>
                <w:rFonts w:cstheme="minorHAnsi"/>
              </w:rPr>
            </w:pPr>
            <w:r w:rsidRPr="005C59D6">
              <w:rPr>
                <w:rFonts w:cstheme="minorHAnsi"/>
              </w:rPr>
              <w:t>Exp</w:t>
            </w:r>
          </w:p>
        </w:tc>
        <w:tc>
          <w:tcPr>
            <w:tcW w:w="0" w:type="auto"/>
            <w:hideMark/>
          </w:tcPr>
          <w:p w14:paraId="1E8E5637" w14:textId="77777777" w:rsidR="00073BE7" w:rsidRPr="005C59D6" w:rsidRDefault="00073BE7" w:rsidP="001C26FC">
            <w:pPr>
              <w:pStyle w:val="NoSpacing"/>
              <w:rPr>
                <w:rFonts w:cstheme="minorHAnsi"/>
              </w:rPr>
            </w:pPr>
            <w:r w:rsidRPr="005C59D6">
              <w:rPr>
                <w:rFonts w:cstheme="minorHAnsi"/>
              </w:rPr>
              <w:t>Error [%]</w:t>
            </w:r>
          </w:p>
        </w:tc>
        <w:tc>
          <w:tcPr>
            <w:tcW w:w="0" w:type="auto"/>
            <w:hideMark/>
          </w:tcPr>
          <w:p w14:paraId="558E4329" w14:textId="77777777" w:rsidR="00073BE7" w:rsidRPr="005C59D6" w:rsidRDefault="00073BE7" w:rsidP="001C26FC">
            <w:pPr>
              <w:pStyle w:val="NoSpacing"/>
              <w:rPr>
                <w:rFonts w:cstheme="minorHAnsi"/>
              </w:rPr>
            </w:pPr>
            <w:r w:rsidRPr="005C59D6">
              <w:rPr>
                <w:rFonts w:cstheme="minorHAnsi"/>
              </w:rPr>
              <w:t>Coordinate</w:t>
            </w:r>
            <w:r w:rsidRPr="005C59D6">
              <w:rPr>
                <w:rFonts w:cstheme="minorHAnsi"/>
                <w:vertAlign w:val="superscript"/>
              </w:rPr>
              <w:t>[b]</w:t>
            </w:r>
          </w:p>
        </w:tc>
        <w:tc>
          <w:tcPr>
            <w:tcW w:w="0" w:type="auto"/>
            <w:hideMark/>
          </w:tcPr>
          <w:p w14:paraId="4DB36B2A" w14:textId="77777777" w:rsidR="00073BE7" w:rsidRPr="005C59D6" w:rsidRDefault="00073BE7" w:rsidP="001C26FC">
            <w:pPr>
              <w:pStyle w:val="NoSpacing"/>
              <w:rPr>
                <w:rFonts w:cstheme="minorHAnsi"/>
              </w:rPr>
            </w:pPr>
            <w:r w:rsidRPr="005C59D6">
              <w:rPr>
                <w:rFonts w:cstheme="minorHAnsi"/>
              </w:rPr>
              <w:t>Theory</w:t>
            </w:r>
          </w:p>
        </w:tc>
        <w:tc>
          <w:tcPr>
            <w:tcW w:w="0" w:type="auto"/>
            <w:hideMark/>
          </w:tcPr>
          <w:p w14:paraId="7722F9FA" w14:textId="77777777" w:rsidR="00073BE7" w:rsidRPr="005C59D6" w:rsidRDefault="00073BE7" w:rsidP="001C26FC">
            <w:pPr>
              <w:pStyle w:val="NoSpacing"/>
              <w:rPr>
                <w:rFonts w:cstheme="minorHAnsi"/>
              </w:rPr>
            </w:pPr>
            <w:r w:rsidRPr="005C59D6">
              <w:rPr>
                <w:rFonts w:cstheme="minorHAnsi"/>
              </w:rPr>
              <w:t>Exp</w:t>
            </w:r>
          </w:p>
        </w:tc>
        <w:tc>
          <w:tcPr>
            <w:tcW w:w="0" w:type="auto"/>
            <w:hideMark/>
          </w:tcPr>
          <w:p w14:paraId="13DCF637" w14:textId="77777777" w:rsidR="00073BE7" w:rsidRPr="005C59D6" w:rsidRDefault="00073BE7" w:rsidP="001C26FC">
            <w:pPr>
              <w:pStyle w:val="NoSpacing"/>
              <w:rPr>
                <w:rFonts w:cstheme="minorHAnsi"/>
              </w:rPr>
            </w:pPr>
            <w:r w:rsidRPr="005C59D6">
              <w:rPr>
                <w:rFonts w:cstheme="minorHAnsi"/>
              </w:rPr>
              <w:t>Theory</w:t>
            </w:r>
          </w:p>
        </w:tc>
        <w:tc>
          <w:tcPr>
            <w:tcW w:w="0" w:type="auto"/>
            <w:hideMark/>
          </w:tcPr>
          <w:p w14:paraId="1EDE6257" w14:textId="77777777" w:rsidR="00073BE7" w:rsidRPr="005C59D6" w:rsidRDefault="00073BE7" w:rsidP="001C26FC">
            <w:pPr>
              <w:pStyle w:val="NoSpacing"/>
              <w:rPr>
                <w:rFonts w:cstheme="minorHAnsi"/>
              </w:rPr>
            </w:pPr>
            <w:r w:rsidRPr="005C59D6">
              <w:rPr>
                <w:rFonts w:cstheme="minorHAnsi"/>
              </w:rPr>
              <w:t>Exp</w:t>
            </w:r>
          </w:p>
        </w:tc>
      </w:tr>
      <w:tr w:rsidR="005C59D6" w:rsidRPr="005C59D6" w14:paraId="60C5B70B" w14:textId="77777777" w:rsidTr="00A11CC1">
        <w:tc>
          <w:tcPr>
            <w:tcW w:w="0" w:type="auto"/>
            <w:hideMark/>
          </w:tcPr>
          <w:p w14:paraId="51A58D2F" w14:textId="77777777" w:rsidR="00073BE7" w:rsidRPr="005C59D6" w:rsidRDefault="00073BE7" w:rsidP="001C26FC">
            <w:pPr>
              <w:pStyle w:val="NoSpacing"/>
              <w:rPr>
                <w:rFonts w:cstheme="minorHAnsi"/>
              </w:rPr>
            </w:pPr>
            <w:r w:rsidRPr="005C59D6">
              <w:rPr>
                <w:rFonts w:cstheme="minorHAnsi"/>
              </w:rPr>
              <w:t>Ethylbenzene</w:t>
            </w:r>
          </w:p>
        </w:tc>
        <w:tc>
          <w:tcPr>
            <w:tcW w:w="1001" w:type="dxa"/>
            <w:hideMark/>
          </w:tcPr>
          <w:p w14:paraId="572623FB" w14:textId="77777777" w:rsidR="00073BE7" w:rsidRPr="005C59D6" w:rsidRDefault="00073BE7" w:rsidP="001C26FC">
            <w:pPr>
              <w:pStyle w:val="NoSpacing"/>
              <w:rPr>
                <w:rFonts w:cstheme="minorHAnsi"/>
              </w:rPr>
            </w:pPr>
            <w:r w:rsidRPr="005C59D6">
              <w:rPr>
                <w:rFonts w:cstheme="minorHAnsi"/>
              </w:rPr>
              <w:t>Isomer 1</w:t>
            </w:r>
          </w:p>
        </w:tc>
        <w:tc>
          <w:tcPr>
            <w:tcW w:w="1739" w:type="dxa"/>
            <w:hideMark/>
          </w:tcPr>
          <w:p w14:paraId="6D3F4134" w14:textId="77777777" w:rsidR="00073BE7" w:rsidRPr="005C59D6" w:rsidRDefault="00073BE7" w:rsidP="001C26FC">
            <w:pPr>
              <w:pStyle w:val="NoSpacing"/>
              <w:rPr>
                <w:rFonts w:cstheme="minorHAnsi"/>
              </w:rPr>
            </w:pPr>
            <w:r w:rsidRPr="005C59D6">
              <w:rPr>
                <w:rFonts w:cstheme="minorHAnsi"/>
              </w:rPr>
              <w:t>A [MHz]</w:t>
            </w:r>
          </w:p>
        </w:tc>
        <w:tc>
          <w:tcPr>
            <w:tcW w:w="0" w:type="auto"/>
            <w:hideMark/>
          </w:tcPr>
          <w:p w14:paraId="2EB54CBF" w14:textId="77777777" w:rsidR="00073BE7" w:rsidRPr="005C59D6" w:rsidRDefault="00073BE7" w:rsidP="001C26FC">
            <w:pPr>
              <w:pStyle w:val="NoSpacing"/>
              <w:rPr>
                <w:rFonts w:cstheme="minorHAnsi"/>
              </w:rPr>
            </w:pPr>
            <w:r w:rsidRPr="005C59D6">
              <w:rPr>
                <w:rFonts w:cstheme="minorHAnsi"/>
              </w:rPr>
              <w:t>836.2805</w:t>
            </w:r>
          </w:p>
        </w:tc>
        <w:tc>
          <w:tcPr>
            <w:tcW w:w="0" w:type="auto"/>
            <w:hideMark/>
          </w:tcPr>
          <w:p w14:paraId="7C4E01BE" w14:textId="77777777" w:rsidR="00073BE7" w:rsidRPr="005C59D6" w:rsidRDefault="00073BE7" w:rsidP="001C26FC">
            <w:pPr>
              <w:pStyle w:val="NoSpacing"/>
              <w:rPr>
                <w:rFonts w:cstheme="minorHAnsi"/>
              </w:rPr>
            </w:pPr>
            <w:r w:rsidRPr="005C59D6">
              <w:rPr>
                <w:rFonts w:cstheme="minorHAnsi"/>
              </w:rPr>
              <w:t>842.60004(2)</w:t>
            </w:r>
          </w:p>
        </w:tc>
        <w:tc>
          <w:tcPr>
            <w:tcW w:w="0" w:type="auto"/>
            <w:hideMark/>
          </w:tcPr>
          <w:p w14:paraId="57A5C55E" w14:textId="77777777" w:rsidR="00073BE7" w:rsidRPr="005C59D6" w:rsidRDefault="00073BE7" w:rsidP="001C26FC">
            <w:pPr>
              <w:pStyle w:val="NoSpacing"/>
              <w:rPr>
                <w:rFonts w:cstheme="minorHAnsi"/>
              </w:rPr>
            </w:pPr>
            <w:r w:rsidRPr="005C59D6">
              <w:rPr>
                <w:rFonts w:cstheme="minorHAnsi"/>
              </w:rPr>
              <w:t>+0.75</w:t>
            </w:r>
          </w:p>
        </w:tc>
        <w:tc>
          <w:tcPr>
            <w:tcW w:w="0" w:type="auto"/>
            <w:hideMark/>
          </w:tcPr>
          <w:p w14:paraId="0D917DFE" w14:textId="77777777" w:rsidR="00073BE7" w:rsidRPr="005C59D6" w:rsidRDefault="00073BE7" w:rsidP="001C26FC">
            <w:pPr>
              <w:pStyle w:val="NoSpacing"/>
              <w:rPr>
                <w:rFonts w:cstheme="minorHAnsi"/>
              </w:rPr>
            </w:pPr>
            <w:r w:rsidRPr="005C59D6">
              <w:rPr>
                <w:rFonts w:cstheme="minorHAnsi"/>
              </w:rPr>
              <w:t>|a| [Å]</w:t>
            </w:r>
          </w:p>
        </w:tc>
        <w:tc>
          <w:tcPr>
            <w:tcW w:w="0" w:type="auto"/>
            <w:hideMark/>
          </w:tcPr>
          <w:p w14:paraId="219B40C2" w14:textId="77777777" w:rsidR="00073BE7" w:rsidRPr="005C59D6" w:rsidRDefault="00073BE7" w:rsidP="001C26FC">
            <w:pPr>
              <w:pStyle w:val="NoSpacing"/>
              <w:rPr>
                <w:rFonts w:cstheme="minorHAnsi"/>
              </w:rPr>
            </w:pPr>
            <w:r w:rsidRPr="005C59D6">
              <w:rPr>
                <w:rFonts w:cstheme="minorHAnsi"/>
              </w:rPr>
              <w:t>3.849</w:t>
            </w:r>
          </w:p>
        </w:tc>
        <w:tc>
          <w:tcPr>
            <w:tcW w:w="0" w:type="auto"/>
            <w:hideMark/>
          </w:tcPr>
          <w:p w14:paraId="5C1010E4" w14:textId="77777777" w:rsidR="00073BE7" w:rsidRPr="005C59D6" w:rsidRDefault="00073BE7" w:rsidP="001C26FC">
            <w:pPr>
              <w:pStyle w:val="NoSpacing"/>
              <w:rPr>
                <w:rFonts w:cstheme="minorHAnsi"/>
              </w:rPr>
            </w:pPr>
            <w:r w:rsidRPr="005C59D6">
              <w:rPr>
                <w:rFonts w:cstheme="minorHAnsi"/>
              </w:rPr>
              <w:t>3.731</w:t>
            </w:r>
          </w:p>
        </w:tc>
        <w:tc>
          <w:tcPr>
            <w:tcW w:w="0" w:type="auto"/>
            <w:hideMark/>
          </w:tcPr>
          <w:p w14:paraId="6F64E06E" w14:textId="77777777" w:rsidR="00073BE7" w:rsidRPr="005C59D6" w:rsidRDefault="00073BE7" w:rsidP="001C26FC">
            <w:pPr>
              <w:pStyle w:val="NoSpacing"/>
              <w:rPr>
                <w:rFonts w:cstheme="minorHAnsi"/>
              </w:rPr>
            </w:pPr>
            <w:r w:rsidRPr="005C59D6">
              <w:rPr>
                <w:rFonts w:cstheme="minorHAnsi"/>
              </w:rPr>
              <w:t>4.034</w:t>
            </w:r>
          </w:p>
        </w:tc>
        <w:tc>
          <w:tcPr>
            <w:tcW w:w="0" w:type="auto"/>
            <w:hideMark/>
          </w:tcPr>
          <w:p w14:paraId="0C02C17E" w14:textId="77777777" w:rsidR="00073BE7" w:rsidRPr="005C59D6" w:rsidRDefault="00073BE7" w:rsidP="001C26FC">
            <w:pPr>
              <w:pStyle w:val="NoSpacing"/>
              <w:rPr>
                <w:rFonts w:cstheme="minorHAnsi"/>
              </w:rPr>
            </w:pPr>
            <w:r w:rsidRPr="005C59D6">
              <w:rPr>
                <w:rFonts w:cstheme="minorHAnsi"/>
              </w:rPr>
              <w:t>4.082</w:t>
            </w:r>
          </w:p>
        </w:tc>
      </w:tr>
      <w:tr w:rsidR="005C59D6" w:rsidRPr="005C59D6" w14:paraId="21E7730A" w14:textId="77777777" w:rsidTr="00A11CC1">
        <w:tc>
          <w:tcPr>
            <w:tcW w:w="0" w:type="auto"/>
            <w:hideMark/>
          </w:tcPr>
          <w:p w14:paraId="1C0C0AA6" w14:textId="77777777" w:rsidR="00073BE7" w:rsidRPr="005C59D6" w:rsidRDefault="00073BE7" w:rsidP="001C26FC">
            <w:pPr>
              <w:pStyle w:val="NoSpacing"/>
              <w:rPr>
                <w:rFonts w:cstheme="minorHAnsi"/>
              </w:rPr>
            </w:pPr>
          </w:p>
        </w:tc>
        <w:tc>
          <w:tcPr>
            <w:tcW w:w="1001" w:type="dxa"/>
            <w:hideMark/>
          </w:tcPr>
          <w:p w14:paraId="15013A21" w14:textId="77777777" w:rsidR="00073BE7" w:rsidRPr="005C59D6" w:rsidRDefault="00073BE7" w:rsidP="001C26FC">
            <w:pPr>
              <w:pStyle w:val="NoSpacing"/>
              <w:rPr>
                <w:rFonts w:cstheme="minorHAnsi"/>
              </w:rPr>
            </w:pPr>
          </w:p>
        </w:tc>
        <w:tc>
          <w:tcPr>
            <w:tcW w:w="1739" w:type="dxa"/>
            <w:hideMark/>
          </w:tcPr>
          <w:p w14:paraId="6B1FC3D3" w14:textId="77777777" w:rsidR="00073BE7" w:rsidRPr="005C59D6" w:rsidRDefault="00073BE7" w:rsidP="001C26FC">
            <w:pPr>
              <w:pStyle w:val="NoSpacing"/>
              <w:rPr>
                <w:rFonts w:cstheme="minorHAnsi"/>
              </w:rPr>
            </w:pPr>
            <w:r w:rsidRPr="005C59D6">
              <w:rPr>
                <w:rFonts w:cstheme="minorHAnsi"/>
              </w:rPr>
              <w:t>B [MHz]</w:t>
            </w:r>
          </w:p>
        </w:tc>
        <w:tc>
          <w:tcPr>
            <w:tcW w:w="0" w:type="auto"/>
            <w:hideMark/>
          </w:tcPr>
          <w:p w14:paraId="3CA86C90" w14:textId="77777777" w:rsidR="00073BE7" w:rsidRPr="005C59D6" w:rsidRDefault="00073BE7" w:rsidP="001C26FC">
            <w:pPr>
              <w:pStyle w:val="NoSpacing"/>
              <w:rPr>
                <w:rFonts w:cstheme="minorHAnsi"/>
              </w:rPr>
            </w:pPr>
            <w:r w:rsidRPr="005C59D6">
              <w:rPr>
                <w:rFonts w:cstheme="minorHAnsi"/>
              </w:rPr>
              <w:t>389.1585</w:t>
            </w:r>
          </w:p>
        </w:tc>
        <w:tc>
          <w:tcPr>
            <w:tcW w:w="0" w:type="auto"/>
            <w:hideMark/>
          </w:tcPr>
          <w:p w14:paraId="2459B458" w14:textId="77777777" w:rsidR="00073BE7" w:rsidRPr="005C59D6" w:rsidRDefault="00073BE7" w:rsidP="001C26FC">
            <w:pPr>
              <w:pStyle w:val="NoSpacing"/>
              <w:rPr>
                <w:rFonts w:cstheme="minorHAnsi"/>
              </w:rPr>
            </w:pPr>
            <w:r w:rsidRPr="005C59D6">
              <w:rPr>
                <w:rFonts w:cstheme="minorHAnsi"/>
              </w:rPr>
              <w:t>377.19543(1)</w:t>
            </w:r>
          </w:p>
        </w:tc>
        <w:tc>
          <w:tcPr>
            <w:tcW w:w="0" w:type="auto"/>
            <w:hideMark/>
          </w:tcPr>
          <w:p w14:paraId="20685A41" w14:textId="77777777" w:rsidR="00073BE7" w:rsidRPr="005C59D6" w:rsidRDefault="00073BE7" w:rsidP="001C26FC">
            <w:pPr>
              <w:pStyle w:val="NoSpacing"/>
              <w:rPr>
                <w:rFonts w:cstheme="minorHAnsi"/>
              </w:rPr>
            </w:pPr>
            <w:r w:rsidRPr="005C59D6">
              <w:rPr>
                <w:rFonts w:cstheme="minorHAnsi"/>
              </w:rPr>
              <w:t>−3.17</w:t>
            </w:r>
          </w:p>
        </w:tc>
        <w:tc>
          <w:tcPr>
            <w:tcW w:w="0" w:type="auto"/>
            <w:hideMark/>
          </w:tcPr>
          <w:p w14:paraId="5E5B31A0" w14:textId="77777777" w:rsidR="00073BE7" w:rsidRPr="005C59D6" w:rsidRDefault="00073BE7" w:rsidP="001C26FC">
            <w:pPr>
              <w:pStyle w:val="NoSpacing"/>
              <w:rPr>
                <w:rFonts w:cstheme="minorHAnsi"/>
              </w:rPr>
            </w:pPr>
            <w:r w:rsidRPr="005C59D6">
              <w:rPr>
                <w:rFonts w:cstheme="minorHAnsi"/>
              </w:rPr>
              <w:t>|b| [Å]</w:t>
            </w:r>
          </w:p>
        </w:tc>
        <w:tc>
          <w:tcPr>
            <w:tcW w:w="0" w:type="auto"/>
            <w:hideMark/>
          </w:tcPr>
          <w:p w14:paraId="6B8BA1F0" w14:textId="77777777" w:rsidR="00073BE7" w:rsidRPr="005C59D6" w:rsidRDefault="00073BE7" w:rsidP="001C26FC">
            <w:pPr>
              <w:pStyle w:val="NoSpacing"/>
              <w:rPr>
                <w:rFonts w:cstheme="minorHAnsi"/>
              </w:rPr>
            </w:pPr>
            <w:r w:rsidRPr="005C59D6">
              <w:rPr>
                <w:rFonts w:cstheme="minorHAnsi"/>
              </w:rPr>
              <w:t>1.558</w:t>
            </w:r>
          </w:p>
        </w:tc>
        <w:tc>
          <w:tcPr>
            <w:tcW w:w="0" w:type="auto"/>
            <w:hideMark/>
          </w:tcPr>
          <w:p w14:paraId="66D053B8" w14:textId="77777777" w:rsidR="00073BE7" w:rsidRPr="005C59D6" w:rsidRDefault="00073BE7" w:rsidP="001C26FC">
            <w:pPr>
              <w:pStyle w:val="NoSpacing"/>
              <w:rPr>
                <w:rFonts w:cstheme="minorHAnsi"/>
              </w:rPr>
            </w:pPr>
            <w:r w:rsidRPr="005C59D6">
              <w:rPr>
                <w:rFonts w:cstheme="minorHAnsi"/>
              </w:rPr>
              <w:t>1.596</w:t>
            </w:r>
          </w:p>
        </w:tc>
        <w:tc>
          <w:tcPr>
            <w:tcW w:w="0" w:type="auto"/>
            <w:hideMark/>
          </w:tcPr>
          <w:p w14:paraId="6128AA76" w14:textId="77777777" w:rsidR="00073BE7" w:rsidRPr="005C59D6" w:rsidRDefault="00073BE7" w:rsidP="001C26FC">
            <w:pPr>
              <w:pStyle w:val="NoSpacing"/>
              <w:rPr>
                <w:rFonts w:cstheme="minorHAnsi"/>
              </w:rPr>
            </w:pPr>
            <w:r w:rsidRPr="005C59D6">
              <w:rPr>
                <w:rFonts w:cstheme="minorHAnsi"/>
              </w:rPr>
              <w:t>1.598</w:t>
            </w:r>
          </w:p>
        </w:tc>
        <w:tc>
          <w:tcPr>
            <w:tcW w:w="0" w:type="auto"/>
            <w:hideMark/>
          </w:tcPr>
          <w:p w14:paraId="70204AEE" w14:textId="77777777" w:rsidR="00073BE7" w:rsidRPr="005C59D6" w:rsidRDefault="00073BE7" w:rsidP="001C26FC">
            <w:pPr>
              <w:pStyle w:val="NoSpacing"/>
              <w:rPr>
                <w:rFonts w:cstheme="minorHAnsi"/>
              </w:rPr>
            </w:pPr>
            <w:r w:rsidRPr="005C59D6">
              <w:rPr>
                <w:rFonts w:cstheme="minorHAnsi"/>
              </w:rPr>
              <w:t>1.673</w:t>
            </w:r>
          </w:p>
        </w:tc>
      </w:tr>
      <w:tr w:rsidR="005C59D6" w:rsidRPr="005C59D6" w14:paraId="039E3010" w14:textId="77777777" w:rsidTr="00A11CC1">
        <w:tc>
          <w:tcPr>
            <w:tcW w:w="0" w:type="auto"/>
            <w:hideMark/>
          </w:tcPr>
          <w:p w14:paraId="473513BC" w14:textId="77777777" w:rsidR="00073BE7" w:rsidRPr="005C59D6" w:rsidRDefault="00073BE7" w:rsidP="001C26FC">
            <w:pPr>
              <w:pStyle w:val="NoSpacing"/>
              <w:rPr>
                <w:rFonts w:cstheme="minorHAnsi"/>
              </w:rPr>
            </w:pPr>
          </w:p>
        </w:tc>
        <w:tc>
          <w:tcPr>
            <w:tcW w:w="1001" w:type="dxa"/>
            <w:hideMark/>
          </w:tcPr>
          <w:p w14:paraId="5A42E99D" w14:textId="77777777" w:rsidR="00073BE7" w:rsidRPr="005C59D6" w:rsidRDefault="00073BE7" w:rsidP="001C26FC">
            <w:pPr>
              <w:pStyle w:val="NoSpacing"/>
              <w:rPr>
                <w:rFonts w:cstheme="minorHAnsi"/>
              </w:rPr>
            </w:pPr>
          </w:p>
        </w:tc>
        <w:tc>
          <w:tcPr>
            <w:tcW w:w="1739" w:type="dxa"/>
            <w:hideMark/>
          </w:tcPr>
          <w:p w14:paraId="54090F77" w14:textId="77777777" w:rsidR="00073BE7" w:rsidRPr="005C59D6" w:rsidRDefault="00073BE7" w:rsidP="001C26FC">
            <w:pPr>
              <w:pStyle w:val="NoSpacing"/>
              <w:rPr>
                <w:rFonts w:cstheme="minorHAnsi"/>
              </w:rPr>
            </w:pPr>
            <w:r w:rsidRPr="005C59D6">
              <w:rPr>
                <w:rFonts w:cstheme="minorHAnsi"/>
              </w:rPr>
              <w:t>C [MHz]</w:t>
            </w:r>
          </w:p>
        </w:tc>
        <w:tc>
          <w:tcPr>
            <w:tcW w:w="0" w:type="auto"/>
            <w:hideMark/>
          </w:tcPr>
          <w:p w14:paraId="7AA3237D" w14:textId="77777777" w:rsidR="00073BE7" w:rsidRPr="005C59D6" w:rsidRDefault="00073BE7" w:rsidP="001C26FC">
            <w:pPr>
              <w:pStyle w:val="NoSpacing"/>
              <w:rPr>
                <w:rFonts w:cstheme="minorHAnsi"/>
              </w:rPr>
            </w:pPr>
            <w:r w:rsidRPr="005C59D6">
              <w:rPr>
                <w:rFonts w:cstheme="minorHAnsi"/>
              </w:rPr>
              <w:t>320.6218</w:t>
            </w:r>
          </w:p>
        </w:tc>
        <w:tc>
          <w:tcPr>
            <w:tcW w:w="0" w:type="auto"/>
            <w:hideMark/>
          </w:tcPr>
          <w:p w14:paraId="5F957BC1" w14:textId="77777777" w:rsidR="00073BE7" w:rsidRPr="005C59D6" w:rsidRDefault="00073BE7" w:rsidP="001C26FC">
            <w:pPr>
              <w:pStyle w:val="NoSpacing"/>
              <w:rPr>
                <w:rFonts w:cstheme="minorHAnsi"/>
              </w:rPr>
            </w:pPr>
            <w:r w:rsidRPr="005C59D6">
              <w:rPr>
                <w:rFonts w:cstheme="minorHAnsi"/>
              </w:rPr>
              <w:t>312.716200(9)</w:t>
            </w:r>
          </w:p>
        </w:tc>
        <w:tc>
          <w:tcPr>
            <w:tcW w:w="0" w:type="auto"/>
            <w:hideMark/>
          </w:tcPr>
          <w:p w14:paraId="04B97302" w14:textId="77777777" w:rsidR="00073BE7" w:rsidRPr="005C59D6" w:rsidRDefault="00073BE7" w:rsidP="001C26FC">
            <w:pPr>
              <w:pStyle w:val="NoSpacing"/>
              <w:rPr>
                <w:rFonts w:cstheme="minorHAnsi"/>
              </w:rPr>
            </w:pPr>
            <w:r w:rsidRPr="005C59D6">
              <w:rPr>
                <w:rFonts w:cstheme="minorHAnsi"/>
              </w:rPr>
              <w:t>−2.53</w:t>
            </w:r>
          </w:p>
        </w:tc>
        <w:tc>
          <w:tcPr>
            <w:tcW w:w="0" w:type="auto"/>
            <w:hideMark/>
          </w:tcPr>
          <w:p w14:paraId="597DC9AC" w14:textId="77777777" w:rsidR="00073BE7" w:rsidRPr="005C59D6" w:rsidRDefault="00073BE7" w:rsidP="001C26FC">
            <w:pPr>
              <w:pStyle w:val="NoSpacing"/>
              <w:rPr>
                <w:rFonts w:cstheme="minorHAnsi"/>
              </w:rPr>
            </w:pPr>
            <w:r w:rsidRPr="005C59D6">
              <w:rPr>
                <w:rFonts w:cstheme="minorHAnsi"/>
              </w:rPr>
              <w:t>|c| [Å]</w:t>
            </w:r>
          </w:p>
        </w:tc>
        <w:tc>
          <w:tcPr>
            <w:tcW w:w="0" w:type="auto"/>
            <w:hideMark/>
          </w:tcPr>
          <w:p w14:paraId="49AEC34B" w14:textId="77777777" w:rsidR="00073BE7" w:rsidRPr="005C59D6" w:rsidRDefault="00073BE7" w:rsidP="001C26FC">
            <w:pPr>
              <w:pStyle w:val="NoSpacing"/>
              <w:rPr>
                <w:rFonts w:cstheme="minorHAnsi"/>
              </w:rPr>
            </w:pPr>
            <w:r w:rsidRPr="005C59D6">
              <w:rPr>
                <w:rFonts w:cstheme="minorHAnsi"/>
              </w:rPr>
              <w:t>1.214</w:t>
            </w:r>
          </w:p>
        </w:tc>
        <w:tc>
          <w:tcPr>
            <w:tcW w:w="0" w:type="auto"/>
            <w:hideMark/>
          </w:tcPr>
          <w:p w14:paraId="5086FF18" w14:textId="77777777" w:rsidR="00073BE7" w:rsidRPr="005C59D6" w:rsidRDefault="00073BE7" w:rsidP="001C26FC">
            <w:pPr>
              <w:pStyle w:val="NoSpacing"/>
              <w:rPr>
                <w:rFonts w:cstheme="minorHAnsi"/>
              </w:rPr>
            </w:pPr>
            <w:r w:rsidRPr="005C59D6">
              <w:rPr>
                <w:rFonts w:cstheme="minorHAnsi"/>
              </w:rPr>
              <w:t>1.430</w:t>
            </w:r>
          </w:p>
        </w:tc>
        <w:tc>
          <w:tcPr>
            <w:tcW w:w="0" w:type="auto"/>
            <w:hideMark/>
          </w:tcPr>
          <w:p w14:paraId="65F5164E" w14:textId="77777777" w:rsidR="00073BE7" w:rsidRPr="005C59D6" w:rsidRDefault="00073BE7" w:rsidP="001C26FC">
            <w:pPr>
              <w:pStyle w:val="NoSpacing"/>
              <w:rPr>
                <w:rFonts w:cstheme="minorHAnsi"/>
              </w:rPr>
            </w:pPr>
            <w:r w:rsidRPr="005C59D6">
              <w:rPr>
                <w:rFonts w:cstheme="minorHAnsi"/>
              </w:rPr>
              <w:t>0.529</w:t>
            </w:r>
          </w:p>
        </w:tc>
        <w:tc>
          <w:tcPr>
            <w:tcW w:w="0" w:type="auto"/>
            <w:hideMark/>
          </w:tcPr>
          <w:p w14:paraId="06659F55" w14:textId="77777777" w:rsidR="00073BE7" w:rsidRPr="005C59D6" w:rsidRDefault="00073BE7" w:rsidP="001C26FC">
            <w:pPr>
              <w:pStyle w:val="NoSpacing"/>
              <w:rPr>
                <w:rFonts w:cstheme="minorHAnsi"/>
              </w:rPr>
            </w:pPr>
            <w:r w:rsidRPr="005C59D6">
              <w:rPr>
                <w:rFonts w:cstheme="minorHAnsi"/>
              </w:rPr>
              <w:t>0.316</w:t>
            </w:r>
          </w:p>
        </w:tc>
      </w:tr>
      <w:tr w:rsidR="005C59D6" w:rsidRPr="005C59D6" w14:paraId="6C2231A3" w14:textId="77777777" w:rsidTr="00A11CC1">
        <w:tc>
          <w:tcPr>
            <w:tcW w:w="0" w:type="auto"/>
            <w:hideMark/>
          </w:tcPr>
          <w:p w14:paraId="66A6816B" w14:textId="77777777" w:rsidR="00073BE7" w:rsidRPr="005C59D6" w:rsidRDefault="00073BE7" w:rsidP="001C26FC">
            <w:pPr>
              <w:pStyle w:val="NoSpacing"/>
              <w:rPr>
                <w:rFonts w:cstheme="minorHAnsi"/>
              </w:rPr>
            </w:pPr>
          </w:p>
        </w:tc>
        <w:tc>
          <w:tcPr>
            <w:tcW w:w="1001" w:type="dxa"/>
            <w:hideMark/>
          </w:tcPr>
          <w:p w14:paraId="1CBFDB23" w14:textId="77777777" w:rsidR="00073BE7" w:rsidRPr="005C59D6" w:rsidRDefault="00073BE7" w:rsidP="001C26FC">
            <w:pPr>
              <w:pStyle w:val="NoSpacing"/>
              <w:rPr>
                <w:rFonts w:cstheme="minorHAnsi"/>
              </w:rPr>
            </w:pPr>
            <w:r w:rsidRPr="005C59D6">
              <w:rPr>
                <w:rFonts w:cstheme="minorHAnsi"/>
              </w:rPr>
              <w:t>Isomer 2</w:t>
            </w:r>
          </w:p>
        </w:tc>
        <w:tc>
          <w:tcPr>
            <w:tcW w:w="1739" w:type="dxa"/>
            <w:hideMark/>
          </w:tcPr>
          <w:p w14:paraId="07468B76" w14:textId="77777777" w:rsidR="00073BE7" w:rsidRPr="005C59D6" w:rsidRDefault="00073BE7" w:rsidP="001C26FC">
            <w:pPr>
              <w:pStyle w:val="NoSpacing"/>
              <w:rPr>
                <w:rFonts w:cstheme="minorHAnsi"/>
              </w:rPr>
            </w:pPr>
            <w:r w:rsidRPr="005C59D6">
              <w:rPr>
                <w:rFonts w:cstheme="minorHAnsi"/>
              </w:rPr>
              <w:t>A [MHz]</w:t>
            </w:r>
          </w:p>
        </w:tc>
        <w:tc>
          <w:tcPr>
            <w:tcW w:w="0" w:type="auto"/>
            <w:hideMark/>
          </w:tcPr>
          <w:p w14:paraId="3860D4C1" w14:textId="77777777" w:rsidR="00073BE7" w:rsidRPr="005C59D6" w:rsidRDefault="00073BE7" w:rsidP="001C26FC">
            <w:pPr>
              <w:pStyle w:val="NoSpacing"/>
              <w:rPr>
                <w:rFonts w:cstheme="minorHAnsi"/>
              </w:rPr>
            </w:pPr>
            <w:r w:rsidRPr="005C59D6">
              <w:rPr>
                <w:rFonts w:cstheme="minorHAnsi"/>
              </w:rPr>
              <w:t>788.1058</w:t>
            </w:r>
          </w:p>
        </w:tc>
        <w:tc>
          <w:tcPr>
            <w:tcW w:w="0" w:type="auto"/>
            <w:hideMark/>
          </w:tcPr>
          <w:p w14:paraId="75CED45D" w14:textId="77777777" w:rsidR="00073BE7" w:rsidRPr="005C59D6" w:rsidRDefault="00073BE7" w:rsidP="001C26FC">
            <w:pPr>
              <w:pStyle w:val="NoSpacing"/>
              <w:rPr>
                <w:rFonts w:cstheme="minorHAnsi"/>
              </w:rPr>
            </w:pPr>
            <w:r w:rsidRPr="005C59D6">
              <w:rPr>
                <w:rFonts w:cstheme="minorHAnsi"/>
              </w:rPr>
              <w:t>786.34600(3)</w:t>
            </w:r>
          </w:p>
        </w:tc>
        <w:tc>
          <w:tcPr>
            <w:tcW w:w="0" w:type="auto"/>
            <w:hideMark/>
          </w:tcPr>
          <w:p w14:paraId="1AB5F557" w14:textId="77777777" w:rsidR="00073BE7" w:rsidRPr="005C59D6" w:rsidRDefault="00073BE7" w:rsidP="001C26FC">
            <w:pPr>
              <w:pStyle w:val="NoSpacing"/>
              <w:rPr>
                <w:rFonts w:cstheme="minorHAnsi"/>
              </w:rPr>
            </w:pPr>
            <w:r w:rsidRPr="005C59D6">
              <w:rPr>
                <w:rFonts w:cstheme="minorHAnsi"/>
              </w:rPr>
              <w:t>−0.22</w:t>
            </w:r>
          </w:p>
        </w:tc>
        <w:tc>
          <w:tcPr>
            <w:tcW w:w="0" w:type="auto"/>
            <w:hideMark/>
          </w:tcPr>
          <w:p w14:paraId="5191C054" w14:textId="77777777" w:rsidR="00073BE7" w:rsidRPr="005C59D6" w:rsidRDefault="00073BE7" w:rsidP="001C26FC">
            <w:pPr>
              <w:pStyle w:val="NoSpacing"/>
              <w:rPr>
                <w:rFonts w:cstheme="minorHAnsi"/>
              </w:rPr>
            </w:pPr>
            <w:r w:rsidRPr="005C59D6">
              <w:rPr>
                <w:rFonts w:cstheme="minorHAnsi"/>
              </w:rPr>
              <w:t>|a| [Å]</w:t>
            </w:r>
          </w:p>
        </w:tc>
        <w:tc>
          <w:tcPr>
            <w:tcW w:w="0" w:type="auto"/>
            <w:hideMark/>
          </w:tcPr>
          <w:p w14:paraId="5F8C396B" w14:textId="77777777" w:rsidR="00073BE7" w:rsidRPr="005C59D6" w:rsidRDefault="00073BE7" w:rsidP="001C26FC">
            <w:pPr>
              <w:pStyle w:val="NoSpacing"/>
              <w:rPr>
                <w:rFonts w:cstheme="minorHAnsi"/>
              </w:rPr>
            </w:pPr>
            <w:r w:rsidRPr="005C59D6">
              <w:rPr>
                <w:rFonts w:cstheme="minorHAnsi"/>
              </w:rPr>
              <w:t>1.144</w:t>
            </w:r>
          </w:p>
        </w:tc>
        <w:tc>
          <w:tcPr>
            <w:tcW w:w="0" w:type="auto"/>
            <w:hideMark/>
          </w:tcPr>
          <w:p w14:paraId="2183B516" w14:textId="77777777" w:rsidR="00073BE7" w:rsidRPr="005C59D6" w:rsidRDefault="00073BE7" w:rsidP="001C26FC">
            <w:pPr>
              <w:pStyle w:val="NoSpacing"/>
              <w:rPr>
                <w:rFonts w:cstheme="minorHAnsi"/>
              </w:rPr>
            </w:pPr>
            <w:r w:rsidRPr="005C59D6">
              <w:rPr>
                <w:rFonts w:cstheme="minorHAnsi"/>
              </w:rPr>
              <w:t>1.254</w:t>
            </w:r>
          </w:p>
        </w:tc>
        <w:tc>
          <w:tcPr>
            <w:tcW w:w="0" w:type="auto"/>
            <w:hideMark/>
          </w:tcPr>
          <w:p w14:paraId="54C6C018" w14:textId="77777777" w:rsidR="00073BE7" w:rsidRPr="005C59D6" w:rsidRDefault="00073BE7" w:rsidP="001C26FC">
            <w:pPr>
              <w:pStyle w:val="NoSpacing"/>
              <w:rPr>
                <w:rFonts w:cstheme="minorHAnsi"/>
              </w:rPr>
            </w:pPr>
            <w:r w:rsidRPr="005C59D6">
              <w:rPr>
                <w:rFonts w:cstheme="minorHAnsi"/>
              </w:rPr>
              <w:t>0.736</w:t>
            </w:r>
          </w:p>
        </w:tc>
        <w:tc>
          <w:tcPr>
            <w:tcW w:w="0" w:type="auto"/>
            <w:hideMark/>
          </w:tcPr>
          <w:p w14:paraId="67C42DE9" w14:textId="77777777" w:rsidR="00073BE7" w:rsidRPr="005C59D6" w:rsidRDefault="00073BE7" w:rsidP="001C26FC">
            <w:pPr>
              <w:pStyle w:val="NoSpacing"/>
              <w:rPr>
                <w:rFonts w:cstheme="minorHAnsi"/>
              </w:rPr>
            </w:pPr>
            <w:r w:rsidRPr="005C59D6">
              <w:rPr>
                <w:rFonts w:cstheme="minorHAnsi"/>
              </w:rPr>
              <w:t>0.495</w:t>
            </w:r>
          </w:p>
        </w:tc>
      </w:tr>
      <w:tr w:rsidR="005C59D6" w:rsidRPr="005C59D6" w14:paraId="7891558E" w14:textId="77777777" w:rsidTr="00A11CC1">
        <w:tc>
          <w:tcPr>
            <w:tcW w:w="0" w:type="auto"/>
            <w:hideMark/>
          </w:tcPr>
          <w:p w14:paraId="76D72CED" w14:textId="77777777" w:rsidR="00073BE7" w:rsidRPr="005C59D6" w:rsidRDefault="00073BE7" w:rsidP="001C26FC">
            <w:pPr>
              <w:pStyle w:val="NoSpacing"/>
              <w:rPr>
                <w:rFonts w:cstheme="minorHAnsi"/>
              </w:rPr>
            </w:pPr>
          </w:p>
        </w:tc>
        <w:tc>
          <w:tcPr>
            <w:tcW w:w="1001" w:type="dxa"/>
            <w:hideMark/>
          </w:tcPr>
          <w:p w14:paraId="37E383E6" w14:textId="77777777" w:rsidR="00073BE7" w:rsidRPr="005C59D6" w:rsidRDefault="00073BE7" w:rsidP="001C26FC">
            <w:pPr>
              <w:pStyle w:val="NoSpacing"/>
              <w:rPr>
                <w:rFonts w:cstheme="minorHAnsi"/>
              </w:rPr>
            </w:pPr>
          </w:p>
        </w:tc>
        <w:tc>
          <w:tcPr>
            <w:tcW w:w="1739" w:type="dxa"/>
            <w:hideMark/>
          </w:tcPr>
          <w:p w14:paraId="2E47D583" w14:textId="77777777" w:rsidR="00073BE7" w:rsidRPr="005C59D6" w:rsidRDefault="00073BE7" w:rsidP="001C26FC">
            <w:pPr>
              <w:pStyle w:val="NoSpacing"/>
              <w:rPr>
                <w:rFonts w:cstheme="minorHAnsi"/>
              </w:rPr>
            </w:pPr>
            <w:r w:rsidRPr="005C59D6">
              <w:rPr>
                <w:rFonts w:cstheme="minorHAnsi"/>
              </w:rPr>
              <w:t>B [MHz]</w:t>
            </w:r>
          </w:p>
        </w:tc>
        <w:tc>
          <w:tcPr>
            <w:tcW w:w="0" w:type="auto"/>
            <w:hideMark/>
          </w:tcPr>
          <w:p w14:paraId="14D6DCF5" w14:textId="77777777" w:rsidR="00073BE7" w:rsidRPr="005C59D6" w:rsidRDefault="00073BE7" w:rsidP="001C26FC">
            <w:pPr>
              <w:pStyle w:val="NoSpacing"/>
              <w:rPr>
                <w:rFonts w:cstheme="minorHAnsi"/>
              </w:rPr>
            </w:pPr>
            <w:r w:rsidRPr="005C59D6">
              <w:rPr>
                <w:rFonts w:cstheme="minorHAnsi"/>
              </w:rPr>
              <w:t>388.0129</w:t>
            </w:r>
          </w:p>
        </w:tc>
        <w:tc>
          <w:tcPr>
            <w:tcW w:w="0" w:type="auto"/>
            <w:hideMark/>
          </w:tcPr>
          <w:p w14:paraId="11E758BB" w14:textId="77777777" w:rsidR="00073BE7" w:rsidRPr="005C59D6" w:rsidRDefault="00073BE7" w:rsidP="001C26FC">
            <w:pPr>
              <w:pStyle w:val="NoSpacing"/>
              <w:rPr>
                <w:rFonts w:cstheme="minorHAnsi"/>
              </w:rPr>
            </w:pPr>
            <w:r w:rsidRPr="005C59D6">
              <w:rPr>
                <w:rFonts w:cstheme="minorHAnsi"/>
              </w:rPr>
              <w:t>384.433110(9)</w:t>
            </w:r>
          </w:p>
        </w:tc>
        <w:tc>
          <w:tcPr>
            <w:tcW w:w="0" w:type="auto"/>
            <w:hideMark/>
          </w:tcPr>
          <w:p w14:paraId="7343BA79" w14:textId="77777777" w:rsidR="00073BE7" w:rsidRPr="005C59D6" w:rsidRDefault="00073BE7" w:rsidP="001C26FC">
            <w:pPr>
              <w:pStyle w:val="NoSpacing"/>
              <w:rPr>
                <w:rFonts w:cstheme="minorHAnsi"/>
              </w:rPr>
            </w:pPr>
            <w:r w:rsidRPr="005C59D6">
              <w:rPr>
                <w:rFonts w:cstheme="minorHAnsi"/>
              </w:rPr>
              <w:t>−0.93</w:t>
            </w:r>
          </w:p>
        </w:tc>
        <w:tc>
          <w:tcPr>
            <w:tcW w:w="0" w:type="auto"/>
            <w:hideMark/>
          </w:tcPr>
          <w:p w14:paraId="0855AB2C" w14:textId="77777777" w:rsidR="00073BE7" w:rsidRPr="005C59D6" w:rsidRDefault="00073BE7" w:rsidP="001C26FC">
            <w:pPr>
              <w:pStyle w:val="NoSpacing"/>
              <w:rPr>
                <w:rFonts w:cstheme="minorHAnsi"/>
              </w:rPr>
            </w:pPr>
            <w:r w:rsidRPr="005C59D6">
              <w:rPr>
                <w:rFonts w:cstheme="minorHAnsi"/>
              </w:rPr>
              <w:t>|b| [Å]</w:t>
            </w:r>
          </w:p>
        </w:tc>
        <w:tc>
          <w:tcPr>
            <w:tcW w:w="0" w:type="auto"/>
            <w:hideMark/>
          </w:tcPr>
          <w:p w14:paraId="59946A29" w14:textId="77777777" w:rsidR="00073BE7" w:rsidRPr="005C59D6" w:rsidRDefault="00073BE7" w:rsidP="001C26FC">
            <w:pPr>
              <w:pStyle w:val="NoSpacing"/>
              <w:rPr>
                <w:rFonts w:cstheme="minorHAnsi"/>
              </w:rPr>
            </w:pPr>
            <w:r w:rsidRPr="005C59D6">
              <w:rPr>
                <w:rFonts w:cstheme="minorHAnsi"/>
              </w:rPr>
              <w:t>2.072</w:t>
            </w:r>
          </w:p>
        </w:tc>
        <w:tc>
          <w:tcPr>
            <w:tcW w:w="0" w:type="auto"/>
            <w:hideMark/>
          </w:tcPr>
          <w:p w14:paraId="2DB9830F" w14:textId="77777777" w:rsidR="00073BE7" w:rsidRPr="005C59D6" w:rsidRDefault="00073BE7" w:rsidP="001C26FC">
            <w:pPr>
              <w:pStyle w:val="NoSpacing"/>
              <w:rPr>
                <w:rFonts w:cstheme="minorHAnsi"/>
              </w:rPr>
            </w:pPr>
            <w:r w:rsidRPr="005C59D6">
              <w:rPr>
                <w:rFonts w:cstheme="minorHAnsi"/>
              </w:rPr>
              <w:t>2.030</w:t>
            </w:r>
          </w:p>
        </w:tc>
        <w:tc>
          <w:tcPr>
            <w:tcW w:w="0" w:type="auto"/>
            <w:hideMark/>
          </w:tcPr>
          <w:p w14:paraId="40E599F6" w14:textId="77777777" w:rsidR="00073BE7" w:rsidRPr="005C59D6" w:rsidRDefault="00073BE7" w:rsidP="001C26FC">
            <w:pPr>
              <w:pStyle w:val="NoSpacing"/>
              <w:rPr>
                <w:rFonts w:cstheme="minorHAnsi"/>
              </w:rPr>
            </w:pPr>
            <w:r w:rsidRPr="005C59D6">
              <w:rPr>
                <w:rFonts w:cstheme="minorHAnsi"/>
              </w:rPr>
              <w:t>2.336</w:t>
            </w:r>
          </w:p>
        </w:tc>
        <w:tc>
          <w:tcPr>
            <w:tcW w:w="0" w:type="auto"/>
            <w:hideMark/>
          </w:tcPr>
          <w:p w14:paraId="43503F18" w14:textId="77777777" w:rsidR="00073BE7" w:rsidRPr="005C59D6" w:rsidRDefault="00073BE7" w:rsidP="001C26FC">
            <w:pPr>
              <w:pStyle w:val="NoSpacing"/>
              <w:rPr>
                <w:rFonts w:cstheme="minorHAnsi"/>
              </w:rPr>
            </w:pPr>
            <w:r w:rsidRPr="005C59D6">
              <w:rPr>
                <w:rFonts w:cstheme="minorHAnsi"/>
              </w:rPr>
              <w:t>2.443</w:t>
            </w:r>
          </w:p>
        </w:tc>
      </w:tr>
      <w:tr w:rsidR="005C59D6" w:rsidRPr="005C59D6" w14:paraId="04A41FB2" w14:textId="77777777" w:rsidTr="00A11CC1">
        <w:tc>
          <w:tcPr>
            <w:tcW w:w="0" w:type="auto"/>
            <w:hideMark/>
          </w:tcPr>
          <w:p w14:paraId="7A8C209E" w14:textId="77777777" w:rsidR="00073BE7" w:rsidRPr="005C59D6" w:rsidRDefault="00073BE7" w:rsidP="001C26FC">
            <w:pPr>
              <w:pStyle w:val="NoSpacing"/>
              <w:rPr>
                <w:rFonts w:cstheme="minorHAnsi"/>
              </w:rPr>
            </w:pPr>
          </w:p>
        </w:tc>
        <w:tc>
          <w:tcPr>
            <w:tcW w:w="1001" w:type="dxa"/>
            <w:hideMark/>
          </w:tcPr>
          <w:p w14:paraId="6CCC4D4C" w14:textId="77777777" w:rsidR="00073BE7" w:rsidRPr="005C59D6" w:rsidRDefault="00073BE7" w:rsidP="001C26FC">
            <w:pPr>
              <w:pStyle w:val="NoSpacing"/>
              <w:rPr>
                <w:rFonts w:cstheme="minorHAnsi"/>
              </w:rPr>
            </w:pPr>
          </w:p>
        </w:tc>
        <w:tc>
          <w:tcPr>
            <w:tcW w:w="1739" w:type="dxa"/>
            <w:hideMark/>
          </w:tcPr>
          <w:p w14:paraId="74BE5F35" w14:textId="77777777" w:rsidR="00073BE7" w:rsidRPr="005C59D6" w:rsidRDefault="00073BE7" w:rsidP="001C26FC">
            <w:pPr>
              <w:pStyle w:val="NoSpacing"/>
              <w:rPr>
                <w:rFonts w:cstheme="minorHAnsi"/>
              </w:rPr>
            </w:pPr>
            <w:r w:rsidRPr="005C59D6">
              <w:rPr>
                <w:rFonts w:cstheme="minorHAnsi"/>
              </w:rPr>
              <w:t>C [MHz]</w:t>
            </w:r>
          </w:p>
        </w:tc>
        <w:tc>
          <w:tcPr>
            <w:tcW w:w="0" w:type="auto"/>
            <w:hideMark/>
          </w:tcPr>
          <w:p w14:paraId="4657652C" w14:textId="77777777" w:rsidR="00073BE7" w:rsidRPr="005C59D6" w:rsidRDefault="00073BE7" w:rsidP="001C26FC">
            <w:pPr>
              <w:pStyle w:val="NoSpacing"/>
              <w:rPr>
                <w:rFonts w:cstheme="minorHAnsi"/>
              </w:rPr>
            </w:pPr>
            <w:r w:rsidRPr="005C59D6">
              <w:rPr>
                <w:rFonts w:cstheme="minorHAnsi"/>
              </w:rPr>
              <w:t>324.3261</w:t>
            </w:r>
          </w:p>
        </w:tc>
        <w:tc>
          <w:tcPr>
            <w:tcW w:w="0" w:type="auto"/>
            <w:hideMark/>
          </w:tcPr>
          <w:p w14:paraId="21D118A3" w14:textId="77777777" w:rsidR="00073BE7" w:rsidRPr="005C59D6" w:rsidRDefault="00073BE7" w:rsidP="001C26FC">
            <w:pPr>
              <w:pStyle w:val="NoSpacing"/>
              <w:rPr>
                <w:rFonts w:cstheme="minorHAnsi"/>
              </w:rPr>
            </w:pPr>
            <w:r w:rsidRPr="005C59D6">
              <w:rPr>
                <w:rFonts w:cstheme="minorHAnsi"/>
              </w:rPr>
              <w:t>321.904190(9)</w:t>
            </w:r>
          </w:p>
        </w:tc>
        <w:tc>
          <w:tcPr>
            <w:tcW w:w="0" w:type="auto"/>
            <w:hideMark/>
          </w:tcPr>
          <w:p w14:paraId="6DAADBE9" w14:textId="77777777" w:rsidR="00073BE7" w:rsidRPr="005C59D6" w:rsidRDefault="00073BE7" w:rsidP="001C26FC">
            <w:pPr>
              <w:pStyle w:val="NoSpacing"/>
              <w:rPr>
                <w:rFonts w:cstheme="minorHAnsi"/>
              </w:rPr>
            </w:pPr>
            <w:r w:rsidRPr="005C59D6">
              <w:rPr>
                <w:rFonts w:cstheme="minorHAnsi"/>
              </w:rPr>
              <w:t>−0.75</w:t>
            </w:r>
          </w:p>
        </w:tc>
        <w:tc>
          <w:tcPr>
            <w:tcW w:w="0" w:type="auto"/>
            <w:hideMark/>
          </w:tcPr>
          <w:p w14:paraId="4EC36A69" w14:textId="77777777" w:rsidR="00073BE7" w:rsidRPr="005C59D6" w:rsidRDefault="00073BE7" w:rsidP="001C26FC">
            <w:pPr>
              <w:pStyle w:val="NoSpacing"/>
              <w:rPr>
                <w:rFonts w:cstheme="minorHAnsi"/>
              </w:rPr>
            </w:pPr>
            <w:r w:rsidRPr="005C59D6">
              <w:rPr>
                <w:rFonts w:cstheme="minorHAnsi"/>
              </w:rPr>
              <w:t>|c| [Å]</w:t>
            </w:r>
          </w:p>
        </w:tc>
        <w:tc>
          <w:tcPr>
            <w:tcW w:w="0" w:type="auto"/>
            <w:hideMark/>
          </w:tcPr>
          <w:p w14:paraId="39D62638" w14:textId="77777777" w:rsidR="00073BE7" w:rsidRPr="005C59D6" w:rsidRDefault="00073BE7" w:rsidP="001C26FC">
            <w:pPr>
              <w:pStyle w:val="NoSpacing"/>
              <w:rPr>
                <w:rFonts w:cstheme="minorHAnsi"/>
              </w:rPr>
            </w:pPr>
            <w:r w:rsidRPr="005C59D6">
              <w:rPr>
                <w:rFonts w:cstheme="minorHAnsi"/>
              </w:rPr>
              <w:t>1.482</w:t>
            </w:r>
          </w:p>
        </w:tc>
        <w:tc>
          <w:tcPr>
            <w:tcW w:w="0" w:type="auto"/>
            <w:hideMark/>
          </w:tcPr>
          <w:p w14:paraId="678517A5" w14:textId="77777777" w:rsidR="00073BE7" w:rsidRPr="005C59D6" w:rsidRDefault="00073BE7" w:rsidP="001C26FC">
            <w:pPr>
              <w:pStyle w:val="NoSpacing"/>
              <w:rPr>
                <w:rFonts w:cstheme="minorHAnsi"/>
              </w:rPr>
            </w:pPr>
            <w:r w:rsidRPr="005C59D6">
              <w:rPr>
                <w:rFonts w:cstheme="minorHAnsi"/>
              </w:rPr>
              <w:t>1.524</w:t>
            </w:r>
          </w:p>
        </w:tc>
        <w:tc>
          <w:tcPr>
            <w:tcW w:w="0" w:type="auto"/>
            <w:hideMark/>
          </w:tcPr>
          <w:p w14:paraId="77E904F5" w14:textId="77777777" w:rsidR="00073BE7" w:rsidRPr="005C59D6" w:rsidRDefault="00073BE7" w:rsidP="001C26FC">
            <w:pPr>
              <w:pStyle w:val="NoSpacing"/>
              <w:rPr>
                <w:rFonts w:cstheme="minorHAnsi"/>
              </w:rPr>
            </w:pPr>
            <w:r w:rsidRPr="005C59D6">
              <w:rPr>
                <w:rFonts w:cstheme="minorHAnsi"/>
              </w:rPr>
              <w:t>0.203</w:t>
            </w:r>
          </w:p>
        </w:tc>
        <w:tc>
          <w:tcPr>
            <w:tcW w:w="0" w:type="auto"/>
            <w:hideMark/>
          </w:tcPr>
          <w:p w14:paraId="41701A0C" w14:textId="77777777" w:rsidR="00073BE7" w:rsidRPr="005C59D6" w:rsidRDefault="00073BE7" w:rsidP="001C26FC">
            <w:pPr>
              <w:pStyle w:val="NoSpacing"/>
              <w:rPr>
                <w:rFonts w:cstheme="minorHAnsi"/>
              </w:rPr>
            </w:pPr>
            <w:r w:rsidRPr="005C59D6">
              <w:rPr>
                <w:rFonts w:cstheme="minorHAnsi"/>
              </w:rPr>
              <w:t>[0]</w:t>
            </w:r>
            <w:r w:rsidRPr="005C59D6">
              <w:rPr>
                <w:rFonts w:cstheme="minorHAnsi"/>
                <w:vertAlign w:val="superscript"/>
              </w:rPr>
              <w:t>[c]</w:t>
            </w:r>
          </w:p>
        </w:tc>
      </w:tr>
      <w:tr w:rsidR="005C59D6" w:rsidRPr="005C59D6" w14:paraId="01367323" w14:textId="77777777" w:rsidTr="00A11CC1">
        <w:tc>
          <w:tcPr>
            <w:tcW w:w="0" w:type="auto"/>
            <w:hideMark/>
          </w:tcPr>
          <w:p w14:paraId="2760A145" w14:textId="77777777" w:rsidR="00073BE7" w:rsidRPr="005C59D6" w:rsidRDefault="00073BE7" w:rsidP="001C26FC">
            <w:pPr>
              <w:pStyle w:val="NoSpacing"/>
              <w:rPr>
                <w:rFonts w:cstheme="minorHAnsi"/>
              </w:rPr>
            </w:pPr>
            <w:r w:rsidRPr="005C59D6">
              <w:rPr>
                <w:rFonts w:cstheme="minorHAnsi"/>
              </w:rPr>
              <w:t>2-Ethylnaphthalene</w:t>
            </w:r>
          </w:p>
        </w:tc>
        <w:tc>
          <w:tcPr>
            <w:tcW w:w="1001" w:type="dxa"/>
            <w:hideMark/>
          </w:tcPr>
          <w:p w14:paraId="411790FC" w14:textId="77777777" w:rsidR="00073BE7" w:rsidRPr="005C59D6" w:rsidRDefault="00073BE7" w:rsidP="001C26FC">
            <w:pPr>
              <w:pStyle w:val="NoSpacing"/>
              <w:rPr>
                <w:rFonts w:cstheme="minorHAnsi"/>
              </w:rPr>
            </w:pPr>
            <w:r w:rsidRPr="005C59D6">
              <w:rPr>
                <w:rFonts w:cstheme="minorHAnsi"/>
              </w:rPr>
              <w:t>Isomer 1</w:t>
            </w:r>
          </w:p>
        </w:tc>
        <w:tc>
          <w:tcPr>
            <w:tcW w:w="1739" w:type="dxa"/>
            <w:hideMark/>
          </w:tcPr>
          <w:p w14:paraId="4021E0E0" w14:textId="77777777" w:rsidR="00073BE7" w:rsidRPr="005C59D6" w:rsidRDefault="00073BE7" w:rsidP="001C26FC">
            <w:pPr>
              <w:pStyle w:val="NoSpacing"/>
              <w:rPr>
                <w:rFonts w:cstheme="minorHAnsi"/>
              </w:rPr>
            </w:pPr>
            <w:r w:rsidRPr="005C59D6">
              <w:rPr>
                <w:rFonts w:cstheme="minorHAnsi"/>
              </w:rPr>
              <w:t>A [MHz]</w:t>
            </w:r>
          </w:p>
        </w:tc>
        <w:tc>
          <w:tcPr>
            <w:tcW w:w="0" w:type="auto"/>
            <w:hideMark/>
          </w:tcPr>
          <w:p w14:paraId="6EBCB63B" w14:textId="77777777" w:rsidR="00073BE7" w:rsidRPr="005C59D6" w:rsidRDefault="00073BE7" w:rsidP="001C26FC">
            <w:pPr>
              <w:pStyle w:val="NoSpacing"/>
              <w:rPr>
                <w:rFonts w:cstheme="minorHAnsi"/>
              </w:rPr>
            </w:pPr>
            <w:r w:rsidRPr="005C59D6">
              <w:rPr>
                <w:rFonts w:cstheme="minorHAnsi"/>
              </w:rPr>
              <w:t>418.0842</w:t>
            </w:r>
          </w:p>
        </w:tc>
        <w:tc>
          <w:tcPr>
            <w:tcW w:w="0" w:type="auto"/>
            <w:hideMark/>
          </w:tcPr>
          <w:p w14:paraId="58A7F2DD" w14:textId="77777777" w:rsidR="00073BE7" w:rsidRPr="005C59D6" w:rsidRDefault="00073BE7" w:rsidP="001C26FC">
            <w:pPr>
              <w:pStyle w:val="NoSpacing"/>
              <w:rPr>
                <w:rFonts w:cstheme="minorHAnsi"/>
              </w:rPr>
            </w:pPr>
            <w:r w:rsidRPr="005C59D6">
              <w:rPr>
                <w:rFonts w:cstheme="minorHAnsi"/>
              </w:rPr>
              <w:t>414.112380(64)</w:t>
            </w:r>
          </w:p>
        </w:tc>
        <w:tc>
          <w:tcPr>
            <w:tcW w:w="0" w:type="auto"/>
            <w:hideMark/>
          </w:tcPr>
          <w:p w14:paraId="3E1CE4D2" w14:textId="77777777" w:rsidR="00073BE7" w:rsidRPr="005C59D6" w:rsidRDefault="00073BE7" w:rsidP="001C26FC">
            <w:pPr>
              <w:pStyle w:val="NoSpacing"/>
              <w:rPr>
                <w:rFonts w:cstheme="minorHAnsi"/>
              </w:rPr>
            </w:pPr>
            <w:r w:rsidRPr="005C59D6">
              <w:rPr>
                <w:rFonts w:cstheme="minorHAnsi"/>
              </w:rPr>
              <w:t>−0.96</w:t>
            </w:r>
          </w:p>
        </w:tc>
        <w:tc>
          <w:tcPr>
            <w:tcW w:w="0" w:type="auto"/>
            <w:hideMark/>
          </w:tcPr>
          <w:p w14:paraId="758332A3" w14:textId="77777777" w:rsidR="00073BE7" w:rsidRPr="005C59D6" w:rsidRDefault="00073BE7" w:rsidP="001C26FC">
            <w:pPr>
              <w:pStyle w:val="NoSpacing"/>
              <w:rPr>
                <w:rFonts w:cstheme="minorHAnsi"/>
              </w:rPr>
            </w:pPr>
            <w:r w:rsidRPr="005C59D6">
              <w:rPr>
                <w:rFonts w:cstheme="minorHAnsi"/>
              </w:rPr>
              <w:t>|a| [Å]</w:t>
            </w:r>
          </w:p>
        </w:tc>
        <w:tc>
          <w:tcPr>
            <w:tcW w:w="0" w:type="auto"/>
            <w:hideMark/>
          </w:tcPr>
          <w:p w14:paraId="453A9C10" w14:textId="77777777" w:rsidR="00073BE7" w:rsidRPr="005C59D6" w:rsidRDefault="00073BE7" w:rsidP="001C26FC">
            <w:pPr>
              <w:pStyle w:val="NoSpacing"/>
              <w:rPr>
                <w:rFonts w:cstheme="minorHAnsi"/>
              </w:rPr>
            </w:pPr>
            <w:r w:rsidRPr="005C59D6">
              <w:rPr>
                <w:rFonts w:cstheme="minorHAnsi"/>
              </w:rPr>
              <w:t>0.056</w:t>
            </w:r>
          </w:p>
        </w:tc>
        <w:tc>
          <w:tcPr>
            <w:tcW w:w="0" w:type="auto"/>
            <w:hideMark/>
          </w:tcPr>
          <w:p w14:paraId="7481ED99" w14:textId="77777777" w:rsidR="00073BE7" w:rsidRPr="005C59D6" w:rsidRDefault="00073BE7" w:rsidP="001C26FC">
            <w:pPr>
              <w:pStyle w:val="NoSpacing"/>
              <w:rPr>
                <w:rFonts w:cstheme="minorHAnsi"/>
              </w:rPr>
            </w:pPr>
            <w:r w:rsidRPr="005C59D6">
              <w:rPr>
                <w:rFonts w:cstheme="minorHAnsi"/>
              </w:rPr>
              <w:t>[0]</w:t>
            </w:r>
            <w:r w:rsidRPr="005C59D6">
              <w:rPr>
                <w:rFonts w:cstheme="minorHAnsi"/>
                <w:vertAlign w:val="superscript"/>
              </w:rPr>
              <w:t>[c]</w:t>
            </w:r>
          </w:p>
        </w:tc>
        <w:tc>
          <w:tcPr>
            <w:tcW w:w="0" w:type="auto"/>
            <w:hideMark/>
          </w:tcPr>
          <w:p w14:paraId="3784F3FA" w14:textId="77777777" w:rsidR="00073BE7" w:rsidRPr="005C59D6" w:rsidRDefault="00073BE7" w:rsidP="001C26FC">
            <w:pPr>
              <w:pStyle w:val="NoSpacing"/>
              <w:rPr>
                <w:rFonts w:cstheme="minorHAnsi"/>
              </w:rPr>
            </w:pPr>
            <w:r w:rsidRPr="005C59D6">
              <w:rPr>
                <w:rFonts w:cstheme="minorHAnsi"/>
              </w:rPr>
              <w:t>0.818</w:t>
            </w:r>
          </w:p>
        </w:tc>
        <w:tc>
          <w:tcPr>
            <w:tcW w:w="0" w:type="auto"/>
            <w:hideMark/>
          </w:tcPr>
          <w:p w14:paraId="02909F28" w14:textId="77777777" w:rsidR="00073BE7" w:rsidRPr="005C59D6" w:rsidRDefault="00073BE7" w:rsidP="001C26FC">
            <w:pPr>
              <w:pStyle w:val="NoSpacing"/>
              <w:rPr>
                <w:rFonts w:cstheme="minorHAnsi"/>
              </w:rPr>
            </w:pPr>
            <w:r w:rsidRPr="005C59D6">
              <w:rPr>
                <w:rFonts w:cstheme="minorHAnsi"/>
              </w:rPr>
              <w:t>1.079</w:t>
            </w:r>
          </w:p>
        </w:tc>
      </w:tr>
      <w:tr w:rsidR="005C59D6" w:rsidRPr="005C59D6" w14:paraId="70C4B062" w14:textId="77777777" w:rsidTr="00A11CC1">
        <w:tc>
          <w:tcPr>
            <w:tcW w:w="0" w:type="auto"/>
            <w:hideMark/>
          </w:tcPr>
          <w:p w14:paraId="20EBC2A3" w14:textId="77777777" w:rsidR="00073BE7" w:rsidRPr="005C59D6" w:rsidRDefault="00073BE7" w:rsidP="001C26FC">
            <w:pPr>
              <w:pStyle w:val="NoSpacing"/>
              <w:rPr>
                <w:rFonts w:cstheme="minorHAnsi"/>
              </w:rPr>
            </w:pPr>
          </w:p>
        </w:tc>
        <w:tc>
          <w:tcPr>
            <w:tcW w:w="1001" w:type="dxa"/>
            <w:hideMark/>
          </w:tcPr>
          <w:p w14:paraId="0F96A52E" w14:textId="77777777" w:rsidR="00073BE7" w:rsidRPr="005C59D6" w:rsidRDefault="00073BE7" w:rsidP="001C26FC">
            <w:pPr>
              <w:pStyle w:val="NoSpacing"/>
              <w:rPr>
                <w:rFonts w:cstheme="minorHAnsi"/>
              </w:rPr>
            </w:pPr>
          </w:p>
        </w:tc>
        <w:tc>
          <w:tcPr>
            <w:tcW w:w="1739" w:type="dxa"/>
            <w:hideMark/>
          </w:tcPr>
          <w:p w14:paraId="214B7E5D" w14:textId="77777777" w:rsidR="00073BE7" w:rsidRPr="005C59D6" w:rsidRDefault="00073BE7" w:rsidP="001C26FC">
            <w:pPr>
              <w:pStyle w:val="NoSpacing"/>
              <w:rPr>
                <w:rFonts w:cstheme="minorHAnsi"/>
              </w:rPr>
            </w:pPr>
            <w:r w:rsidRPr="005C59D6">
              <w:rPr>
                <w:rFonts w:cstheme="minorHAnsi"/>
              </w:rPr>
              <w:t>B [MHz]</w:t>
            </w:r>
          </w:p>
        </w:tc>
        <w:tc>
          <w:tcPr>
            <w:tcW w:w="0" w:type="auto"/>
            <w:hideMark/>
          </w:tcPr>
          <w:p w14:paraId="683B6ACB" w14:textId="77777777" w:rsidR="00073BE7" w:rsidRPr="005C59D6" w:rsidRDefault="00073BE7" w:rsidP="001C26FC">
            <w:pPr>
              <w:pStyle w:val="NoSpacing"/>
              <w:rPr>
                <w:rFonts w:cstheme="minorHAnsi"/>
              </w:rPr>
            </w:pPr>
            <w:r w:rsidRPr="005C59D6">
              <w:rPr>
                <w:rFonts w:cstheme="minorHAnsi"/>
              </w:rPr>
              <w:t>352.6475</w:t>
            </w:r>
          </w:p>
        </w:tc>
        <w:tc>
          <w:tcPr>
            <w:tcW w:w="0" w:type="auto"/>
            <w:hideMark/>
          </w:tcPr>
          <w:p w14:paraId="4A7CEE5C" w14:textId="77777777" w:rsidR="00073BE7" w:rsidRPr="005C59D6" w:rsidRDefault="00073BE7" w:rsidP="001C26FC">
            <w:pPr>
              <w:pStyle w:val="NoSpacing"/>
              <w:rPr>
                <w:rFonts w:cstheme="minorHAnsi"/>
              </w:rPr>
            </w:pPr>
            <w:r w:rsidRPr="005C59D6">
              <w:rPr>
                <w:rFonts w:cstheme="minorHAnsi"/>
              </w:rPr>
              <w:t>351.472620(47)</w:t>
            </w:r>
          </w:p>
        </w:tc>
        <w:tc>
          <w:tcPr>
            <w:tcW w:w="0" w:type="auto"/>
            <w:hideMark/>
          </w:tcPr>
          <w:p w14:paraId="35D12447" w14:textId="77777777" w:rsidR="00073BE7" w:rsidRPr="005C59D6" w:rsidRDefault="00073BE7" w:rsidP="001C26FC">
            <w:pPr>
              <w:pStyle w:val="NoSpacing"/>
              <w:rPr>
                <w:rFonts w:cstheme="minorHAnsi"/>
              </w:rPr>
            </w:pPr>
            <w:r w:rsidRPr="005C59D6">
              <w:rPr>
                <w:rFonts w:cstheme="minorHAnsi"/>
              </w:rPr>
              <w:t>−0.33</w:t>
            </w:r>
          </w:p>
        </w:tc>
        <w:tc>
          <w:tcPr>
            <w:tcW w:w="0" w:type="auto"/>
            <w:hideMark/>
          </w:tcPr>
          <w:p w14:paraId="33697E00" w14:textId="77777777" w:rsidR="00073BE7" w:rsidRPr="005C59D6" w:rsidRDefault="00073BE7" w:rsidP="001C26FC">
            <w:pPr>
              <w:pStyle w:val="NoSpacing"/>
              <w:rPr>
                <w:rFonts w:cstheme="minorHAnsi"/>
              </w:rPr>
            </w:pPr>
            <w:r w:rsidRPr="005C59D6">
              <w:rPr>
                <w:rFonts w:cstheme="minorHAnsi"/>
              </w:rPr>
              <w:t>|b| [Å]</w:t>
            </w:r>
          </w:p>
        </w:tc>
        <w:tc>
          <w:tcPr>
            <w:tcW w:w="0" w:type="auto"/>
            <w:hideMark/>
          </w:tcPr>
          <w:p w14:paraId="7113A767" w14:textId="77777777" w:rsidR="00073BE7" w:rsidRPr="005C59D6" w:rsidRDefault="00073BE7" w:rsidP="001C26FC">
            <w:pPr>
              <w:pStyle w:val="NoSpacing"/>
              <w:rPr>
                <w:rFonts w:cstheme="minorHAnsi"/>
              </w:rPr>
            </w:pPr>
            <w:r w:rsidRPr="005C59D6">
              <w:rPr>
                <w:rFonts w:cstheme="minorHAnsi"/>
              </w:rPr>
              <w:t>3.590</w:t>
            </w:r>
          </w:p>
        </w:tc>
        <w:tc>
          <w:tcPr>
            <w:tcW w:w="0" w:type="auto"/>
            <w:hideMark/>
          </w:tcPr>
          <w:p w14:paraId="1A0A1FB8" w14:textId="77777777" w:rsidR="00073BE7" w:rsidRPr="005C59D6" w:rsidRDefault="00073BE7" w:rsidP="001C26FC">
            <w:pPr>
              <w:pStyle w:val="NoSpacing"/>
              <w:rPr>
                <w:rFonts w:cstheme="minorHAnsi"/>
              </w:rPr>
            </w:pPr>
            <w:r w:rsidRPr="005C59D6">
              <w:rPr>
                <w:rFonts w:cstheme="minorHAnsi"/>
              </w:rPr>
              <w:t>3.624</w:t>
            </w:r>
          </w:p>
        </w:tc>
        <w:tc>
          <w:tcPr>
            <w:tcW w:w="0" w:type="auto"/>
            <w:hideMark/>
          </w:tcPr>
          <w:p w14:paraId="116F8EB8" w14:textId="77777777" w:rsidR="00073BE7" w:rsidRPr="005C59D6" w:rsidRDefault="00073BE7" w:rsidP="001C26FC">
            <w:pPr>
              <w:pStyle w:val="NoSpacing"/>
              <w:rPr>
                <w:rFonts w:cstheme="minorHAnsi"/>
              </w:rPr>
            </w:pPr>
            <w:r w:rsidRPr="005C59D6">
              <w:rPr>
                <w:rFonts w:cstheme="minorHAnsi"/>
              </w:rPr>
              <w:t>4.440</w:t>
            </w:r>
          </w:p>
        </w:tc>
        <w:tc>
          <w:tcPr>
            <w:tcW w:w="0" w:type="auto"/>
            <w:hideMark/>
          </w:tcPr>
          <w:p w14:paraId="7FC2D725" w14:textId="77777777" w:rsidR="00073BE7" w:rsidRPr="005C59D6" w:rsidRDefault="00073BE7" w:rsidP="001C26FC">
            <w:pPr>
              <w:pStyle w:val="NoSpacing"/>
              <w:rPr>
                <w:rFonts w:cstheme="minorHAnsi"/>
              </w:rPr>
            </w:pPr>
            <w:r w:rsidRPr="005C59D6">
              <w:rPr>
                <w:rFonts w:cstheme="minorHAnsi"/>
              </w:rPr>
              <w:t>4.408</w:t>
            </w:r>
          </w:p>
        </w:tc>
      </w:tr>
      <w:tr w:rsidR="005C59D6" w:rsidRPr="005C59D6" w14:paraId="5356DBEA" w14:textId="77777777" w:rsidTr="00A11CC1">
        <w:tc>
          <w:tcPr>
            <w:tcW w:w="0" w:type="auto"/>
            <w:hideMark/>
          </w:tcPr>
          <w:p w14:paraId="44AF88E0" w14:textId="77777777" w:rsidR="00073BE7" w:rsidRPr="005C59D6" w:rsidRDefault="00073BE7" w:rsidP="001C26FC">
            <w:pPr>
              <w:pStyle w:val="NoSpacing"/>
              <w:rPr>
                <w:rFonts w:cstheme="minorHAnsi"/>
              </w:rPr>
            </w:pPr>
          </w:p>
        </w:tc>
        <w:tc>
          <w:tcPr>
            <w:tcW w:w="1001" w:type="dxa"/>
            <w:hideMark/>
          </w:tcPr>
          <w:p w14:paraId="1D22DB29" w14:textId="77777777" w:rsidR="00073BE7" w:rsidRPr="005C59D6" w:rsidRDefault="00073BE7" w:rsidP="001C26FC">
            <w:pPr>
              <w:pStyle w:val="NoSpacing"/>
              <w:rPr>
                <w:rFonts w:cstheme="minorHAnsi"/>
              </w:rPr>
            </w:pPr>
          </w:p>
        </w:tc>
        <w:tc>
          <w:tcPr>
            <w:tcW w:w="1739" w:type="dxa"/>
            <w:hideMark/>
          </w:tcPr>
          <w:p w14:paraId="5D3E68F1" w14:textId="77777777" w:rsidR="00073BE7" w:rsidRPr="005C59D6" w:rsidRDefault="00073BE7" w:rsidP="001C26FC">
            <w:pPr>
              <w:pStyle w:val="NoSpacing"/>
              <w:rPr>
                <w:rFonts w:cstheme="minorHAnsi"/>
              </w:rPr>
            </w:pPr>
            <w:r w:rsidRPr="005C59D6">
              <w:rPr>
                <w:rFonts w:cstheme="minorHAnsi"/>
              </w:rPr>
              <w:t>C [MHz]</w:t>
            </w:r>
          </w:p>
        </w:tc>
        <w:tc>
          <w:tcPr>
            <w:tcW w:w="0" w:type="auto"/>
            <w:hideMark/>
          </w:tcPr>
          <w:p w14:paraId="3E4CD678" w14:textId="77777777" w:rsidR="00073BE7" w:rsidRPr="005C59D6" w:rsidRDefault="00073BE7" w:rsidP="001C26FC">
            <w:pPr>
              <w:pStyle w:val="NoSpacing"/>
              <w:rPr>
                <w:rFonts w:cstheme="minorHAnsi"/>
              </w:rPr>
            </w:pPr>
            <w:r w:rsidRPr="005C59D6">
              <w:rPr>
                <w:rFonts w:cstheme="minorHAnsi"/>
              </w:rPr>
              <w:t>247.8086</w:t>
            </w:r>
          </w:p>
        </w:tc>
        <w:tc>
          <w:tcPr>
            <w:tcW w:w="0" w:type="auto"/>
            <w:hideMark/>
          </w:tcPr>
          <w:p w14:paraId="24CC892B" w14:textId="77777777" w:rsidR="00073BE7" w:rsidRPr="005C59D6" w:rsidRDefault="00073BE7" w:rsidP="001C26FC">
            <w:pPr>
              <w:pStyle w:val="NoSpacing"/>
              <w:rPr>
                <w:rFonts w:cstheme="minorHAnsi"/>
              </w:rPr>
            </w:pPr>
            <w:r w:rsidRPr="005C59D6">
              <w:rPr>
                <w:rFonts w:cstheme="minorHAnsi"/>
              </w:rPr>
              <w:t>247.272360(48)</w:t>
            </w:r>
          </w:p>
        </w:tc>
        <w:tc>
          <w:tcPr>
            <w:tcW w:w="0" w:type="auto"/>
            <w:hideMark/>
          </w:tcPr>
          <w:p w14:paraId="55B70CB6" w14:textId="77777777" w:rsidR="00073BE7" w:rsidRPr="005C59D6" w:rsidRDefault="00073BE7" w:rsidP="001C26FC">
            <w:pPr>
              <w:pStyle w:val="NoSpacing"/>
              <w:rPr>
                <w:rFonts w:cstheme="minorHAnsi"/>
              </w:rPr>
            </w:pPr>
            <w:r w:rsidRPr="005C59D6">
              <w:rPr>
                <w:rFonts w:cstheme="minorHAnsi"/>
              </w:rPr>
              <w:t>−0.22</w:t>
            </w:r>
          </w:p>
        </w:tc>
        <w:tc>
          <w:tcPr>
            <w:tcW w:w="0" w:type="auto"/>
            <w:hideMark/>
          </w:tcPr>
          <w:p w14:paraId="6A6F9701" w14:textId="77777777" w:rsidR="00073BE7" w:rsidRPr="005C59D6" w:rsidRDefault="00073BE7" w:rsidP="001C26FC">
            <w:pPr>
              <w:pStyle w:val="NoSpacing"/>
              <w:rPr>
                <w:rFonts w:cstheme="minorHAnsi"/>
              </w:rPr>
            </w:pPr>
            <w:r w:rsidRPr="005C59D6">
              <w:rPr>
                <w:rFonts w:cstheme="minorHAnsi"/>
              </w:rPr>
              <w:t>|c| [Å]</w:t>
            </w:r>
          </w:p>
        </w:tc>
        <w:tc>
          <w:tcPr>
            <w:tcW w:w="0" w:type="auto"/>
            <w:hideMark/>
          </w:tcPr>
          <w:p w14:paraId="5600E8FD" w14:textId="77777777" w:rsidR="00073BE7" w:rsidRPr="005C59D6" w:rsidRDefault="00073BE7" w:rsidP="001C26FC">
            <w:pPr>
              <w:pStyle w:val="NoSpacing"/>
              <w:rPr>
                <w:rFonts w:cstheme="minorHAnsi"/>
              </w:rPr>
            </w:pPr>
            <w:r w:rsidRPr="005C59D6">
              <w:rPr>
                <w:rFonts w:cstheme="minorHAnsi"/>
              </w:rPr>
              <w:t>1.742</w:t>
            </w:r>
          </w:p>
        </w:tc>
        <w:tc>
          <w:tcPr>
            <w:tcW w:w="0" w:type="auto"/>
            <w:hideMark/>
          </w:tcPr>
          <w:p w14:paraId="7BF713C3" w14:textId="77777777" w:rsidR="00073BE7" w:rsidRPr="005C59D6" w:rsidRDefault="00073BE7" w:rsidP="001C26FC">
            <w:pPr>
              <w:pStyle w:val="NoSpacing"/>
              <w:rPr>
                <w:rFonts w:cstheme="minorHAnsi"/>
              </w:rPr>
            </w:pPr>
            <w:r w:rsidRPr="005C59D6">
              <w:rPr>
                <w:rFonts w:cstheme="minorHAnsi"/>
              </w:rPr>
              <w:t>1.743</w:t>
            </w:r>
          </w:p>
        </w:tc>
        <w:tc>
          <w:tcPr>
            <w:tcW w:w="0" w:type="auto"/>
            <w:hideMark/>
          </w:tcPr>
          <w:p w14:paraId="50BE2895" w14:textId="77777777" w:rsidR="00073BE7" w:rsidRPr="005C59D6" w:rsidRDefault="00073BE7" w:rsidP="001C26FC">
            <w:pPr>
              <w:pStyle w:val="NoSpacing"/>
              <w:rPr>
                <w:rFonts w:cstheme="minorHAnsi"/>
              </w:rPr>
            </w:pPr>
            <w:r w:rsidRPr="005C59D6">
              <w:rPr>
                <w:rFonts w:cstheme="minorHAnsi"/>
              </w:rPr>
              <w:t>0.410</w:t>
            </w:r>
          </w:p>
        </w:tc>
        <w:tc>
          <w:tcPr>
            <w:tcW w:w="0" w:type="auto"/>
            <w:hideMark/>
          </w:tcPr>
          <w:p w14:paraId="2A27C900" w14:textId="77777777" w:rsidR="00073BE7" w:rsidRPr="005C59D6" w:rsidRDefault="00073BE7" w:rsidP="001C26FC">
            <w:pPr>
              <w:pStyle w:val="NoSpacing"/>
              <w:rPr>
                <w:rFonts w:cstheme="minorHAnsi"/>
              </w:rPr>
            </w:pPr>
            <w:r w:rsidRPr="005C59D6">
              <w:rPr>
                <w:rFonts w:cstheme="minorHAnsi"/>
              </w:rPr>
              <w:t>0.415</w:t>
            </w:r>
          </w:p>
        </w:tc>
      </w:tr>
      <w:tr w:rsidR="005C59D6" w:rsidRPr="005C59D6" w14:paraId="19D1BED3" w14:textId="77777777" w:rsidTr="00A11CC1">
        <w:tc>
          <w:tcPr>
            <w:tcW w:w="0" w:type="auto"/>
            <w:hideMark/>
          </w:tcPr>
          <w:p w14:paraId="463F94D2" w14:textId="77777777" w:rsidR="00073BE7" w:rsidRPr="005C59D6" w:rsidRDefault="00073BE7" w:rsidP="001C26FC">
            <w:pPr>
              <w:pStyle w:val="NoSpacing"/>
              <w:rPr>
                <w:rFonts w:cstheme="minorHAnsi"/>
              </w:rPr>
            </w:pPr>
          </w:p>
        </w:tc>
        <w:tc>
          <w:tcPr>
            <w:tcW w:w="1001" w:type="dxa"/>
            <w:hideMark/>
          </w:tcPr>
          <w:p w14:paraId="103D1CF3" w14:textId="77777777" w:rsidR="00073BE7" w:rsidRPr="005C59D6" w:rsidRDefault="00073BE7" w:rsidP="001C26FC">
            <w:pPr>
              <w:pStyle w:val="NoSpacing"/>
              <w:rPr>
                <w:rFonts w:cstheme="minorHAnsi"/>
              </w:rPr>
            </w:pPr>
            <w:r w:rsidRPr="005C59D6">
              <w:rPr>
                <w:rFonts w:cstheme="minorHAnsi"/>
              </w:rPr>
              <w:t>Isomer 2</w:t>
            </w:r>
          </w:p>
        </w:tc>
        <w:tc>
          <w:tcPr>
            <w:tcW w:w="1739" w:type="dxa"/>
            <w:hideMark/>
          </w:tcPr>
          <w:p w14:paraId="138C55E5" w14:textId="77777777" w:rsidR="00073BE7" w:rsidRPr="005C59D6" w:rsidRDefault="00073BE7" w:rsidP="001C26FC">
            <w:pPr>
              <w:pStyle w:val="NoSpacing"/>
              <w:rPr>
                <w:rFonts w:cstheme="minorHAnsi"/>
              </w:rPr>
            </w:pPr>
            <w:r w:rsidRPr="005C59D6">
              <w:rPr>
                <w:rFonts w:cstheme="minorHAnsi"/>
              </w:rPr>
              <w:t>A [MHz]</w:t>
            </w:r>
          </w:p>
        </w:tc>
        <w:tc>
          <w:tcPr>
            <w:tcW w:w="0" w:type="auto"/>
            <w:hideMark/>
          </w:tcPr>
          <w:p w14:paraId="09C7EDD7" w14:textId="77777777" w:rsidR="00073BE7" w:rsidRPr="005C59D6" w:rsidRDefault="00073BE7" w:rsidP="001C26FC">
            <w:pPr>
              <w:pStyle w:val="NoSpacing"/>
              <w:rPr>
                <w:rFonts w:cstheme="minorHAnsi"/>
              </w:rPr>
            </w:pPr>
            <w:r w:rsidRPr="005C59D6">
              <w:rPr>
                <w:rFonts w:cstheme="minorHAnsi"/>
              </w:rPr>
              <w:t>428.5449</w:t>
            </w:r>
          </w:p>
        </w:tc>
        <w:tc>
          <w:tcPr>
            <w:tcW w:w="0" w:type="auto"/>
            <w:hideMark/>
          </w:tcPr>
          <w:p w14:paraId="55FBF4B2" w14:textId="77777777" w:rsidR="00073BE7" w:rsidRPr="005C59D6" w:rsidRDefault="00073BE7" w:rsidP="001C26FC">
            <w:pPr>
              <w:pStyle w:val="NoSpacing"/>
              <w:rPr>
                <w:rFonts w:cstheme="minorHAnsi"/>
              </w:rPr>
            </w:pPr>
            <w:r w:rsidRPr="005C59D6">
              <w:rPr>
                <w:rFonts w:cstheme="minorHAnsi"/>
              </w:rPr>
              <w:t>422.465040(63)</w:t>
            </w:r>
          </w:p>
        </w:tc>
        <w:tc>
          <w:tcPr>
            <w:tcW w:w="0" w:type="auto"/>
            <w:hideMark/>
          </w:tcPr>
          <w:p w14:paraId="3DE73538" w14:textId="77777777" w:rsidR="00073BE7" w:rsidRPr="005C59D6" w:rsidRDefault="00073BE7" w:rsidP="001C26FC">
            <w:pPr>
              <w:pStyle w:val="NoSpacing"/>
              <w:rPr>
                <w:rFonts w:cstheme="minorHAnsi"/>
              </w:rPr>
            </w:pPr>
            <w:r w:rsidRPr="005C59D6">
              <w:rPr>
                <w:rFonts w:cstheme="minorHAnsi"/>
              </w:rPr>
              <w:t>−1.44</w:t>
            </w:r>
          </w:p>
        </w:tc>
        <w:tc>
          <w:tcPr>
            <w:tcW w:w="0" w:type="auto"/>
            <w:hideMark/>
          </w:tcPr>
          <w:p w14:paraId="69F1760A" w14:textId="77777777" w:rsidR="00073BE7" w:rsidRPr="005C59D6" w:rsidRDefault="00073BE7" w:rsidP="001C26FC">
            <w:pPr>
              <w:pStyle w:val="NoSpacing"/>
              <w:rPr>
                <w:rFonts w:cstheme="minorHAnsi"/>
              </w:rPr>
            </w:pPr>
            <w:r w:rsidRPr="005C59D6">
              <w:rPr>
                <w:rFonts w:cstheme="minorHAnsi"/>
              </w:rPr>
              <w:t>|a| [Å]</w:t>
            </w:r>
          </w:p>
        </w:tc>
        <w:tc>
          <w:tcPr>
            <w:tcW w:w="0" w:type="auto"/>
            <w:hideMark/>
          </w:tcPr>
          <w:p w14:paraId="6F4A4F85" w14:textId="77777777" w:rsidR="00073BE7" w:rsidRPr="005C59D6" w:rsidRDefault="00073BE7" w:rsidP="001C26FC">
            <w:pPr>
              <w:pStyle w:val="NoSpacing"/>
              <w:rPr>
                <w:rFonts w:cstheme="minorHAnsi"/>
              </w:rPr>
            </w:pPr>
            <w:r w:rsidRPr="005C59D6">
              <w:rPr>
                <w:rFonts w:cstheme="minorHAnsi"/>
              </w:rPr>
              <w:t>3.973</w:t>
            </w:r>
          </w:p>
        </w:tc>
        <w:tc>
          <w:tcPr>
            <w:tcW w:w="0" w:type="auto"/>
            <w:hideMark/>
          </w:tcPr>
          <w:p w14:paraId="10D9A51E" w14:textId="77777777" w:rsidR="00073BE7" w:rsidRPr="005C59D6" w:rsidRDefault="00073BE7" w:rsidP="001C26FC">
            <w:pPr>
              <w:pStyle w:val="NoSpacing"/>
              <w:rPr>
                <w:rFonts w:cstheme="minorHAnsi"/>
              </w:rPr>
            </w:pPr>
            <w:r w:rsidRPr="005C59D6">
              <w:rPr>
                <w:rFonts w:cstheme="minorHAnsi"/>
              </w:rPr>
              <w:t>3.700</w:t>
            </w:r>
          </w:p>
        </w:tc>
        <w:tc>
          <w:tcPr>
            <w:tcW w:w="0" w:type="auto"/>
            <w:hideMark/>
          </w:tcPr>
          <w:p w14:paraId="08A036DC" w14:textId="77777777" w:rsidR="00073BE7" w:rsidRPr="005C59D6" w:rsidRDefault="00073BE7" w:rsidP="001C26FC">
            <w:pPr>
              <w:pStyle w:val="NoSpacing"/>
              <w:rPr>
                <w:rFonts w:cstheme="minorHAnsi"/>
              </w:rPr>
            </w:pPr>
            <w:r w:rsidRPr="005C59D6">
              <w:rPr>
                <w:rFonts w:cstheme="minorHAnsi"/>
              </w:rPr>
              <w:t>2.813</w:t>
            </w:r>
          </w:p>
        </w:tc>
        <w:tc>
          <w:tcPr>
            <w:tcW w:w="0" w:type="auto"/>
            <w:hideMark/>
          </w:tcPr>
          <w:p w14:paraId="056549ED" w14:textId="77777777" w:rsidR="00073BE7" w:rsidRPr="005C59D6" w:rsidRDefault="00073BE7" w:rsidP="001C26FC">
            <w:pPr>
              <w:pStyle w:val="NoSpacing"/>
              <w:rPr>
                <w:rFonts w:cstheme="minorHAnsi"/>
              </w:rPr>
            </w:pPr>
            <w:r w:rsidRPr="005C59D6">
              <w:rPr>
                <w:rFonts w:cstheme="minorHAnsi"/>
              </w:rPr>
              <w:t>2.765</w:t>
            </w:r>
          </w:p>
        </w:tc>
      </w:tr>
      <w:tr w:rsidR="005C59D6" w:rsidRPr="005C59D6" w14:paraId="7D5281C0" w14:textId="77777777" w:rsidTr="00A11CC1">
        <w:tc>
          <w:tcPr>
            <w:tcW w:w="0" w:type="auto"/>
            <w:hideMark/>
          </w:tcPr>
          <w:p w14:paraId="1E926132" w14:textId="77777777" w:rsidR="00073BE7" w:rsidRPr="005C59D6" w:rsidRDefault="00073BE7" w:rsidP="001C26FC">
            <w:pPr>
              <w:pStyle w:val="NoSpacing"/>
              <w:rPr>
                <w:rFonts w:cstheme="minorHAnsi"/>
              </w:rPr>
            </w:pPr>
          </w:p>
        </w:tc>
        <w:tc>
          <w:tcPr>
            <w:tcW w:w="1001" w:type="dxa"/>
            <w:hideMark/>
          </w:tcPr>
          <w:p w14:paraId="70A78C02" w14:textId="77777777" w:rsidR="00073BE7" w:rsidRPr="005C59D6" w:rsidRDefault="00073BE7" w:rsidP="001C26FC">
            <w:pPr>
              <w:pStyle w:val="NoSpacing"/>
              <w:rPr>
                <w:rFonts w:cstheme="minorHAnsi"/>
              </w:rPr>
            </w:pPr>
          </w:p>
        </w:tc>
        <w:tc>
          <w:tcPr>
            <w:tcW w:w="1739" w:type="dxa"/>
            <w:hideMark/>
          </w:tcPr>
          <w:p w14:paraId="66B3288D" w14:textId="77777777" w:rsidR="00073BE7" w:rsidRPr="005C59D6" w:rsidRDefault="00073BE7" w:rsidP="001C26FC">
            <w:pPr>
              <w:pStyle w:val="NoSpacing"/>
              <w:rPr>
                <w:rFonts w:cstheme="minorHAnsi"/>
              </w:rPr>
            </w:pPr>
            <w:r w:rsidRPr="005C59D6">
              <w:rPr>
                <w:rFonts w:cstheme="minorHAnsi"/>
              </w:rPr>
              <w:t>B [MHz]</w:t>
            </w:r>
          </w:p>
        </w:tc>
        <w:tc>
          <w:tcPr>
            <w:tcW w:w="0" w:type="auto"/>
            <w:hideMark/>
          </w:tcPr>
          <w:p w14:paraId="0227A4EF" w14:textId="77777777" w:rsidR="00073BE7" w:rsidRPr="005C59D6" w:rsidRDefault="00073BE7" w:rsidP="001C26FC">
            <w:pPr>
              <w:pStyle w:val="NoSpacing"/>
              <w:rPr>
                <w:rFonts w:cstheme="minorHAnsi"/>
              </w:rPr>
            </w:pPr>
            <w:r w:rsidRPr="005C59D6">
              <w:rPr>
                <w:rFonts w:cstheme="minorHAnsi"/>
              </w:rPr>
              <w:t>334.0264</w:t>
            </w:r>
          </w:p>
        </w:tc>
        <w:tc>
          <w:tcPr>
            <w:tcW w:w="0" w:type="auto"/>
            <w:hideMark/>
          </w:tcPr>
          <w:p w14:paraId="45EF1407" w14:textId="77777777" w:rsidR="00073BE7" w:rsidRPr="005C59D6" w:rsidRDefault="00073BE7" w:rsidP="001C26FC">
            <w:pPr>
              <w:pStyle w:val="NoSpacing"/>
              <w:rPr>
                <w:rFonts w:cstheme="minorHAnsi"/>
              </w:rPr>
            </w:pPr>
            <w:r w:rsidRPr="005C59D6">
              <w:rPr>
                <w:rFonts w:cstheme="minorHAnsi"/>
              </w:rPr>
              <w:t>335.780650(59)</w:t>
            </w:r>
          </w:p>
        </w:tc>
        <w:tc>
          <w:tcPr>
            <w:tcW w:w="0" w:type="auto"/>
            <w:hideMark/>
          </w:tcPr>
          <w:p w14:paraId="7FE03B04" w14:textId="77777777" w:rsidR="00073BE7" w:rsidRPr="005C59D6" w:rsidRDefault="00073BE7" w:rsidP="001C26FC">
            <w:pPr>
              <w:pStyle w:val="NoSpacing"/>
              <w:rPr>
                <w:rFonts w:cstheme="minorHAnsi"/>
              </w:rPr>
            </w:pPr>
            <w:r w:rsidRPr="005C59D6">
              <w:rPr>
                <w:rFonts w:cstheme="minorHAnsi"/>
              </w:rPr>
              <w:t>+0.52</w:t>
            </w:r>
          </w:p>
        </w:tc>
        <w:tc>
          <w:tcPr>
            <w:tcW w:w="0" w:type="auto"/>
            <w:hideMark/>
          </w:tcPr>
          <w:p w14:paraId="5844FD91" w14:textId="77777777" w:rsidR="00073BE7" w:rsidRPr="005C59D6" w:rsidRDefault="00073BE7" w:rsidP="001C26FC">
            <w:pPr>
              <w:pStyle w:val="NoSpacing"/>
              <w:rPr>
                <w:rFonts w:cstheme="minorHAnsi"/>
              </w:rPr>
            </w:pPr>
            <w:r w:rsidRPr="005C59D6">
              <w:rPr>
                <w:rFonts w:cstheme="minorHAnsi"/>
              </w:rPr>
              <w:t>|b| [Å]</w:t>
            </w:r>
          </w:p>
        </w:tc>
        <w:tc>
          <w:tcPr>
            <w:tcW w:w="0" w:type="auto"/>
            <w:hideMark/>
          </w:tcPr>
          <w:p w14:paraId="69C079EB" w14:textId="77777777" w:rsidR="00073BE7" w:rsidRPr="005C59D6" w:rsidRDefault="00073BE7" w:rsidP="001C26FC">
            <w:pPr>
              <w:pStyle w:val="NoSpacing"/>
              <w:rPr>
                <w:rFonts w:cstheme="minorHAnsi"/>
              </w:rPr>
            </w:pPr>
            <w:r w:rsidRPr="005C59D6">
              <w:rPr>
                <w:rFonts w:cstheme="minorHAnsi"/>
              </w:rPr>
              <w:t>2.567</w:t>
            </w:r>
          </w:p>
        </w:tc>
        <w:tc>
          <w:tcPr>
            <w:tcW w:w="0" w:type="auto"/>
            <w:hideMark/>
          </w:tcPr>
          <w:p w14:paraId="181208D6" w14:textId="77777777" w:rsidR="00073BE7" w:rsidRPr="005C59D6" w:rsidRDefault="00073BE7" w:rsidP="001C26FC">
            <w:pPr>
              <w:pStyle w:val="NoSpacing"/>
              <w:rPr>
                <w:rFonts w:cstheme="minorHAnsi"/>
              </w:rPr>
            </w:pPr>
            <w:r w:rsidRPr="005C59D6">
              <w:rPr>
                <w:rFonts w:cstheme="minorHAnsi"/>
              </w:rPr>
              <w:t>2.790</w:t>
            </w:r>
          </w:p>
        </w:tc>
        <w:tc>
          <w:tcPr>
            <w:tcW w:w="0" w:type="auto"/>
            <w:hideMark/>
          </w:tcPr>
          <w:p w14:paraId="06E9B2C4" w14:textId="77777777" w:rsidR="00073BE7" w:rsidRPr="005C59D6" w:rsidRDefault="00073BE7" w:rsidP="001C26FC">
            <w:pPr>
              <w:pStyle w:val="NoSpacing"/>
              <w:rPr>
                <w:rFonts w:cstheme="minorHAnsi"/>
              </w:rPr>
            </w:pPr>
            <w:r w:rsidRPr="005C59D6">
              <w:rPr>
                <w:rFonts w:cstheme="minorHAnsi"/>
              </w:rPr>
              <w:t>2.555</w:t>
            </w:r>
          </w:p>
        </w:tc>
        <w:tc>
          <w:tcPr>
            <w:tcW w:w="0" w:type="auto"/>
            <w:hideMark/>
          </w:tcPr>
          <w:p w14:paraId="4E7BC572" w14:textId="77777777" w:rsidR="00073BE7" w:rsidRPr="005C59D6" w:rsidRDefault="00073BE7" w:rsidP="001C26FC">
            <w:pPr>
              <w:pStyle w:val="NoSpacing"/>
              <w:rPr>
                <w:rFonts w:cstheme="minorHAnsi"/>
              </w:rPr>
            </w:pPr>
            <w:r w:rsidRPr="005C59D6">
              <w:rPr>
                <w:rFonts w:cstheme="minorHAnsi"/>
              </w:rPr>
              <w:t>2.681</w:t>
            </w:r>
          </w:p>
        </w:tc>
      </w:tr>
      <w:tr w:rsidR="005C59D6" w:rsidRPr="005C59D6" w14:paraId="7FE73758" w14:textId="77777777" w:rsidTr="00A11CC1">
        <w:tc>
          <w:tcPr>
            <w:tcW w:w="0" w:type="auto"/>
            <w:hideMark/>
          </w:tcPr>
          <w:p w14:paraId="61488CB2" w14:textId="77777777" w:rsidR="00073BE7" w:rsidRPr="005C59D6" w:rsidRDefault="00073BE7" w:rsidP="001C26FC">
            <w:pPr>
              <w:pStyle w:val="NoSpacing"/>
              <w:rPr>
                <w:rFonts w:cstheme="minorHAnsi"/>
              </w:rPr>
            </w:pPr>
          </w:p>
        </w:tc>
        <w:tc>
          <w:tcPr>
            <w:tcW w:w="1001" w:type="dxa"/>
            <w:hideMark/>
          </w:tcPr>
          <w:p w14:paraId="374A82DF" w14:textId="77777777" w:rsidR="00073BE7" w:rsidRPr="005C59D6" w:rsidRDefault="00073BE7" w:rsidP="001C26FC">
            <w:pPr>
              <w:pStyle w:val="NoSpacing"/>
              <w:rPr>
                <w:rFonts w:cstheme="minorHAnsi"/>
              </w:rPr>
            </w:pPr>
          </w:p>
        </w:tc>
        <w:tc>
          <w:tcPr>
            <w:tcW w:w="1739" w:type="dxa"/>
            <w:hideMark/>
          </w:tcPr>
          <w:p w14:paraId="408B88AB" w14:textId="77777777" w:rsidR="00073BE7" w:rsidRPr="005C59D6" w:rsidRDefault="00073BE7" w:rsidP="001C26FC">
            <w:pPr>
              <w:pStyle w:val="NoSpacing"/>
              <w:rPr>
                <w:rFonts w:cstheme="minorHAnsi"/>
              </w:rPr>
            </w:pPr>
            <w:r w:rsidRPr="005C59D6">
              <w:rPr>
                <w:rFonts w:cstheme="minorHAnsi"/>
              </w:rPr>
              <w:t>C [MHz]</w:t>
            </w:r>
          </w:p>
        </w:tc>
        <w:tc>
          <w:tcPr>
            <w:tcW w:w="0" w:type="auto"/>
            <w:hideMark/>
          </w:tcPr>
          <w:p w14:paraId="4406D1ED" w14:textId="77777777" w:rsidR="00073BE7" w:rsidRPr="005C59D6" w:rsidRDefault="00073BE7" w:rsidP="001C26FC">
            <w:pPr>
              <w:pStyle w:val="NoSpacing"/>
              <w:rPr>
                <w:rFonts w:cstheme="minorHAnsi"/>
              </w:rPr>
            </w:pPr>
            <w:r w:rsidRPr="005C59D6">
              <w:rPr>
                <w:rFonts w:cstheme="minorHAnsi"/>
              </w:rPr>
              <w:t>242.0888</w:t>
            </w:r>
          </w:p>
        </w:tc>
        <w:tc>
          <w:tcPr>
            <w:tcW w:w="0" w:type="auto"/>
            <w:hideMark/>
          </w:tcPr>
          <w:p w14:paraId="54B047B7" w14:textId="77777777" w:rsidR="00073BE7" w:rsidRPr="005C59D6" w:rsidRDefault="00073BE7" w:rsidP="001C26FC">
            <w:pPr>
              <w:pStyle w:val="NoSpacing"/>
              <w:rPr>
                <w:rFonts w:cstheme="minorHAnsi"/>
              </w:rPr>
            </w:pPr>
            <w:r w:rsidRPr="005C59D6">
              <w:rPr>
                <w:rFonts w:cstheme="minorHAnsi"/>
              </w:rPr>
              <w:t>241.910620(49)</w:t>
            </w:r>
          </w:p>
        </w:tc>
        <w:tc>
          <w:tcPr>
            <w:tcW w:w="0" w:type="auto"/>
            <w:hideMark/>
          </w:tcPr>
          <w:p w14:paraId="09BC106D" w14:textId="77777777" w:rsidR="00073BE7" w:rsidRPr="005C59D6" w:rsidRDefault="00073BE7" w:rsidP="001C26FC">
            <w:pPr>
              <w:pStyle w:val="NoSpacing"/>
              <w:rPr>
                <w:rFonts w:cstheme="minorHAnsi"/>
              </w:rPr>
            </w:pPr>
            <w:r w:rsidRPr="005C59D6">
              <w:rPr>
                <w:rFonts w:cstheme="minorHAnsi"/>
              </w:rPr>
              <w:t>−0.07</w:t>
            </w:r>
          </w:p>
        </w:tc>
        <w:tc>
          <w:tcPr>
            <w:tcW w:w="0" w:type="auto"/>
            <w:hideMark/>
          </w:tcPr>
          <w:p w14:paraId="0ECECA04" w14:textId="77777777" w:rsidR="00073BE7" w:rsidRPr="005C59D6" w:rsidRDefault="00073BE7" w:rsidP="001C26FC">
            <w:pPr>
              <w:pStyle w:val="NoSpacing"/>
              <w:rPr>
                <w:rFonts w:cstheme="minorHAnsi"/>
              </w:rPr>
            </w:pPr>
            <w:r w:rsidRPr="005C59D6">
              <w:rPr>
                <w:rFonts w:cstheme="minorHAnsi"/>
              </w:rPr>
              <w:t>|c| [Å]</w:t>
            </w:r>
          </w:p>
        </w:tc>
        <w:tc>
          <w:tcPr>
            <w:tcW w:w="0" w:type="auto"/>
            <w:hideMark/>
          </w:tcPr>
          <w:p w14:paraId="2E28B992" w14:textId="77777777" w:rsidR="00073BE7" w:rsidRPr="005C59D6" w:rsidRDefault="00073BE7" w:rsidP="001C26FC">
            <w:pPr>
              <w:pStyle w:val="NoSpacing"/>
              <w:rPr>
                <w:rFonts w:cstheme="minorHAnsi"/>
              </w:rPr>
            </w:pPr>
            <w:r w:rsidRPr="005C59D6">
              <w:rPr>
                <w:rFonts w:cstheme="minorHAnsi"/>
              </w:rPr>
              <w:t>0.491</w:t>
            </w:r>
          </w:p>
        </w:tc>
        <w:tc>
          <w:tcPr>
            <w:tcW w:w="0" w:type="auto"/>
            <w:hideMark/>
          </w:tcPr>
          <w:p w14:paraId="6B63DFC4" w14:textId="77777777" w:rsidR="00073BE7" w:rsidRPr="005C59D6" w:rsidRDefault="00073BE7" w:rsidP="001C26FC">
            <w:pPr>
              <w:pStyle w:val="NoSpacing"/>
              <w:rPr>
                <w:rFonts w:cstheme="minorHAnsi"/>
              </w:rPr>
            </w:pPr>
            <w:r w:rsidRPr="005C59D6">
              <w:rPr>
                <w:rFonts w:cstheme="minorHAnsi"/>
              </w:rPr>
              <w:t>0.431</w:t>
            </w:r>
          </w:p>
        </w:tc>
        <w:tc>
          <w:tcPr>
            <w:tcW w:w="0" w:type="auto"/>
            <w:hideMark/>
          </w:tcPr>
          <w:p w14:paraId="718C5836" w14:textId="77777777" w:rsidR="00073BE7" w:rsidRPr="005C59D6" w:rsidRDefault="00073BE7" w:rsidP="001C26FC">
            <w:pPr>
              <w:pStyle w:val="NoSpacing"/>
              <w:rPr>
                <w:rFonts w:cstheme="minorHAnsi"/>
              </w:rPr>
            </w:pPr>
            <w:r w:rsidRPr="005C59D6">
              <w:rPr>
                <w:rFonts w:cstheme="minorHAnsi"/>
              </w:rPr>
              <w:t>1.808</w:t>
            </w:r>
          </w:p>
        </w:tc>
        <w:tc>
          <w:tcPr>
            <w:tcW w:w="0" w:type="auto"/>
            <w:hideMark/>
          </w:tcPr>
          <w:p w14:paraId="3021131E" w14:textId="77777777" w:rsidR="00073BE7" w:rsidRPr="005C59D6" w:rsidRDefault="00073BE7" w:rsidP="001C26FC">
            <w:pPr>
              <w:pStyle w:val="NoSpacing"/>
              <w:rPr>
                <w:rFonts w:cstheme="minorHAnsi"/>
              </w:rPr>
            </w:pPr>
            <w:r w:rsidRPr="005C59D6">
              <w:rPr>
                <w:rFonts w:cstheme="minorHAnsi"/>
              </w:rPr>
              <w:t>1.785</w:t>
            </w:r>
          </w:p>
        </w:tc>
      </w:tr>
      <w:tr w:rsidR="005C59D6" w:rsidRPr="005C59D6" w14:paraId="3ACEF7D2" w14:textId="77777777" w:rsidTr="00A11CC1">
        <w:tc>
          <w:tcPr>
            <w:tcW w:w="0" w:type="auto"/>
            <w:hideMark/>
          </w:tcPr>
          <w:p w14:paraId="644315D1" w14:textId="77777777" w:rsidR="00073BE7" w:rsidRPr="005C59D6" w:rsidRDefault="00073BE7" w:rsidP="001C26FC">
            <w:pPr>
              <w:pStyle w:val="NoSpacing"/>
              <w:rPr>
                <w:rFonts w:cstheme="minorHAnsi"/>
              </w:rPr>
            </w:pPr>
            <w:r w:rsidRPr="005C59D6">
              <w:rPr>
                <w:rFonts w:cstheme="minorHAnsi"/>
              </w:rPr>
              <w:t>3-Phenyl-1-propanol</w:t>
            </w:r>
          </w:p>
        </w:tc>
        <w:tc>
          <w:tcPr>
            <w:tcW w:w="1001" w:type="dxa"/>
            <w:hideMark/>
          </w:tcPr>
          <w:p w14:paraId="7CA8CDA9" w14:textId="77777777" w:rsidR="00073BE7" w:rsidRPr="005C59D6" w:rsidRDefault="00073BE7" w:rsidP="001C26FC">
            <w:pPr>
              <w:pStyle w:val="NoSpacing"/>
              <w:rPr>
                <w:rFonts w:cstheme="minorHAnsi"/>
              </w:rPr>
            </w:pPr>
            <w:r w:rsidRPr="005C59D6">
              <w:rPr>
                <w:rFonts w:cstheme="minorHAnsi"/>
              </w:rPr>
              <w:t>Isomer 1</w:t>
            </w:r>
          </w:p>
        </w:tc>
        <w:tc>
          <w:tcPr>
            <w:tcW w:w="1739" w:type="dxa"/>
            <w:hideMark/>
          </w:tcPr>
          <w:p w14:paraId="72E6CB52" w14:textId="77777777" w:rsidR="00073BE7" w:rsidRPr="005C59D6" w:rsidRDefault="00073BE7" w:rsidP="001C26FC">
            <w:pPr>
              <w:pStyle w:val="NoSpacing"/>
              <w:rPr>
                <w:rFonts w:cstheme="minorHAnsi"/>
              </w:rPr>
            </w:pPr>
            <w:r w:rsidRPr="005C59D6">
              <w:rPr>
                <w:rFonts w:cstheme="minorHAnsi"/>
              </w:rPr>
              <w:t>A [MHz]</w:t>
            </w:r>
          </w:p>
        </w:tc>
        <w:tc>
          <w:tcPr>
            <w:tcW w:w="0" w:type="auto"/>
            <w:hideMark/>
          </w:tcPr>
          <w:p w14:paraId="1B12FD9B" w14:textId="77777777" w:rsidR="00073BE7" w:rsidRPr="005C59D6" w:rsidRDefault="00073BE7" w:rsidP="001C26FC">
            <w:pPr>
              <w:pStyle w:val="NoSpacing"/>
              <w:rPr>
                <w:rFonts w:cstheme="minorHAnsi"/>
              </w:rPr>
            </w:pPr>
            <w:r w:rsidRPr="005C59D6">
              <w:rPr>
                <w:rFonts w:cstheme="minorHAnsi"/>
              </w:rPr>
              <w:t>757.6193</w:t>
            </w:r>
          </w:p>
        </w:tc>
        <w:tc>
          <w:tcPr>
            <w:tcW w:w="0" w:type="auto"/>
            <w:hideMark/>
          </w:tcPr>
          <w:p w14:paraId="4297DDAE" w14:textId="77777777" w:rsidR="00073BE7" w:rsidRPr="005C59D6" w:rsidRDefault="00073BE7" w:rsidP="001C26FC">
            <w:pPr>
              <w:pStyle w:val="NoSpacing"/>
              <w:rPr>
                <w:rFonts w:cstheme="minorHAnsi"/>
              </w:rPr>
            </w:pPr>
            <w:r w:rsidRPr="005C59D6">
              <w:rPr>
                <w:rFonts w:cstheme="minorHAnsi"/>
              </w:rPr>
              <w:t>749.80158(18)</w:t>
            </w:r>
          </w:p>
        </w:tc>
        <w:tc>
          <w:tcPr>
            <w:tcW w:w="0" w:type="auto"/>
            <w:hideMark/>
          </w:tcPr>
          <w:p w14:paraId="572022CB" w14:textId="77777777" w:rsidR="00073BE7" w:rsidRPr="005C59D6" w:rsidRDefault="00073BE7" w:rsidP="001C26FC">
            <w:pPr>
              <w:pStyle w:val="NoSpacing"/>
              <w:rPr>
                <w:rFonts w:cstheme="minorHAnsi"/>
              </w:rPr>
            </w:pPr>
            <w:r w:rsidRPr="005C59D6">
              <w:rPr>
                <w:rFonts w:cstheme="minorHAnsi"/>
              </w:rPr>
              <w:t>−1.04</w:t>
            </w:r>
          </w:p>
        </w:tc>
        <w:tc>
          <w:tcPr>
            <w:tcW w:w="0" w:type="auto"/>
            <w:hideMark/>
          </w:tcPr>
          <w:p w14:paraId="06E3A3A3" w14:textId="77777777" w:rsidR="00073BE7" w:rsidRPr="005C59D6" w:rsidRDefault="00073BE7" w:rsidP="001C26FC">
            <w:pPr>
              <w:pStyle w:val="NoSpacing"/>
              <w:rPr>
                <w:rFonts w:cstheme="minorHAnsi"/>
              </w:rPr>
            </w:pPr>
            <w:r w:rsidRPr="005C59D6">
              <w:rPr>
                <w:rFonts w:cstheme="minorHAnsi"/>
              </w:rPr>
              <w:t>|a| [Å]</w:t>
            </w:r>
          </w:p>
        </w:tc>
        <w:tc>
          <w:tcPr>
            <w:tcW w:w="0" w:type="auto"/>
            <w:hideMark/>
          </w:tcPr>
          <w:p w14:paraId="6609482E" w14:textId="77777777" w:rsidR="00073BE7" w:rsidRPr="005C59D6" w:rsidRDefault="00073BE7" w:rsidP="001C26FC">
            <w:pPr>
              <w:pStyle w:val="NoSpacing"/>
              <w:rPr>
                <w:rFonts w:cstheme="minorHAnsi"/>
              </w:rPr>
            </w:pPr>
            <w:r w:rsidRPr="005C59D6">
              <w:rPr>
                <w:rFonts w:cstheme="minorHAnsi"/>
              </w:rPr>
              <w:t>1.048</w:t>
            </w:r>
          </w:p>
        </w:tc>
        <w:tc>
          <w:tcPr>
            <w:tcW w:w="0" w:type="auto"/>
            <w:hideMark/>
          </w:tcPr>
          <w:p w14:paraId="0D22EDBF" w14:textId="77777777" w:rsidR="00073BE7" w:rsidRPr="005C59D6" w:rsidRDefault="00073BE7" w:rsidP="001C26FC">
            <w:pPr>
              <w:pStyle w:val="NoSpacing"/>
              <w:rPr>
                <w:rFonts w:cstheme="minorHAnsi"/>
              </w:rPr>
            </w:pPr>
            <w:r w:rsidRPr="005C59D6">
              <w:rPr>
                <w:rFonts w:cstheme="minorHAnsi"/>
              </w:rPr>
              <w:t>1.192</w:t>
            </w:r>
          </w:p>
        </w:tc>
        <w:tc>
          <w:tcPr>
            <w:tcW w:w="0" w:type="auto"/>
            <w:hideMark/>
          </w:tcPr>
          <w:p w14:paraId="1007747C" w14:textId="77777777" w:rsidR="00073BE7" w:rsidRPr="005C59D6" w:rsidRDefault="00073BE7" w:rsidP="001C26FC">
            <w:pPr>
              <w:pStyle w:val="NoSpacing"/>
              <w:rPr>
                <w:rFonts w:cstheme="minorHAnsi"/>
              </w:rPr>
            </w:pPr>
            <w:r w:rsidRPr="005C59D6">
              <w:rPr>
                <w:rFonts w:cstheme="minorHAnsi"/>
              </w:rPr>
              <w:t>0.386</w:t>
            </w:r>
          </w:p>
        </w:tc>
        <w:tc>
          <w:tcPr>
            <w:tcW w:w="0" w:type="auto"/>
            <w:hideMark/>
          </w:tcPr>
          <w:p w14:paraId="090C6017" w14:textId="77777777" w:rsidR="00073BE7" w:rsidRPr="005C59D6" w:rsidRDefault="00073BE7" w:rsidP="001C26FC">
            <w:pPr>
              <w:pStyle w:val="NoSpacing"/>
              <w:rPr>
                <w:rFonts w:cstheme="minorHAnsi"/>
              </w:rPr>
            </w:pPr>
            <w:r w:rsidRPr="005C59D6">
              <w:rPr>
                <w:rFonts w:cstheme="minorHAnsi"/>
              </w:rPr>
              <w:t>0.587</w:t>
            </w:r>
          </w:p>
        </w:tc>
      </w:tr>
      <w:tr w:rsidR="005C59D6" w:rsidRPr="005C59D6" w14:paraId="0E164127" w14:textId="77777777" w:rsidTr="00A11CC1">
        <w:tc>
          <w:tcPr>
            <w:tcW w:w="0" w:type="auto"/>
            <w:hideMark/>
          </w:tcPr>
          <w:p w14:paraId="3106063C" w14:textId="77777777" w:rsidR="00073BE7" w:rsidRPr="005C59D6" w:rsidRDefault="00073BE7" w:rsidP="001C26FC">
            <w:pPr>
              <w:pStyle w:val="NoSpacing"/>
              <w:rPr>
                <w:rFonts w:cstheme="minorHAnsi"/>
              </w:rPr>
            </w:pPr>
          </w:p>
        </w:tc>
        <w:tc>
          <w:tcPr>
            <w:tcW w:w="1001" w:type="dxa"/>
            <w:hideMark/>
          </w:tcPr>
          <w:p w14:paraId="4F2A088F" w14:textId="77777777" w:rsidR="00073BE7" w:rsidRPr="005C59D6" w:rsidRDefault="00073BE7" w:rsidP="001C26FC">
            <w:pPr>
              <w:pStyle w:val="NoSpacing"/>
              <w:rPr>
                <w:rFonts w:cstheme="minorHAnsi"/>
              </w:rPr>
            </w:pPr>
          </w:p>
        </w:tc>
        <w:tc>
          <w:tcPr>
            <w:tcW w:w="1739" w:type="dxa"/>
            <w:hideMark/>
          </w:tcPr>
          <w:p w14:paraId="1A972AD8" w14:textId="77777777" w:rsidR="00073BE7" w:rsidRPr="005C59D6" w:rsidRDefault="00073BE7" w:rsidP="001C26FC">
            <w:pPr>
              <w:pStyle w:val="NoSpacing"/>
              <w:rPr>
                <w:rFonts w:cstheme="minorHAnsi"/>
              </w:rPr>
            </w:pPr>
            <w:r w:rsidRPr="005C59D6">
              <w:rPr>
                <w:rFonts w:cstheme="minorHAnsi"/>
              </w:rPr>
              <w:t>B [MHz]</w:t>
            </w:r>
          </w:p>
        </w:tc>
        <w:tc>
          <w:tcPr>
            <w:tcW w:w="0" w:type="auto"/>
            <w:hideMark/>
          </w:tcPr>
          <w:p w14:paraId="34537297" w14:textId="77777777" w:rsidR="00073BE7" w:rsidRPr="005C59D6" w:rsidRDefault="00073BE7" w:rsidP="001C26FC">
            <w:pPr>
              <w:pStyle w:val="NoSpacing"/>
              <w:rPr>
                <w:rFonts w:cstheme="minorHAnsi"/>
              </w:rPr>
            </w:pPr>
            <w:r w:rsidRPr="005C59D6">
              <w:rPr>
                <w:rFonts w:cstheme="minorHAnsi"/>
              </w:rPr>
              <w:t>598.8914</w:t>
            </w:r>
          </w:p>
        </w:tc>
        <w:tc>
          <w:tcPr>
            <w:tcW w:w="0" w:type="auto"/>
            <w:hideMark/>
          </w:tcPr>
          <w:p w14:paraId="005FE7B2" w14:textId="77777777" w:rsidR="00073BE7" w:rsidRPr="005C59D6" w:rsidRDefault="00073BE7" w:rsidP="001C26FC">
            <w:pPr>
              <w:pStyle w:val="NoSpacing"/>
              <w:rPr>
                <w:rFonts w:cstheme="minorHAnsi"/>
              </w:rPr>
            </w:pPr>
            <w:r w:rsidRPr="005C59D6">
              <w:rPr>
                <w:rFonts w:cstheme="minorHAnsi"/>
              </w:rPr>
              <w:t>588.92377(10)</w:t>
            </w:r>
          </w:p>
        </w:tc>
        <w:tc>
          <w:tcPr>
            <w:tcW w:w="0" w:type="auto"/>
            <w:hideMark/>
          </w:tcPr>
          <w:p w14:paraId="7A484D29" w14:textId="77777777" w:rsidR="00073BE7" w:rsidRPr="005C59D6" w:rsidRDefault="00073BE7" w:rsidP="001C26FC">
            <w:pPr>
              <w:pStyle w:val="NoSpacing"/>
              <w:rPr>
                <w:rFonts w:cstheme="minorHAnsi"/>
              </w:rPr>
            </w:pPr>
            <w:r w:rsidRPr="005C59D6">
              <w:rPr>
                <w:rFonts w:cstheme="minorHAnsi"/>
              </w:rPr>
              <w:t>−1.69</w:t>
            </w:r>
          </w:p>
        </w:tc>
        <w:tc>
          <w:tcPr>
            <w:tcW w:w="0" w:type="auto"/>
            <w:hideMark/>
          </w:tcPr>
          <w:p w14:paraId="42C51243" w14:textId="77777777" w:rsidR="00073BE7" w:rsidRPr="005C59D6" w:rsidRDefault="00073BE7" w:rsidP="001C26FC">
            <w:pPr>
              <w:pStyle w:val="NoSpacing"/>
              <w:rPr>
                <w:rFonts w:cstheme="minorHAnsi"/>
              </w:rPr>
            </w:pPr>
            <w:r w:rsidRPr="005C59D6">
              <w:rPr>
                <w:rFonts w:cstheme="minorHAnsi"/>
              </w:rPr>
              <w:t>|b| [Å]</w:t>
            </w:r>
          </w:p>
        </w:tc>
        <w:tc>
          <w:tcPr>
            <w:tcW w:w="0" w:type="auto"/>
            <w:hideMark/>
          </w:tcPr>
          <w:p w14:paraId="1D5A59A7" w14:textId="77777777" w:rsidR="00073BE7" w:rsidRPr="005C59D6" w:rsidRDefault="00073BE7" w:rsidP="001C26FC">
            <w:pPr>
              <w:pStyle w:val="NoSpacing"/>
              <w:rPr>
                <w:rFonts w:cstheme="minorHAnsi"/>
              </w:rPr>
            </w:pPr>
            <w:r w:rsidRPr="005C59D6">
              <w:rPr>
                <w:rFonts w:cstheme="minorHAnsi"/>
              </w:rPr>
              <w:t>2.395</w:t>
            </w:r>
          </w:p>
        </w:tc>
        <w:tc>
          <w:tcPr>
            <w:tcW w:w="0" w:type="auto"/>
            <w:hideMark/>
          </w:tcPr>
          <w:p w14:paraId="2E2E0FD2" w14:textId="77777777" w:rsidR="00073BE7" w:rsidRPr="005C59D6" w:rsidRDefault="00073BE7" w:rsidP="001C26FC">
            <w:pPr>
              <w:pStyle w:val="NoSpacing"/>
              <w:rPr>
                <w:rFonts w:cstheme="minorHAnsi"/>
              </w:rPr>
            </w:pPr>
            <w:r w:rsidRPr="005C59D6">
              <w:rPr>
                <w:rFonts w:cstheme="minorHAnsi"/>
              </w:rPr>
              <w:t>2.349</w:t>
            </w:r>
          </w:p>
        </w:tc>
        <w:tc>
          <w:tcPr>
            <w:tcW w:w="0" w:type="auto"/>
            <w:hideMark/>
          </w:tcPr>
          <w:p w14:paraId="3821AEF3" w14:textId="77777777" w:rsidR="00073BE7" w:rsidRPr="005C59D6" w:rsidRDefault="00073BE7" w:rsidP="001C26FC">
            <w:pPr>
              <w:pStyle w:val="NoSpacing"/>
              <w:rPr>
                <w:rFonts w:cstheme="minorHAnsi"/>
              </w:rPr>
            </w:pPr>
            <w:r w:rsidRPr="005C59D6">
              <w:rPr>
                <w:rFonts w:cstheme="minorHAnsi"/>
              </w:rPr>
              <w:t>1.408</w:t>
            </w:r>
          </w:p>
        </w:tc>
        <w:tc>
          <w:tcPr>
            <w:tcW w:w="0" w:type="auto"/>
            <w:hideMark/>
          </w:tcPr>
          <w:p w14:paraId="7F417AF0" w14:textId="77777777" w:rsidR="00073BE7" w:rsidRPr="005C59D6" w:rsidRDefault="00073BE7" w:rsidP="001C26FC">
            <w:pPr>
              <w:pStyle w:val="NoSpacing"/>
              <w:rPr>
                <w:rFonts w:cstheme="minorHAnsi"/>
              </w:rPr>
            </w:pPr>
            <w:r w:rsidRPr="005C59D6">
              <w:rPr>
                <w:rFonts w:cstheme="minorHAnsi"/>
              </w:rPr>
              <w:t>1.352</w:t>
            </w:r>
          </w:p>
        </w:tc>
      </w:tr>
      <w:tr w:rsidR="005C59D6" w:rsidRPr="005C59D6" w14:paraId="672D40B2" w14:textId="77777777" w:rsidTr="00A11CC1">
        <w:tc>
          <w:tcPr>
            <w:tcW w:w="0" w:type="auto"/>
            <w:hideMark/>
          </w:tcPr>
          <w:p w14:paraId="06CE214E" w14:textId="77777777" w:rsidR="00073BE7" w:rsidRPr="005C59D6" w:rsidRDefault="00073BE7" w:rsidP="001C26FC">
            <w:pPr>
              <w:pStyle w:val="NoSpacing"/>
              <w:rPr>
                <w:rFonts w:cstheme="minorHAnsi"/>
              </w:rPr>
            </w:pPr>
          </w:p>
        </w:tc>
        <w:tc>
          <w:tcPr>
            <w:tcW w:w="1001" w:type="dxa"/>
            <w:hideMark/>
          </w:tcPr>
          <w:p w14:paraId="2CE0604A" w14:textId="77777777" w:rsidR="00073BE7" w:rsidRPr="005C59D6" w:rsidRDefault="00073BE7" w:rsidP="001C26FC">
            <w:pPr>
              <w:pStyle w:val="NoSpacing"/>
              <w:rPr>
                <w:rFonts w:cstheme="minorHAnsi"/>
              </w:rPr>
            </w:pPr>
          </w:p>
        </w:tc>
        <w:tc>
          <w:tcPr>
            <w:tcW w:w="1739" w:type="dxa"/>
            <w:hideMark/>
          </w:tcPr>
          <w:p w14:paraId="36DABE24" w14:textId="77777777" w:rsidR="00073BE7" w:rsidRPr="005C59D6" w:rsidRDefault="00073BE7" w:rsidP="001C26FC">
            <w:pPr>
              <w:pStyle w:val="NoSpacing"/>
              <w:rPr>
                <w:rFonts w:cstheme="minorHAnsi"/>
              </w:rPr>
            </w:pPr>
            <w:r w:rsidRPr="005C59D6">
              <w:rPr>
                <w:rFonts w:cstheme="minorHAnsi"/>
              </w:rPr>
              <w:t>C [MHz]</w:t>
            </w:r>
          </w:p>
        </w:tc>
        <w:tc>
          <w:tcPr>
            <w:tcW w:w="0" w:type="auto"/>
            <w:hideMark/>
          </w:tcPr>
          <w:p w14:paraId="00BD3AF5" w14:textId="77777777" w:rsidR="00073BE7" w:rsidRPr="005C59D6" w:rsidRDefault="00073BE7" w:rsidP="001C26FC">
            <w:pPr>
              <w:pStyle w:val="NoSpacing"/>
              <w:rPr>
                <w:rFonts w:cstheme="minorHAnsi"/>
              </w:rPr>
            </w:pPr>
            <w:r w:rsidRPr="005C59D6">
              <w:rPr>
                <w:rFonts w:cstheme="minorHAnsi"/>
              </w:rPr>
              <w:t>414.6116</w:t>
            </w:r>
          </w:p>
        </w:tc>
        <w:tc>
          <w:tcPr>
            <w:tcW w:w="0" w:type="auto"/>
            <w:hideMark/>
          </w:tcPr>
          <w:p w14:paraId="768B6E3E" w14:textId="77777777" w:rsidR="00073BE7" w:rsidRPr="005C59D6" w:rsidRDefault="00073BE7" w:rsidP="001C26FC">
            <w:pPr>
              <w:pStyle w:val="NoSpacing"/>
              <w:rPr>
                <w:rFonts w:cstheme="minorHAnsi"/>
              </w:rPr>
            </w:pPr>
            <w:r w:rsidRPr="005C59D6">
              <w:rPr>
                <w:rFonts w:cstheme="minorHAnsi"/>
              </w:rPr>
              <w:t>407.15502(10)</w:t>
            </w:r>
          </w:p>
        </w:tc>
        <w:tc>
          <w:tcPr>
            <w:tcW w:w="0" w:type="auto"/>
            <w:hideMark/>
          </w:tcPr>
          <w:p w14:paraId="5E1124ED" w14:textId="77777777" w:rsidR="00073BE7" w:rsidRPr="005C59D6" w:rsidRDefault="00073BE7" w:rsidP="001C26FC">
            <w:pPr>
              <w:pStyle w:val="NoSpacing"/>
              <w:rPr>
                <w:rFonts w:cstheme="minorHAnsi"/>
              </w:rPr>
            </w:pPr>
            <w:r w:rsidRPr="005C59D6">
              <w:rPr>
                <w:rFonts w:cstheme="minorHAnsi"/>
              </w:rPr>
              <w:t>−1.83</w:t>
            </w:r>
          </w:p>
        </w:tc>
        <w:tc>
          <w:tcPr>
            <w:tcW w:w="0" w:type="auto"/>
            <w:hideMark/>
          </w:tcPr>
          <w:p w14:paraId="52C28CC3" w14:textId="77777777" w:rsidR="00073BE7" w:rsidRPr="005C59D6" w:rsidRDefault="00073BE7" w:rsidP="001C26FC">
            <w:pPr>
              <w:pStyle w:val="NoSpacing"/>
              <w:rPr>
                <w:rFonts w:cstheme="minorHAnsi"/>
              </w:rPr>
            </w:pPr>
            <w:r w:rsidRPr="005C59D6">
              <w:rPr>
                <w:rFonts w:cstheme="minorHAnsi"/>
              </w:rPr>
              <w:t>|c| [Å]</w:t>
            </w:r>
          </w:p>
        </w:tc>
        <w:tc>
          <w:tcPr>
            <w:tcW w:w="0" w:type="auto"/>
            <w:hideMark/>
          </w:tcPr>
          <w:p w14:paraId="0C9EE790" w14:textId="77777777" w:rsidR="00073BE7" w:rsidRPr="005C59D6" w:rsidRDefault="00073BE7" w:rsidP="001C26FC">
            <w:pPr>
              <w:pStyle w:val="NoSpacing"/>
              <w:rPr>
                <w:rFonts w:cstheme="minorHAnsi"/>
              </w:rPr>
            </w:pPr>
            <w:r w:rsidRPr="005C59D6">
              <w:rPr>
                <w:rFonts w:cstheme="minorHAnsi"/>
              </w:rPr>
              <w:t>1.843</w:t>
            </w:r>
          </w:p>
        </w:tc>
        <w:tc>
          <w:tcPr>
            <w:tcW w:w="0" w:type="auto"/>
            <w:hideMark/>
          </w:tcPr>
          <w:p w14:paraId="4726472B" w14:textId="77777777" w:rsidR="00073BE7" w:rsidRPr="005C59D6" w:rsidRDefault="00073BE7" w:rsidP="001C26FC">
            <w:pPr>
              <w:pStyle w:val="NoSpacing"/>
              <w:rPr>
                <w:rFonts w:cstheme="minorHAnsi"/>
              </w:rPr>
            </w:pPr>
            <w:r w:rsidRPr="005C59D6">
              <w:rPr>
                <w:rFonts w:cstheme="minorHAnsi"/>
              </w:rPr>
              <w:t>1.850</w:t>
            </w:r>
          </w:p>
        </w:tc>
        <w:tc>
          <w:tcPr>
            <w:tcW w:w="0" w:type="auto"/>
            <w:hideMark/>
          </w:tcPr>
          <w:p w14:paraId="22851DE1" w14:textId="77777777" w:rsidR="00073BE7" w:rsidRPr="005C59D6" w:rsidRDefault="00073BE7" w:rsidP="001C26FC">
            <w:pPr>
              <w:pStyle w:val="NoSpacing"/>
              <w:rPr>
                <w:rFonts w:cstheme="minorHAnsi"/>
              </w:rPr>
            </w:pPr>
            <w:r w:rsidRPr="005C59D6">
              <w:rPr>
                <w:rFonts w:cstheme="minorHAnsi"/>
              </w:rPr>
              <w:t>1.744</w:t>
            </w:r>
          </w:p>
        </w:tc>
        <w:tc>
          <w:tcPr>
            <w:tcW w:w="0" w:type="auto"/>
            <w:hideMark/>
          </w:tcPr>
          <w:p w14:paraId="67D811BC" w14:textId="77777777" w:rsidR="00073BE7" w:rsidRPr="005C59D6" w:rsidRDefault="00073BE7" w:rsidP="001C26FC">
            <w:pPr>
              <w:pStyle w:val="NoSpacing"/>
              <w:rPr>
                <w:rFonts w:cstheme="minorHAnsi"/>
              </w:rPr>
            </w:pPr>
            <w:r w:rsidRPr="005C59D6">
              <w:rPr>
                <w:rFonts w:cstheme="minorHAnsi"/>
              </w:rPr>
              <w:t>1.697</w:t>
            </w:r>
          </w:p>
        </w:tc>
      </w:tr>
      <w:tr w:rsidR="005C59D6" w:rsidRPr="005C59D6" w14:paraId="18FC7232" w14:textId="77777777" w:rsidTr="00A11CC1">
        <w:tc>
          <w:tcPr>
            <w:tcW w:w="0" w:type="auto"/>
            <w:hideMark/>
          </w:tcPr>
          <w:p w14:paraId="4E17DFFA" w14:textId="77777777" w:rsidR="00073BE7" w:rsidRPr="005C59D6" w:rsidRDefault="00073BE7" w:rsidP="001C26FC">
            <w:pPr>
              <w:pStyle w:val="NoSpacing"/>
              <w:rPr>
                <w:rFonts w:cstheme="minorHAnsi"/>
              </w:rPr>
            </w:pPr>
          </w:p>
        </w:tc>
        <w:tc>
          <w:tcPr>
            <w:tcW w:w="1001" w:type="dxa"/>
            <w:hideMark/>
          </w:tcPr>
          <w:p w14:paraId="04F86891" w14:textId="77777777" w:rsidR="00073BE7" w:rsidRPr="005C59D6" w:rsidRDefault="00073BE7" w:rsidP="001C26FC">
            <w:pPr>
              <w:pStyle w:val="NoSpacing"/>
              <w:rPr>
                <w:rFonts w:cstheme="minorHAnsi"/>
              </w:rPr>
            </w:pPr>
            <w:r w:rsidRPr="005C59D6">
              <w:rPr>
                <w:rFonts w:cstheme="minorHAnsi"/>
              </w:rPr>
              <w:t>Isomer 2</w:t>
            </w:r>
          </w:p>
        </w:tc>
        <w:tc>
          <w:tcPr>
            <w:tcW w:w="1739" w:type="dxa"/>
            <w:hideMark/>
          </w:tcPr>
          <w:p w14:paraId="48D047FC" w14:textId="77777777" w:rsidR="00073BE7" w:rsidRPr="005C59D6" w:rsidRDefault="00073BE7" w:rsidP="001C26FC">
            <w:pPr>
              <w:pStyle w:val="NoSpacing"/>
              <w:rPr>
                <w:rFonts w:cstheme="minorHAnsi"/>
              </w:rPr>
            </w:pPr>
            <w:r w:rsidRPr="005C59D6">
              <w:rPr>
                <w:rFonts w:cstheme="minorHAnsi"/>
              </w:rPr>
              <w:t>A [MHz]</w:t>
            </w:r>
          </w:p>
        </w:tc>
        <w:tc>
          <w:tcPr>
            <w:tcW w:w="0" w:type="auto"/>
            <w:hideMark/>
          </w:tcPr>
          <w:p w14:paraId="7966690F" w14:textId="77777777" w:rsidR="00073BE7" w:rsidRPr="005C59D6" w:rsidRDefault="00073BE7" w:rsidP="001C26FC">
            <w:pPr>
              <w:pStyle w:val="NoSpacing"/>
              <w:rPr>
                <w:rFonts w:cstheme="minorHAnsi"/>
              </w:rPr>
            </w:pPr>
            <w:r w:rsidRPr="005C59D6">
              <w:rPr>
                <w:rFonts w:cstheme="minorHAnsi"/>
              </w:rPr>
              <w:t>799.1322</w:t>
            </w:r>
          </w:p>
        </w:tc>
        <w:tc>
          <w:tcPr>
            <w:tcW w:w="0" w:type="auto"/>
            <w:hideMark/>
          </w:tcPr>
          <w:p w14:paraId="68D94E78" w14:textId="77777777" w:rsidR="00073BE7" w:rsidRPr="005C59D6" w:rsidRDefault="00073BE7" w:rsidP="001C26FC">
            <w:pPr>
              <w:pStyle w:val="NoSpacing"/>
              <w:rPr>
                <w:rFonts w:cstheme="minorHAnsi"/>
              </w:rPr>
            </w:pPr>
            <w:r w:rsidRPr="005C59D6">
              <w:rPr>
                <w:rFonts w:cstheme="minorHAnsi"/>
              </w:rPr>
              <w:t>802.90592(21)</w:t>
            </w:r>
          </w:p>
        </w:tc>
        <w:tc>
          <w:tcPr>
            <w:tcW w:w="0" w:type="auto"/>
            <w:hideMark/>
          </w:tcPr>
          <w:p w14:paraId="73A452B1" w14:textId="77777777" w:rsidR="00073BE7" w:rsidRPr="005C59D6" w:rsidRDefault="00073BE7" w:rsidP="001C26FC">
            <w:pPr>
              <w:pStyle w:val="NoSpacing"/>
              <w:rPr>
                <w:rFonts w:cstheme="minorHAnsi"/>
              </w:rPr>
            </w:pPr>
            <w:r w:rsidRPr="005C59D6">
              <w:rPr>
                <w:rFonts w:cstheme="minorHAnsi"/>
              </w:rPr>
              <w:t>+0.47</w:t>
            </w:r>
          </w:p>
        </w:tc>
        <w:tc>
          <w:tcPr>
            <w:tcW w:w="0" w:type="auto"/>
            <w:hideMark/>
          </w:tcPr>
          <w:p w14:paraId="02054F3C" w14:textId="77777777" w:rsidR="00073BE7" w:rsidRPr="005C59D6" w:rsidRDefault="00073BE7" w:rsidP="001C26FC">
            <w:pPr>
              <w:pStyle w:val="NoSpacing"/>
              <w:rPr>
                <w:rFonts w:cstheme="minorHAnsi"/>
              </w:rPr>
            </w:pPr>
            <w:r w:rsidRPr="005C59D6">
              <w:rPr>
                <w:rFonts w:cstheme="minorHAnsi"/>
              </w:rPr>
              <w:t>|a| [Å]</w:t>
            </w:r>
          </w:p>
        </w:tc>
        <w:tc>
          <w:tcPr>
            <w:tcW w:w="0" w:type="auto"/>
            <w:hideMark/>
          </w:tcPr>
          <w:p w14:paraId="20BD58E3" w14:textId="77777777" w:rsidR="00073BE7" w:rsidRPr="005C59D6" w:rsidRDefault="00073BE7" w:rsidP="001C26FC">
            <w:pPr>
              <w:pStyle w:val="NoSpacing"/>
              <w:rPr>
                <w:rFonts w:cstheme="minorHAnsi"/>
              </w:rPr>
            </w:pPr>
            <w:r w:rsidRPr="005C59D6">
              <w:rPr>
                <w:rFonts w:cstheme="minorHAnsi"/>
              </w:rPr>
              <w:t>0.262</w:t>
            </w:r>
          </w:p>
        </w:tc>
        <w:tc>
          <w:tcPr>
            <w:tcW w:w="0" w:type="auto"/>
            <w:hideMark/>
          </w:tcPr>
          <w:p w14:paraId="1B07B6C4" w14:textId="77777777" w:rsidR="00073BE7" w:rsidRPr="005C59D6" w:rsidRDefault="00073BE7" w:rsidP="001C26FC">
            <w:pPr>
              <w:pStyle w:val="NoSpacing"/>
              <w:rPr>
                <w:rFonts w:cstheme="minorHAnsi"/>
              </w:rPr>
            </w:pPr>
            <w:r w:rsidRPr="005C59D6">
              <w:rPr>
                <w:rFonts w:cstheme="minorHAnsi"/>
              </w:rPr>
              <w:t>[0]</w:t>
            </w:r>
            <w:r w:rsidRPr="005C59D6">
              <w:rPr>
                <w:rFonts w:cstheme="minorHAnsi"/>
                <w:vertAlign w:val="superscript"/>
              </w:rPr>
              <w:t>[c]</w:t>
            </w:r>
          </w:p>
        </w:tc>
        <w:tc>
          <w:tcPr>
            <w:tcW w:w="0" w:type="auto"/>
            <w:hideMark/>
          </w:tcPr>
          <w:p w14:paraId="11FB2D76" w14:textId="77777777" w:rsidR="00073BE7" w:rsidRPr="005C59D6" w:rsidRDefault="00073BE7" w:rsidP="001C26FC">
            <w:pPr>
              <w:pStyle w:val="NoSpacing"/>
              <w:rPr>
                <w:rFonts w:cstheme="minorHAnsi"/>
              </w:rPr>
            </w:pPr>
            <w:r w:rsidRPr="005C59D6">
              <w:rPr>
                <w:rFonts w:cstheme="minorHAnsi"/>
              </w:rPr>
              <w:t>1.901</w:t>
            </w:r>
          </w:p>
        </w:tc>
        <w:tc>
          <w:tcPr>
            <w:tcW w:w="0" w:type="auto"/>
            <w:hideMark/>
          </w:tcPr>
          <w:p w14:paraId="6C0BBA71" w14:textId="77777777" w:rsidR="00073BE7" w:rsidRPr="005C59D6" w:rsidRDefault="00073BE7" w:rsidP="001C26FC">
            <w:pPr>
              <w:pStyle w:val="NoSpacing"/>
              <w:rPr>
                <w:rFonts w:cstheme="minorHAnsi"/>
              </w:rPr>
            </w:pPr>
            <w:r w:rsidRPr="005C59D6">
              <w:rPr>
                <w:rFonts w:cstheme="minorHAnsi"/>
              </w:rPr>
              <w:t>2.334</w:t>
            </w:r>
          </w:p>
        </w:tc>
      </w:tr>
      <w:tr w:rsidR="005C59D6" w:rsidRPr="005C59D6" w14:paraId="7BE9F859" w14:textId="77777777" w:rsidTr="00A11CC1">
        <w:tc>
          <w:tcPr>
            <w:tcW w:w="0" w:type="auto"/>
            <w:hideMark/>
          </w:tcPr>
          <w:p w14:paraId="27B5A66E" w14:textId="77777777" w:rsidR="00073BE7" w:rsidRPr="005C59D6" w:rsidRDefault="00073BE7" w:rsidP="001C26FC">
            <w:pPr>
              <w:pStyle w:val="NoSpacing"/>
              <w:rPr>
                <w:rFonts w:cstheme="minorHAnsi"/>
              </w:rPr>
            </w:pPr>
          </w:p>
        </w:tc>
        <w:tc>
          <w:tcPr>
            <w:tcW w:w="1001" w:type="dxa"/>
            <w:hideMark/>
          </w:tcPr>
          <w:p w14:paraId="7EBEA1A0" w14:textId="77777777" w:rsidR="00073BE7" w:rsidRPr="005C59D6" w:rsidRDefault="00073BE7" w:rsidP="001C26FC">
            <w:pPr>
              <w:pStyle w:val="NoSpacing"/>
              <w:rPr>
                <w:rFonts w:cstheme="minorHAnsi"/>
              </w:rPr>
            </w:pPr>
          </w:p>
        </w:tc>
        <w:tc>
          <w:tcPr>
            <w:tcW w:w="1739" w:type="dxa"/>
            <w:hideMark/>
          </w:tcPr>
          <w:p w14:paraId="724B64E4" w14:textId="77777777" w:rsidR="00073BE7" w:rsidRPr="005C59D6" w:rsidRDefault="00073BE7" w:rsidP="001C26FC">
            <w:pPr>
              <w:pStyle w:val="NoSpacing"/>
              <w:rPr>
                <w:rFonts w:cstheme="minorHAnsi"/>
              </w:rPr>
            </w:pPr>
            <w:r w:rsidRPr="005C59D6">
              <w:rPr>
                <w:rFonts w:cstheme="minorHAnsi"/>
              </w:rPr>
              <w:t>B [MHz]</w:t>
            </w:r>
          </w:p>
        </w:tc>
        <w:tc>
          <w:tcPr>
            <w:tcW w:w="0" w:type="auto"/>
            <w:hideMark/>
          </w:tcPr>
          <w:p w14:paraId="516A8313" w14:textId="77777777" w:rsidR="00073BE7" w:rsidRPr="005C59D6" w:rsidRDefault="00073BE7" w:rsidP="001C26FC">
            <w:pPr>
              <w:pStyle w:val="NoSpacing"/>
              <w:rPr>
                <w:rFonts w:cstheme="minorHAnsi"/>
              </w:rPr>
            </w:pPr>
            <w:r w:rsidRPr="005C59D6">
              <w:rPr>
                <w:rFonts w:cstheme="minorHAnsi"/>
              </w:rPr>
              <w:t>481.4207</w:t>
            </w:r>
          </w:p>
        </w:tc>
        <w:tc>
          <w:tcPr>
            <w:tcW w:w="0" w:type="auto"/>
            <w:hideMark/>
          </w:tcPr>
          <w:p w14:paraId="7E3360AA" w14:textId="77777777" w:rsidR="00073BE7" w:rsidRPr="005C59D6" w:rsidRDefault="00073BE7" w:rsidP="001C26FC">
            <w:pPr>
              <w:pStyle w:val="NoSpacing"/>
              <w:rPr>
                <w:rFonts w:cstheme="minorHAnsi"/>
              </w:rPr>
            </w:pPr>
            <w:r w:rsidRPr="005C59D6">
              <w:rPr>
                <w:rFonts w:cstheme="minorHAnsi"/>
              </w:rPr>
              <w:t>468.04195(15)</w:t>
            </w:r>
          </w:p>
        </w:tc>
        <w:tc>
          <w:tcPr>
            <w:tcW w:w="0" w:type="auto"/>
            <w:hideMark/>
          </w:tcPr>
          <w:p w14:paraId="14106820" w14:textId="77777777" w:rsidR="00073BE7" w:rsidRPr="005C59D6" w:rsidRDefault="00073BE7" w:rsidP="001C26FC">
            <w:pPr>
              <w:pStyle w:val="NoSpacing"/>
              <w:rPr>
                <w:rFonts w:cstheme="minorHAnsi"/>
              </w:rPr>
            </w:pPr>
            <w:r w:rsidRPr="005C59D6">
              <w:rPr>
                <w:rFonts w:cstheme="minorHAnsi"/>
              </w:rPr>
              <w:t>−2.86</w:t>
            </w:r>
          </w:p>
        </w:tc>
        <w:tc>
          <w:tcPr>
            <w:tcW w:w="0" w:type="auto"/>
            <w:hideMark/>
          </w:tcPr>
          <w:p w14:paraId="54774B98" w14:textId="77777777" w:rsidR="00073BE7" w:rsidRPr="005C59D6" w:rsidRDefault="00073BE7" w:rsidP="001C26FC">
            <w:pPr>
              <w:pStyle w:val="NoSpacing"/>
              <w:rPr>
                <w:rFonts w:cstheme="minorHAnsi"/>
              </w:rPr>
            </w:pPr>
            <w:r w:rsidRPr="005C59D6">
              <w:rPr>
                <w:rFonts w:cstheme="minorHAnsi"/>
              </w:rPr>
              <w:t>|b| [Å]</w:t>
            </w:r>
          </w:p>
        </w:tc>
        <w:tc>
          <w:tcPr>
            <w:tcW w:w="0" w:type="auto"/>
            <w:hideMark/>
          </w:tcPr>
          <w:p w14:paraId="7F9BFA5B" w14:textId="77777777" w:rsidR="00073BE7" w:rsidRPr="005C59D6" w:rsidRDefault="00073BE7" w:rsidP="001C26FC">
            <w:pPr>
              <w:pStyle w:val="NoSpacing"/>
              <w:rPr>
                <w:rFonts w:cstheme="minorHAnsi"/>
              </w:rPr>
            </w:pPr>
            <w:r w:rsidRPr="005C59D6">
              <w:rPr>
                <w:rFonts w:cstheme="minorHAnsi"/>
              </w:rPr>
              <w:t>1.546</w:t>
            </w:r>
          </w:p>
        </w:tc>
        <w:tc>
          <w:tcPr>
            <w:tcW w:w="0" w:type="auto"/>
            <w:hideMark/>
          </w:tcPr>
          <w:p w14:paraId="1DE063BB" w14:textId="77777777" w:rsidR="00073BE7" w:rsidRPr="005C59D6" w:rsidRDefault="00073BE7" w:rsidP="001C26FC">
            <w:pPr>
              <w:pStyle w:val="NoSpacing"/>
              <w:rPr>
                <w:rFonts w:cstheme="minorHAnsi"/>
              </w:rPr>
            </w:pPr>
            <w:r w:rsidRPr="005C59D6">
              <w:rPr>
                <w:rFonts w:cstheme="minorHAnsi"/>
              </w:rPr>
              <w:t>1.533</w:t>
            </w:r>
          </w:p>
        </w:tc>
        <w:tc>
          <w:tcPr>
            <w:tcW w:w="0" w:type="auto"/>
            <w:hideMark/>
          </w:tcPr>
          <w:p w14:paraId="445EBB59" w14:textId="77777777" w:rsidR="00073BE7" w:rsidRPr="005C59D6" w:rsidRDefault="00073BE7" w:rsidP="001C26FC">
            <w:pPr>
              <w:pStyle w:val="NoSpacing"/>
              <w:rPr>
                <w:rFonts w:cstheme="minorHAnsi"/>
              </w:rPr>
            </w:pPr>
            <w:r w:rsidRPr="005C59D6">
              <w:rPr>
                <w:rFonts w:cstheme="minorHAnsi"/>
              </w:rPr>
              <w:t>2.156</w:t>
            </w:r>
          </w:p>
        </w:tc>
        <w:tc>
          <w:tcPr>
            <w:tcW w:w="0" w:type="auto"/>
            <w:hideMark/>
          </w:tcPr>
          <w:p w14:paraId="01462AF0" w14:textId="77777777" w:rsidR="00073BE7" w:rsidRPr="005C59D6" w:rsidRDefault="00073BE7" w:rsidP="001C26FC">
            <w:pPr>
              <w:pStyle w:val="NoSpacing"/>
              <w:rPr>
                <w:rFonts w:cstheme="minorHAnsi"/>
              </w:rPr>
            </w:pPr>
            <w:r w:rsidRPr="005C59D6">
              <w:rPr>
                <w:rFonts w:cstheme="minorHAnsi"/>
              </w:rPr>
              <w:t>2.020</w:t>
            </w:r>
          </w:p>
        </w:tc>
      </w:tr>
      <w:tr w:rsidR="005C59D6" w:rsidRPr="005C59D6" w14:paraId="144FC497" w14:textId="77777777" w:rsidTr="00A11CC1">
        <w:tc>
          <w:tcPr>
            <w:tcW w:w="0" w:type="auto"/>
            <w:hideMark/>
          </w:tcPr>
          <w:p w14:paraId="59E97341" w14:textId="77777777" w:rsidR="00073BE7" w:rsidRPr="005C59D6" w:rsidRDefault="00073BE7" w:rsidP="001C26FC">
            <w:pPr>
              <w:pStyle w:val="NoSpacing"/>
              <w:rPr>
                <w:rFonts w:cstheme="minorHAnsi"/>
              </w:rPr>
            </w:pPr>
          </w:p>
        </w:tc>
        <w:tc>
          <w:tcPr>
            <w:tcW w:w="1001" w:type="dxa"/>
            <w:hideMark/>
          </w:tcPr>
          <w:p w14:paraId="6BF772D5" w14:textId="77777777" w:rsidR="00073BE7" w:rsidRPr="005C59D6" w:rsidRDefault="00073BE7" w:rsidP="001C26FC">
            <w:pPr>
              <w:pStyle w:val="NoSpacing"/>
              <w:rPr>
                <w:rFonts w:cstheme="minorHAnsi"/>
              </w:rPr>
            </w:pPr>
          </w:p>
        </w:tc>
        <w:tc>
          <w:tcPr>
            <w:tcW w:w="1739" w:type="dxa"/>
            <w:hideMark/>
          </w:tcPr>
          <w:p w14:paraId="0EFD36A4" w14:textId="77777777" w:rsidR="00073BE7" w:rsidRPr="005C59D6" w:rsidRDefault="00073BE7" w:rsidP="001C26FC">
            <w:pPr>
              <w:pStyle w:val="NoSpacing"/>
              <w:rPr>
                <w:rFonts w:cstheme="minorHAnsi"/>
              </w:rPr>
            </w:pPr>
            <w:r w:rsidRPr="005C59D6">
              <w:rPr>
                <w:rFonts w:cstheme="minorHAnsi"/>
              </w:rPr>
              <w:t>C [MHz]</w:t>
            </w:r>
          </w:p>
        </w:tc>
        <w:tc>
          <w:tcPr>
            <w:tcW w:w="0" w:type="auto"/>
            <w:hideMark/>
          </w:tcPr>
          <w:p w14:paraId="2325DC5D" w14:textId="77777777" w:rsidR="00073BE7" w:rsidRPr="005C59D6" w:rsidRDefault="00073BE7" w:rsidP="001C26FC">
            <w:pPr>
              <w:pStyle w:val="NoSpacing"/>
              <w:rPr>
                <w:rFonts w:cstheme="minorHAnsi"/>
              </w:rPr>
            </w:pPr>
            <w:r w:rsidRPr="005C59D6">
              <w:rPr>
                <w:rFonts w:cstheme="minorHAnsi"/>
              </w:rPr>
              <w:t>333.0144</w:t>
            </w:r>
          </w:p>
        </w:tc>
        <w:tc>
          <w:tcPr>
            <w:tcW w:w="0" w:type="auto"/>
            <w:hideMark/>
          </w:tcPr>
          <w:p w14:paraId="7E83AAC2" w14:textId="77777777" w:rsidR="00073BE7" w:rsidRPr="005C59D6" w:rsidRDefault="00073BE7" w:rsidP="001C26FC">
            <w:pPr>
              <w:pStyle w:val="NoSpacing"/>
              <w:rPr>
                <w:rFonts w:cstheme="minorHAnsi"/>
              </w:rPr>
            </w:pPr>
            <w:r w:rsidRPr="005C59D6">
              <w:rPr>
                <w:rFonts w:cstheme="minorHAnsi"/>
              </w:rPr>
              <w:t>326.033770(90)</w:t>
            </w:r>
          </w:p>
        </w:tc>
        <w:tc>
          <w:tcPr>
            <w:tcW w:w="0" w:type="auto"/>
            <w:hideMark/>
          </w:tcPr>
          <w:p w14:paraId="1C3ABF8D" w14:textId="77777777" w:rsidR="00073BE7" w:rsidRPr="005C59D6" w:rsidRDefault="00073BE7" w:rsidP="001C26FC">
            <w:pPr>
              <w:pStyle w:val="NoSpacing"/>
              <w:rPr>
                <w:rFonts w:cstheme="minorHAnsi"/>
              </w:rPr>
            </w:pPr>
            <w:r w:rsidRPr="005C59D6">
              <w:rPr>
                <w:rFonts w:cstheme="minorHAnsi"/>
              </w:rPr>
              <w:t>−2.14</w:t>
            </w:r>
          </w:p>
        </w:tc>
        <w:tc>
          <w:tcPr>
            <w:tcW w:w="0" w:type="auto"/>
            <w:hideMark/>
          </w:tcPr>
          <w:p w14:paraId="14D34D6E" w14:textId="77777777" w:rsidR="00073BE7" w:rsidRPr="005C59D6" w:rsidRDefault="00073BE7" w:rsidP="001C26FC">
            <w:pPr>
              <w:pStyle w:val="NoSpacing"/>
              <w:rPr>
                <w:rFonts w:cstheme="minorHAnsi"/>
              </w:rPr>
            </w:pPr>
            <w:r w:rsidRPr="005C59D6">
              <w:rPr>
                <w:rFonts w:cstheme="minorHAnsi"/>
              </w:rPr>
              <w:t>|c| [Å]</w:t>
            </w:r>
          </w:p>
        </w:tc>
        <w:tc>
          <w:tcPr>
            <w:tcW w:w="0" w:type="auto"/>
            <w:hideMark/>
          </w:tcPr>
          <w:p w14:paraId="094E3A33" w14:textId="77777777" w:rsidR="00073BE7" w:rsidRPr="005C59D6" w:rsidRDefault="00073BE7" w:rsidP="001C26FC">
            <w:pPr>
              <w:pStyle w:val="NoSpacing"/>
              <w:rPr>
                <w:rFonts w:cstheme="minorHAnsi"/>
              </w:rPr>
            </w:pPr>
            <w:r w:rsidRPr="005C59D6">
              <w:rPr>
                <w:rFonts w:cstheme="minorHAnsi"/>
              </w:rPr>
              <w:t>1.644</w:t>
            </w:r>
          </w:p>
        </w:tc>
        <w:tc>
          <w:tcPr>
            <w:tcW w:w="0" w:type="auto"/>
            <w:hideMark/>
          </w:tcPr>
          <w:p w14:paraId="191B63B6" w14:textId="77777777" w:rsidR="00073BE7" w:rsidRPr="005C59D6" w:rsidRDefault="00073BE7" w:rsidP="001C26FC">
            <w:pPr>
              <w:pStyle w:val="NoSpacing"/>
              <w:rPr>
                <w:rFonts w:cstheme="minorHAnsi"/>
              </w:rPr>
            </w:pPr>
            <w:r w:rsidRPr="005C59D6">
              <w:rPr>
                <w:rFonts w:cstheme="minorHAnsi"/>
              </w:rPr>
              <w:t>1.634</w:t>
            </w:r>
          </w:p>
        </w:tc>
        <w:tc>
          <w:tcPr>
            <w:tcW w:w="0" w:type="auto"/>
            <w:hideMark/>
          </w:tcPr>
          <w:p w14:paraId="4ACD04E6" w14:textId="77777777" w:rsidR="00073BE7" w:rsidRPr="005C59D6" w:rsidRDefault="00073BE7" w:rsidP="001C26FC">
            <w:pPr>
              <w:pStyle w:val="NoSpacing"/>
              <w:rPr>
                <w:rFonts w:cstheme="minorHAnsi"/>
              </w:rPr>
            </w:pPr>
            <w:r w:rsidRPr="005C59D6">
              <w:rPr>
                <w:rFonts w:cstheme="minorHAnsi"/>
              </w:rPr>
              <w:t>1.663</w:t>
            </w:r>
          </w:p>
        </w:tc>
        <w:tc>
          <w:tcPr>
            <w:tcW w:w="0" w:type="auto"/>
            <w:hideMark/>
          </w:tcPr>
          <w:p w14:paraId="3641C5D8" w14:textId="77777777" w:rsidR="00073BE7" w:rsidRPr="005C59D6" w:rsidRDefault="00073BE7" w:rsidP="001C26FC">
            <w:pPr>
              <w:pStyle w:val="NoSpacing"/>
              <w:rPr>
                <w:rFonts w:cstheme="minorHAnsi"/>
              </w:rPr>
            </w:pPr>
            <w:r w:rsidRPr="005C59D6">
              <w:rPr>
                <w:rFonts w:cstheme="minorHAnsi"/>
              </w:rPr>
              <w:t>1.644</w:t>
            </w:r>
          </w:p>
        </w:tc>
      </w:tr>
    </w:tbl>
    <w:p w14:paraId="53359585" w14:textId="77777777" w:rsidR="00073BE7" w:rsidRPr="001C26FC" w:rsidRDefault="00073BE7" w:rsidP="00A11CC1">
      <w:pPr>
        <w:pStyle w:val="NoSpacing"/>
        <w:rPr>
          <w:sz w:val="24"/>
          <w:szCs w:val="24"/>
        </w:rPr>
      </w:pPr>
      <w:r w:rsidRPr="001C26FC">
        <w:t xml:space="preserve">[a] The initial assignment of a calculated equilibrium geometry to an observed spectrum is made by comparing the experimental and theoretical rotational constants of the complex formed between the tag and the normal species of the analyte. The two highest intensity spectra are labelled Isomer 1 and Isomer 2. [b] The coordinates give the position of the hydrogen in the normal species chiral tag complex that undergoes deuterium substitution using the principal axis system for molecular rotation. Substitution </w:t>
      </w:r>
      <w:proofErr w:type="gramStart"/>
      <w:r w:rsidRPr="001C26FC">
        <w:t>at</w:t>
      </w:r>
      <w:proofErr w:type="gramEnd"/>
      <w:r w:rsidRPr="001C26FC">
        <w:t xml:space="preserve"> the two benzylic hydrogens will produce homochiral and heterochiral complexes, which can be differentiated by the position of the substituted hydrogen. The </w:t>
      </w:r>
      <w:proofErr w:type="spellStart"/>
      <w:r w:rsidRPr="001C26FC">
        <w:t>Kraitchman</w:t>
      </w:r>
      <w:proofErr w:type="spellEnd"/>
      <w:r w:rsidRPr="001C26FC">
        <w:t xml:space="preserve"> analysis only provides the magnitude of the coordinates so |a|, |b|, and |c| are the values reported. [c] The </w:t>
      </w:r>
      <w:proofErr w:type="spellStart"/>
      <w:r w:rsidRPr="001C26FC">
        <w:t>Kraitchman</w:t>
      </w:r>
      <w:proofErr w:type="spellEnd"/>
      <w:r w:rsidRPr="001C26FC">
        <w:t xml:space="preserve"> analysis assumes a rigid rotor molecule. Contributions from zero-point vibrational motion are present and can significantly affect the results when an atom coordinate is near zero. In these cases, the calculated atom coordinate squared is often a negative value. When this occurs, the coordinate is reported as [0] to denote a small coordinate where the position determination is dominated by the inertial defect from zero-point motion.</w:t>
      </w:r>
    </w:p>
    <w:p w14:paraId="34B124BE" w14:textId="77777777" w:rsidR="00A11CC1" w:rsidRDefault="00A11CC1" w:rsidP="00A11CC1">
      <w:pPr>
        <w:sectPr w:rsidR="00A11CC1" w:rsidSect="001C26FC">
          <w:pgSz w:w="15840" w:h="12240" w:orient="landscape"/>
          <w:pgMar w:top="1080" w:right="1080" w:bottom="1080" w:left="1080" w:header="720" w:footer="720" w:gutter="0"/>
          <w:cols w:space="720"/>
          <w:docGrid w:linePitch="360"/>
        </w:sectPr>
      </w:pPr>
    </w:p>
    <w:p w14:paraId="49B5DFCA" w14:textId="458C6774" w:rsidR="00073BE7" w:rsidRPr="00A11CC1" w:rsidRDefault="00073BE7" w:rsidP="00A11CC1">
      <w:r w:rsidRPr="00A11CC1">
        <w:t>The AC of ethylbenzene-</w:t>
      </w:r>
      <w:r w:rsidRPr="00A11CC1">
        <w:rPr>
          <w:i/>
          <w:iCs/>
        </w:rPr>
        <w:t>d1</w:t>
      </w:r>
      <w:r w:rsidRPr="00A11CC1">
        <w:t> is established in two steps as illustrated in Figure </w:t>
      </w:r>
      <w:r w:rsidRPr="00AA4CA8">
        <w:rPr>
          <w:rFonts w:cstheme="minorHAnsi"/>
          <w:b/>
          <w:bCs/>
        </w:rPr>
        <w:t>3</w:t>
      </w:r>
      <w:r w:rsidRPr="00A11CC1">
        <w:t>A, using a sample prepared by the Mosher route. The first measurement uses a racemic sample of the TFIP tag molecule to ensure that both homochiral and heterochiral complexes are formed regardless of the enantiopurity of the analyte. The homochiral and heterochiral designations use the Cahn-Ingold-Prelog labeling of the chiral centers in ethylbenzene-</w:t>
      </w:r>
      <w:r w:rsidRPr="00A11CC1">
        <w:rPr>
          <w:i/>
          <w:iCs/>
        </w:rPr>
        <w:t>d1</w:t>
      </w:r>
      <w:r w:rsidRPr="00A11CC1">
        <w:t> and TFIP. The ability to generate both diastereomers improves the confidence in assigning a spectrum to either the homochiral or heterochiral complex, as has been discussed for quantum chemistry-based diastereomer analysis by NMR spectroscopy.</w:t>
      </w:r>
      <w:r w:rsidRPr="00AA4CA8">
        <w:rPr>
          <w:rFonts w:cstheme="minorHAnsi"/>
          <w:vertAlign w:val="superscript"/>
        </w:rPr>
        <w:t>42</w:t>
      </w:r>
      <w:r w:rsidRPr="00A11CC1">
        <w:t> A comparison of the theoretical rotational spectra of the homochiral and heterochiral complexes and experiment is shown in Figure </w:t>
      </w:r>
      <w:r w:rsidRPr="00AA4CA8">
        <w:rPr>
          <w:rFonts w:cstheme="minorHAnsi"/>
          <w:b/>
          <w:bCs/>
        </w:rPr>
        <w:t>3</w:t>
      </w:r>
      <w:r w:rsidRPr="00A11CC1">
        <w:t xml:space="preserve">A. The spectrum prediction uses the equilibrium geometry from quantum chemistry to obtain the rotational constants of each diastereomer. The predictions for each </w:t>
      </w:r>
      <w:proofErr w:type="spellStart"/>
      <w:r w:rsidRPr="00A11CC1">
        <w:t>isotopomer</w:t>
      </w:r>
      <w:proofErr w:type="spellEnd"/>
      <w:r w:rsidRPr="00A11CC1">
        <w:t xml:space="preserve"> are significantly improved scaling its calculated rotational constants by the ratio of the experimental and theoretical rotational constants of the normal species complex. The theoretical predictions are a close match to the experimental spectra, facilitating the assignment of the spectra for the homochiral and heterochiral tag complexes. The spectrum fit results are presented in Supporting Information. Using the assigned spectra, the deuterium atom position can be determined using </w:t>
      </w:r>
      <w:proofErr w:type="spellStart"/>
      <w:r w:rsidRPr="00A11CC1">
        <w:t>Kraitchman's</w:t>
      </w:r>
      <w:proofErr w:type="spellEnd"/>
      <w:r w:rsidRPr="00A11CC1">
        <w:t xml:space="preserve"> method. </w:t>
      </w:r>
      <w:proofErr w:type="spellStart"/>
      <w:r w:rsidRPr="00A11CC1">
        <w:t>Kraitchman's</w:t>
      </w:r>
      <w:proofErr w:type="spellEnd"/>
      <w:r w:rsidRPr="00A11CC1">
        <w:t xml:space="preserve"> method assumes an isotopically invariant molecular geometry and zero-point vibrational effects in C−H and C−D bonds can be expected to give different average bond lengths. Experimental estimates show that the vibrationally averaged bond length differences are about 0.01 Å or less and are too small to affect the analysis conclusions.</w:t>
      </w:r>
      <w:r w:rsidRPr="00AA4CA8">
        <w:rPr>
          <w:rFonts w:cstheme="minorHAnsi"/>
          <w:vertAlign w:val="superscript"/>
        </w:rPr>
        <w:t>43</w:t>
      </w:r>
      <w:r w:rsidRPr="00A11CC1">
        <w:t> This structural information is reported in Table </w:t>
      </w:r>
      <w:r w:rsidRPr="00AA4CA8">
        <w:rPr>
          <w:rFonts w:cstheme="minorHAnsi"/>
          <w:b/>
          <w:bCs/>
        </w:rPr>
        <w:t>1</w:t>
      </w:r>
      <w:r w:rsidRPr="00A11CC1">
        <w:t> to support the identification of the homochiral and heterochiral chiral tag complexes. The results for the analysis of the second highest intensity spectrum of the ethylbenzene/TFIP complex are also reported in Figure </w:t>
      </w:r>
      <w:r w:rsidRPr="00AA4CA8">
        <w:rPr>
          <w:rFonts w:cstheme="minorHAnsi"/>
          <w:b/>
          <w:bCs/>
        </w:rPr>
        <w:t>3</w:t>
      </w:r>
      <w:r w:rsidRPr="00A11CC1">
        <w:t>A and in Table </w:t>
      </w:r>
      <w:r w:rsidRPr="00AA4CA8">
        <w:rPr>
          <w:rFonts w:cstheme="minorHAnsi"/>
          <w:b/>
          <w:bCs/>
        </w:rPr>
        <w:t>1</w:t>
      </w:r>
      <w:r w:rsidRPr="00A11CC1">
        <w:t> (Isomer 2).</w:t>
      </w:r>
    </w:p>
    <w:p w14:paraId="6157255E" w14:textId="60540C47" w:rsidR="00073BE7" w:rsidRPr="001C26FC" w:rsidRDefault="00073BE7" w:rsidP="00A11CC1">
      <w:pPr>
        <w:pStyle w:val="NoSpacing"/>
      </w:pPr>
      <w:r w:rsidRPr="001C26FC">
        <w:rPr>
          <w:noProof/>
        </w:rPr>
        <w:drawing>
          <wp:inline distT="0" distB="0" distL="0" distR="0" wp14:anchorId="7A8749C0" wp14:editId="36E52E99">
            <wp:extent cx="2295144" cy="2743200"/>
            <wp:effectExtent l="0" t="0" r="0" b="0"/>
            <wp:docPr id="621438376" name="Picture 6"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95144" cy="2743200"/>
                    </a:xfrm>
                    <a:prstGeom prst="rect">
                      <a:avLst/>
                    </a:prstGeom>
                    <a:noFill/>
                    <a:ln>
                      <a:noFill/>
                    </a:ln>
                  </pic:spPr>
                </pic:pic>
              </a:graphicData>
            </a:graphic>
          </wp:inline>
        </w:drawing>
      </w:r>
    </w:p>
    <w:p w14:paraId="3B1D973B" w14:textId="50D2AA9B" w:rsidR="00073BE7" w:rsidRPr="001C26FC" w:rsidRDefault="00073BE7" w:rsidP="00A11CC1">
      <w:pPr>
        <w:pStyle w:val="NoSpacing"/>
      </w:pPr>
      <w:r w:rsidRPr="001C26FC">
        <w:rPr>
          <w:rStyle w:val="Strong"/>
          <w:rFonts w:cstheme="minorHAnsi"/>
          <w:color w:val="212121"/>
        </w:rPr>
        <w:t>Figure 3</w:t>
      </w:r>
      <w:r w:rsidR="00A11CC1">
        <w:rPr>
          <w:rStyle w:val="Strong"/>
          <w:rFonts w:cstheme="minorHAnsi"/>
          <w:color w:val="212121"/>
        </w:rPr>
        <w:t xml:space="preserve"> </w:t>
      </w:r>
      <w:r w:rsidRPr="001C26FC">
        <w:t xml:space="preserve">This figure illustrates how high-confidence assignment of the absolute configuration of the </w:t>
      </w:r>
      <w:proofErr w:type="spellStart"/>
      <w:r w:rsidRPr="001C26FC">
        <w:t>enantioisotopomers</w:t>
      </w:r>
      <w:proofErr w:type="spellEnd"/>
      <w:r w:rsidRPr="001C26FC">
        <w:t xml:space="preserve"> is made using MRR spectroscopy. The results for the sample prepared using the Mosher synthetic route, designed to give (</w:t>
      </w:r>
      <w:r w:rsidRPr="001C26FC">
        <w:rPr>
          <w:i/>
          <w:iCs/>
        </w:rPr>
        <w:t>S</w:t>
      </w:r>
      <w:r w:rsidRPr="001C26FC">
        <w:t>)-ethylbenzene-</w:t>
      </w:r>
      <w:r w:rsidRPr="001C26FC">
        <w:rPr>
          <w:i/>
          <w:iCs/>
        </w:rPr>
        <w:t>d1</w:t>
      </w:r>
      <w:r w:rsidRPr="001C26FC">
        <w:t> in high enantiopurity, is shown in (A). The rotational spectra for the two diastereomer complexes of ethylbenzene-</w:t>
      </w:r>
      <w:r w:rsidRPr="001C26FC">
        <w:rPr>
          <w:i/>
          <w:iCs/>
        </w:rPr>
        <w:t>d1</w:t>
      </w:r>
      <w:r w:rsidRPr="001C26FC">
        <w:t> with (</w:t>
      </w:r>
      <w:r w:rsidRPr="001C26FC">
        <w:rPr>
          <w:i/>
          <w:iCs/>
        </w:rPr>
        <w:t>S</w:t>
      </w:r>
      <w:r w:rsidRPr="001C26FC">
        <w:t>)-TFIP are calculated using the quantum chemistry equilibrium geometry. The structures for these complexes indicating the position of the deuterium substitution are shown to the right of the spectra. The left side panel in (A) shows the spectrum prediction using the theoretical structure of Figure </w:t>
      </w:r>
      <w:r w:rsidRPr="00AA4CA8">
        <w:rPr>
          <w:rFonts w:cstheme="minorHAnsi"/>
          <w:b/>
          <w:bCs/>
        </w:rPr>
        <w:t>2</w:t>
      </w:r>
      <w:r w:rsidRPr="001C26FC">
        <w:t>. The right side gives the spectrum predictions using the structure assigned to the second highest intensity experimental spectrum (Isomer 2 of Table </w:t>
      </w:r>
      <w:r w:rsidRPr="00AA4CA8">
        <w:rPr>
          <w:rFonts w:cstheme="minorHAnsi"/>
          <w:b/>
          <w:bCs/>
        </w:rPr>
        <w:t>1</w:t>
      </w:r>
      <w:r w:rsidRPr="001C26FC">
        <w:t>). The bottom part of the spectrum compares the theoretical spectra (negative going transitions, color coded blue for homochiral and red for heterochiral) to the measurement using racemic TFIP. These figures show only a small portion of the overall rotational spectrum which is recorded over the 2–8 GHz frequency range. The transitions associated with the two monomers, TFIP and ethybenzene-</w:t>
      </w:r>
      <w:r w:rsidRPr="001C26FC">
        <w:rPr>
          <w:i/>
          <w:iCs/>
        </w:rPr>
        <w:t>d1</w:t>
      </w:r>
      <w:r w:rsidRPr="001C26FC">
        <w:t xml:space="preserve">, have been cut from the experimental spectra for clarity. Spectra showing the full 2–8 GHz frequency range highlighting the assignments of the diastereomers for Isomer 1 and Isomer 2 can be found in Supporting Information. The experimental spectra are assigned based on the patterns predicted using the quantum chemistry structures. The black spectrum is for the homochiral complex and green is for heterochiral. These determinations are validated by comparing the atom position of deuterium substitution from </w:t>
      </w:r>
      <w:proofErr w:type="spellStart"/>
      <w:r w:rsidRPr="001C26FC">
        <w:t>Kraitchman</w:t>
      </w:r>
      <w:proofErr w:type="spellEnd"/>
      <w:r w:rsidRPr="001C26FC">
        <w:t xml:space="preserve"> analysis to the position in the quantum chemistry structure as listed in Table </w:t>
      </w:r>
      <w:r w:rsidRPr="00AA4CA8">
        <w:rPr>
          <w:rFonts w:cstheme="minorHAnsi"/>
          <w:b/>
          <w:bCs/>
        </w:rPr>
        <w:t>1</w:t>
      </w:r>
      <w:r w:rsidRPr="001C26FC">
        <w:t>. Two isomers are analyzed to increase the confidence in the analysis. The top part of the spectrum shows the measurement using enantiopure (</w:t>
      </w:r>
      <w:r w:rsidRPr="001C26FC">
        <w:rPr>
          <w:i/>
          <w:iCs/>
        </w:rPr>
        <w:t>S</w:t>
      </w:r>
      <w:r w:rsidRPr="001C26FC">
        <w:t xml:space="preserve">)-TFIP (EE=99.4). This measurement is dominated by the spectrum of the homochiral complex for </w:t>
      </w:r>
      <w:proofErr w:type="gramStart"/>
      <w:r w:rsidRPr="001C26FC">
        <w:t>both chiral</w:t>
      </w:r>
      <w:proofErr w:type="gramEnd"/>
      <w:r w:rsidRPr="001C26FC">
        <w:t xml:space="preserve"> tag complex isomers confirming that the sample has high enantiopurity in (</w:t>
      </w:r>
      <w:r w:rsidRPr="001C26FC">
        <w:rPr>
          <w:i/>
          <w:iCs/>
        </w:rPr>
        <w:t>S</w:t>
      </w:r>
      <w:r w:rsidRPr="001C26FC">
        <w:t>)-ethylbezene-</w:t>
      </w:r>
      <w:r w:rsidRPr="001C26FC">
        <w:rPr>
          <w:i/>
          <w:iCs/>
        </w:rPr>
        <w:t>d1</w:t>
      </w:r>
      <w:r w:rsidRPr="001C26FC">
        <w:t>. The spectrum analyses for samples of 2-ethylnapthalene-</w:t>
      </w:r>
      <w:r w:rsidRPr="001C26FC">
        <w:rPr>
          <w:i/>
          <w:iCs/>
        </w:rPr>
        <w:t>d1</w:t>
      </w:r>
      <w:r w:rsidRPr="001C26FC">
        <w:t> and 3-phenyl-1-propanol-</w:t>
      </w:r>
      <w:r w:rsidRPr="001C26FC">
        <w:rPr>
          <w:i/>
          <w:iCs/>
        </w:rPr>
        <w:t>d1</w:t>
      </w:r>
      <w:r w:rsidRPr="001C26FC">
        <w:t xml:space="preserve"> prepared using the new catalytic method are shown in (B) and (C), respectively. For </w:t>
      </w:r>
      <w:proofErr w:type="spellStart"/>
      <w:r w:rsidRPr="001C26FC">
        <w:t>phenylpropanol</w:t>
      </w:r>
      <w:proofErr w:type="spellEnd"/>
      <w:r w:rsidRPr="001C26FC">
        <w:t>, the chiral tag is propylene oxide and the enantiopure tag measurement uses (</w:t>
      </w:r>
      <w:r w:rsidRPr="001C26FC">
        <w:rPr>
          <w:i/>
          <w:iCs/>
        </w:rPr>
        <w:t>S</w:t>
      </w:r>
      <w:r w:rsidRPr="001C26FC">
        <w:t>)-propylene oxide (EE=99.6). In both cases, the homochiral tag complex is dominant in the enantiopure tag measurement showing that these samples also have the (</w:t>
      </w:r>
      <w:r w:rsidRPr="001C26FC">
        <w:rPr>
          <w:i/>
          <w:iCs/>
        </w:rPr>
        <w:t>S</w:t>
      </w:r>
      <w:r w:rsidRPr="001C26FC">
        <w:t xml:space="preserve">)-configuration at the benzylic carbon and that the samples have high </w:t>
      </w:r>
      <w:proofErr w:type="gramStart"/>
      <w:r w:rsidRPr="001C26FC">
        <w:t>enantiopurity</w:t>
      </w:r>
      <w:proofErr w:type="gramEnd"/>
      <w:r w:rsidRPr="001C26FC">
        <w:t>.</w:t>
      </w:r>
    </w:p>
    <w:p w14:paraId="793F83BA" w14:textId="6687CFA6" w:rsidR="00073BE7" w:rsidRPr="00A11CC1" w:rsidRDefault="00073BE7" w:rsidP="00A11CC1">
      <w:r w:rsidRPr="00A11CC1">
        <w:t>The second measurement uses a high enantiopurity sample of (</w:t>
      </w:r>
      <w:r w:rsidRPr="00A11CC1">
        <w:rPr>
          <w:i/>
          <w:iCs/>
        </w:rPr>
        <w:t>S</w:t>
      </w:r>
      <w:r w:rsidRPr="00A11CC1">
        <w:t>)-TFIP (EE=99.4). The Mosher synthesis was designed to produce (</w:t>
      </w:r>
      <w:r w:rsidRPr="00A11CC1">
        <w:rPr>
          <w:i/>
          <w:iCs/>
        </w:rPr>
        <w:t>S</w:t>
      </w:r>
      <w:r w:rsidRPr="00A11CC1">
        <w:t>)-ethylbenzene-</w:t>
      </w:r>
      <w:r w:rsidRPr="00A11CC1">
        <w:rPr>
          <w:i/>
          <w:iCs/>
        </w:rPr>
        <w:t>d1</w:t>
      </w:r>
      <w:r w:rsidRPr="00A11CC1">
        <w:t> in high enantiopurity, so it is expected is that the homochiral spectra will be observed at higher signal levels. As seen in Figure </w:t>
      </w:r>
      <w:r w:rsidRPr="00AA4CA8">
        <w:rPr>
          <w:rFonts w:cstheme="minorHAnsi"/>
          <w:b/>
          <w:bCs/>
        </w:rPr>
        <w:t>3</w:t>
      </w:r>
      <w:r w:rsidRPr="00A11CC1">
        <w:t>A, this result is found for both isomers of the chiral tag complex. The full analysis, which includes precise structural information about the position of deuterium incorporation in two isomers of the chiral tag complexes to validate the quantum chemistry geometries (Table </w:t>
      </w:r>
      <w:r w:rsidRPr="00AA4CA8">
        <w:rPr>
          <w:rFonts w:cstheme="minorHAnsi"/>
          <w:b/>
          <w:bCs/>
        </w:rPr>
        <w:t>1</w:t>
      </w:r>
      <w:r w:rsidRPr="00A11CC1">
        <w:t>), provides a high-confidence assignment of the (</w:t>
      </w:r>
      <w:r w:rsidRPr="00A11CC1">
        <w:rPr>
          <w:i/>
          <w:iCs/>
        </w:rPr>
        <w:t>S</w:t>
      </w:r>
      <w:r w:rsidRPr="00A11CC1">
        <w:t>)-configuration in the Mosher ethylbenzene-</w:t>
      </w:r>
      <w:r w:rsidRPr="00A11CC1">
        <w:rPr>
          <w:i/>
          <w:iCs/>
        </w:rPr>
        <w:t>d1</w:t>
      </w:r>
      <w:r w:rsidRPr="00A11CC1">
        <w:t> sample.</w:t>
      </w:r>
    </w:p>
    <w:p w14:paraId="5E28364C" w14:textId="0A9D3251" w:rsidR="00073BE7" w:rsidRPr="00A11CC1" w:rsidRDefault="00073BE7" w:rsidP="00A11CC1">
      <w:r w:rsidRPr="00A11CC1">
        <w:t>The enantiomeric excess for ethylbenzene-</w:t>
      </w:r>
      <w:r w:rsidRPr="00A11CC1">
        <w:rPr>
          <w:i/>
          <w:iCs/>
        </w:rPr>
        <w:t>d1</w:t>
      </w:r>
      <w:r w:rsidRPr="00A11CC1">
        <w:t> is obtained from the ratio of the transition intensities for homochiral and heterochiral complexes. This method has been presented previously and so is only briefly described here.</w:t>
      </w:r>
      <w:r w:rsidRPr="00AA4CA8">
        <w:rPr>
          <w:rFonts w:cstheme="minorHAnsi"/>
          <w:vertAlign w:val="superscript"/>
        </w:rPr>
        <w:t>36</w:t>
      </w:r>
      <w:r w:rsidRPr="00A11CC1">
        <w:rPr>
          <w:vertAlign w:val="superscript"/>
        </w:rPr>
        <w:t>, </w:t>
      </w:r>
      <w:r w:rsidRPr="00AA4CA8">
        <w:rPr>
          <w:rFonts w:cstheme="minorHAnsi"/>
          <w:vertAlign w:val="superscript"/>
        </w:rPr>
        <w:t>38</w:t>
      </w:r>
      <w:r w:rsidRPr="00A11CC1">
        <w:t> The measurement uses transition intensities from the spectrum acquired using the racemic tag sample to correct for the instrument response. The normalized transition intensities in the homochiral spectrum are defined as:</w:t>
      </w:r>
    </w:p>
    <w:p w14:paraId="19B34FC0" w14:textId="5AA95B5B" w:rsidR="00A11CC1" w:rsidRPr="00FB51F6" w:rsidRDefault="009930B2" w:rsidP="00A11CC1">
      <w:pPr>
        <w:rPr>
          <w:sz w:val="32"/>
          <w:szCs w:val="32"/>
        </w:rPr>
      </w:pPr>
      <m:oMathPara>
        <m:oMath>
          <m:sSub>
            <m:sSubPr>
              <m:ctrlPr>
                <w:rPr>
                  <w:rFonts w:ascii="Cambria Math" w:hAnsi="Cambria Math"/>
                  <w:i/>
                  <w:sz w:val="32"/>
                  <w:szCs w:val="32"/>
                </w:rPr>
              </m:ctrlPr>
            </m:sSubPr>
            <m:e>
              <m:r>
                <w:rPr>
                  <w:rFonts w:ascii="Cambria Math" w:hAnsi="Cambria Math"/>
                  <w:sz w:val="32"/>
                  <w:szCs w:val="32"/>
                </w:rPr>
                <m:t>N</m:t>
              </m:r>
            </m:e>
            <m:sub>
              <m:r>
                <w:rPr>
                  <w:rFonts w:ascii="Cambria Math" w:hAnsi="Cambria Math"/>
                  <w:sz w:val="32"/>
                  <w:szCs w:val="32"/>
                </w:rPr>
                <m:t>Homochiral</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enantiopure tag</m:t>
                  </m:r>
                </m:sub>
              </m:sSub>
            </m:num>
            <m:den>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racemic tag</m:t>
                  </m:r>
                </m:sub>
              </m:sSub>
            </m:den>
          </m:f>
        </m:oMath>
      </m:oMathPara>
    </w:p>
    <w:p w14:paraId="76C615C7" w14:textId="2A44A035" w:rsidR="00073BE7" w:rsidRPr="00A11CC1" w:rsidRDefault="00073BE7" w:rsidP="00A11CC1">
      <w:r w:rsidRPr="00A11CC1">
        <w:t>with a similar definition for the normalized heterochiral transition intensities. From any pair of homochiral and heterochiral transitions, the signal ratio, R, is defined as:</w:t>
      </w:r>
    </w:p>
    <w:p w14:paraId="66F80730" w14:textId="524914E2" w:rsidR="00FB51F6" w:rsidRPr="00FB51F6" w:rsidRDefault="00FB51F6" w:rsidP="00A11CC1">
      <w:pPr>
        <w:rPr>
          <w:sz w:val="32"/>
          <w:szCs w:val="32"/>
        </w:rPr>
      </w:pPr>
      <m:oMathPara>
        <m:oMath>
          <m:r>
            <w:rPr>
              <w:rFonts w:ascii="Cambria Math" w:hAnsi="Cambria Math"/>
              <w:sz w:val="32"/>
              <w:szCs w:val="32"/>
            </w:rPr>
            <m:t>R=</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N</m:t>
                  </m:r>
                </m:e>
                <m:sub>
                  <m:r>
                    <w:rPr>
                      <w:rFonts w:ascii="Cambria Math" w:hAnsi="Cambria Math"/>
                      <w:sz w:val="32"/>
                      <w:szCs w:val="32"/>
                    </w:rPr>
                    <m:t>Homochiral</m:t>
                  </m:r>
                </m:sub>
              </m:sSub>
            </m:num>
            <m:den>
              <m:sSub>
                <m:sSubPr>
                  <m:ctrlPr>
                    <w:rPr>
                      <w:rFonts w:ascii="Cambria Math" w:hAnsi="Cambria Math"/>
                      <w:i/>
                      <w:sz w:val="32"/>
                      <w:szCs w:val="32"/>
                    </w:rPr>
                  </m:ctrlPr>
                </m:sSubPr>
                <m:e>
                  <m:r>
                    <w:rPr>
                      <w:rFonts w:ascii="Cambria Math" w:hAnsi="Cambria Math"/>
                      <w:sz w:val="32"/>
                      <w:szCs w:val="32"/>
                    </w:rPr>
                    <m:t>N</m:t>
                  </m:r>
                </m:e>
                <m:sub>
                  <m:r>
                    <w:rPr>
                      <w:rFonts w:ascii="Cambria Math" w:hAnsi="Cambria Math"/>
                      <w:sz w:val="32"/>
                      <w:szCs w:val="32"/>
                    </w:rPr>
                    <m:t>Heterochiral</m:t>
                  </m:r>
                </m:sub>
              </m:sSub>
            </m:den>
          </m:f>
        </m:oMath>
      </m:oMathPara>
    </w:p>
    <w:p w14:paraId="7E210978" w14:textId="4FDFBA8B" w:rsidR="00073BE7" w:rsidRPr="00A11CC1" w:rsidRDefault="00073BE7" w:rsidP="00A11CC1">
      <w:r w:rsidRPr="00A11CC1">
        <w:t>This ratio is used to determine the enantiomeric excess through the expression:</w:t>
      </w:r>
    </w:p>
    <w:p w14:paraId="420F65E6" w14:textId="3EC04D4B" w:rsidR="00FB51F6" w:rsidRPr="00FB51F6" w:rsidRDefault="009930B2" w:rsidP="00A11CC1">
      <w:pPr>
        <w:rPr>
          <w:sz w:val="32"/>
          <w:szCs w:val="32"/>
        </w:rPr>
      </w:pPr>
      <m:oMathPara>
        <m:oMath>
          <m:f>
            <m:fPr>
              <m:ctrlPr>
                <w:rPr>
                  <w:rFonts w:ascii="Cambria Math" w:hAnsi="Cambria Math"/>
                  <w:i/>
                  <w:sz w:val="32"/>
                  <w:szCs w:val="32"/>
                </w:rPr>
              </m:ctrlPr>
            </m:fPr>
            <m:num>
              <m:r>
                <w:rPr>
                  <w:rFonts w:ascii="Cambria Math" w:hAnsi="Cambria Math"/>
                  <w:sz w:val="32"/>
                  <w:szCs w:val="32"/>
                </w:rPr>
                <m:t>R-1</m:t>
              </m:r>
            </m:num>
            <m:den>
              <m:r>
                <w:rPr>
                  <w:rFonts w:ascii="Cambria Math" w:hAnsi="Cambria Math"/>
                  <w:sz w:val="32"/>
                  <w:szCs w:val="32"/>
                </w:rPr>
                <m:t>R+1</m:t>
              </m:r>
            </m:den>
          </m:f>
          <m:r>
            <w:rPr>
              <w:rFonts w:ascii="Cambria Math" w:hAnsi="Cambria Math"/>
              <w:sz w:val="32"/>
              <w:szCs w:val="32"/>
            </w:rPr>
            <m:t>=</m:t>
          </m:r>
          <m:d>
            <m:dPr>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ee</m:t>
                  </m:r>
                </m:e>
                <m:sub>
                  <m:r>
                    <w:rPr>
                      <w:rFonts w:ascii="Cambria Math" w:hAnsi="Cambria Math"/>
                      <w:sz w:val="32"/>
                      <w:szCs w:val="32"/>
                    </w:rPr>
                    <m:t>tag</m:t>
                  </m:r>
                </m:sub>
              </m:sSub>
            </m:e>
          </m:d>
          <m:d>
            <m:dPr>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ee</m:t>
                  </m:r>
                </m:e>
                <m:sub>
                  <m:r>
                    <w:rPr>
                      <w:rFonts w:ascii="Cambria Math" w:hAnsi="Cambria Math"/>
                      <w:sz w:val="32"/>
                      <w:szCs w:val="32"/>
                    </w:rPr>
                    <m:t>analyte</m:t>
                  </m:r>
                </m:sub>
              </m:sSub>
            </m:e>
          </m:d>
        </m:oMath>
      </m:oMathPara>
    </w:p>
    <w:p w14:paraId="547547EA" w14:textId="25C2ED1E" w:rsidR="00073BE7" w:rsidRPr="00A11CC1" w:rsidRDefault="00073BE7" w:rsidP="00A11CC1">
      <w:r w:rsidRPr="00A11CC1">
        <w:t>where </w:t>
      </w:r>
      <w:proofErr w:type="spellStart"/>
      <w:r w:rsidRPr="00A11CC1">
        <w:rPr>
          <w:i/>
          <w:iCs/>
        </w:rPr>
        <w:t>ee</w:t>
      </w:r>
      <w:proofErr w:type="spellEnd"/>
      <w:r w:rsidRPr="00A11CC1">
        <w:t> is the fractional enantiomeric excess for either tag or analyte (the usual percent enantiomeric excess, EE, is related to the fractional </w:t>
      </w:r>
      <w:proofErr w:type="spellStart"/>
      <w:r w:rsidRPr="00A11CC1">
        <w:rPr>
          <w:i/>
          <w:iCs/>
        </w:rPr>
        <w:t>ee</w:t>
      </w:r>
      <w:proofErr w:type="spellEnd"/>
      <w:r w:rsidRPr="00A11CC1">
        <w:t> through: EE=</w:t>
      </w:r>
      <w:r w:rsidRPr="00A11CC1">
        <w:rPr>
          <w:i/>
          <w:iCs/>
        </w:rPr>
        <w:t>ee</w:t>
      </w:r>
      <w:r w:rsidRPr="00A11CC1">
        <w:t>×100). The tag EE is known from separate calibration measurements. For EE determinations using broadband rotational spectra, the average value of the EE is determined from all possible pairs of strong transitions in the homochiral and heterochiral spectra. The standard deviation of </w:t>
      </w:r>
      <w:r w:rsidRPr="00A11CC1">
        <w:rPr>
          <w:i/>
          <w:iCs/>
        </w:rPr>
        <w:t>R</w:t>
      </w:r>
      <w:r w:rsidRPr="00A11CC1">
        <w:t> is used to estimate the measurement uncertainty via the standard error.</w:t>
      </w:r>
    </w:p>
    <w:p w14:paraId="3254B7A5" w14:textId="283E05F7" w:rsidR="00073BE7" w:rsidRPr="00A11CC1" w:rsidRDefault="00073BE7" w:rsidP="00A11CC1">
      <w:r w:rsidRPr="00A11CC1">
        <w:t>The EE determination method is validated using a sample prepared following the synthetic route of Christoffers and co-workers, where the EE was determined by a chiral derivatization NMR method.</w:t>
      </w:r>
      <w:r w:rsidRPr="00AA4CA8">
        <w:rPr>
          <w:rFonts w:cstheme="minorHAnsi"/>
          <w:vertAlign w:val="superscript"/>
        </w:rPr>
        <w:t>26</w:t>
      </w:r>
      <w:r w:rsidRPr="00A11CC1">
        <w:t> The chiral tag rotational spectroscopy measurement using this sample is shown in Figure </w:t>
      </w:r>
      <w:r w:rsidRPr="00AA4CA8">
        <w:rPr>
          <w:rFonts w:cstheme="minorHAnsi"/>
          <w:b/>
          <w:bCs/>
        </w:rPr>
        <w:t>4</w:t>
      </w:r>
      <w:r w:rsidRPr="00A11CC1">
        <w:t>A where a small spectral region of the enantiopure (</w:t>
      </w:r>
      <w:r w:rsidRPr="00A11CC1">
        <w:rPr>
          <w:i/>
          <w:iCs/>
        </w:rPr>
        <w:t>S</w:t>
      </w:r>
      <w:r w:rsidRPr="00A11CC1">
        <w:t xml:space="preserve">)-TFIP tag measurement is shown and compared to the result for the Mosher synthesis as well as the </w:t>
      </w:r>
      <w:proofErr w:type="spellStart"/>
      <w:r w:rsidRPr="00A11CC1">
        <w:t>CuH</w:t>
      </w:r>
      <w:proofErr w:type="spellEnd"/>
      <w:r w:rsidRPr="00A11CC1">
        <w:t xml:space="preserve"> synthesis discussed below. The key difference in these measurements is the observation of significant intensity in the heterochiral spectrum for the Christoffers sample, indicating a higher level of (</w:t>
      </w:r>
      <w:r w:rsidRPr="00A11CC1">
        <w:rPr>
          <w:i/>
          <w:iCs/>
        </w:rPr>
        <w:t>R</w:t>
      </w:r>
      <w:r w:rsidRPr="00A11CC1">
        <w:t>)-ethylbenzene-</w:t>
      </w:r>
      <w:r w:rsidRPr="00A11CC1">
        <w:rPr>
          <w:i/>
          <w:iCs/>
        </w:rPr>
        <w:t>d1</w:t>
      </w:r>
      <w:r w:rsidRPr="00A11CC1">
        <w:t>. A histogram of the EE determinations using all pairs of the 64 highest intensity transitions of the homochiral and heterochiral spectra is shown in Figure </w:t>
      </w:r>
      <w:r w:rsidRPr="00AA4CA8">
        <w:rPr>
          <w:rFonts w:cstheme="minorHAnsi"/>
          <w:b/>
          <w:bCs/>
        </w:rPr>
        <w:t>4</w:t>
      </w:r>
      <w:r w:rsidRPr="00A11CC1">
        <w:t>B. The chiral tag rotational spectroscopy result is EE=85.7(3), where the value in parenthesis is the 1σ standard error in the units of the last decimal place. The reproducibility of the method was tested by performing three separate measurements over different days with results: 85.7(3), 85.4(3), 85.5(2). These results are reported in Supporting Information.</w:t>
      </w:r>
    </w:p>
    <w:p w14:paraId="77161466" w14:textId="6D05C385" w:rsidR="00073BE7" w:rsidRPr="001C26FC" w:rsidRDefault="00073BE7" w:rsidP="00A11CC1">
      <w:pPr>
        <w:pStyle w:val="NoSpacing"/>
      </w:pPr>
      <w:r w:rsidRPr="001C26FC">
        <w:rPr>
          <w:noProof/>
        </w:rPr>
        <w:drawing>
          <wp:inline distT="0" distB="0" distL="0" distR="0" wp14:anchorId="6A7F617D" wp14:editId="5BA1E61D">
            <wp:extent cx="4762500" cy="1704340"/>
            <wp:effectExtent l="0" t="0" r="0" b="0"/>
            <wp:docPr id="53800277" name="Picture 2"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0" cy="1704340"/>
                    </a:xfrm>
                    <a:prstGeom prst="rect">
                      <a:avLst/>
                    </a:prstGeom>
                    <a:noFill/>
                    <a:ln>
                      <a:noFill/>
                    </a:ln>
                  </pic:spPr>
                </pic:pic>
              </a:graphicData>
            </a:graphic>
          </wp:inline>
        </w:drawing>
      </w:r>
    </w:p>
    <w:p w14:paraId="6B5E2495" w14:textId="666E87C9" w:rsidR="00073BE7" w:rsidRDefault="00073BE7" w:rsidP="00A11CC1">
      <w:pPr>
        <w:pStyle w:val="NoSpacing"/>
      </w:pPr>
      <w:r w:rsidRPr="001C26FC">
        <w:rPr>
          <w:rStyle w:val="Strong"/>
          <w:rFonts w:cstheme="minorHAnsi"/>
          <w:color w:val="212121"/>
        </w:rPr>
        <w:t>Figure 4</w:t>
      </w:r>
      <w:r w:rsidR="00A11CC1">
        <w:rPr>
          <w:rStyle w:val="Strong"/>
          <w:rFonts w:cstheme="minorHAnsi"/>
          <w:color w:val="212121"/>
        </w:rPr>
        <w:t xml:space="preserve"> </w:t>
      </w:r>
      <w:r w:rsidRPr="001C26FC">
        <w:t>This figure shows the enantiomeric excess determinations for the three ethylbenzene-</w:t>
      </w:r>
      <w:r w:rsidRPr="001C26FC">
        <w:rPr>
          <w:i/>
          <w:iCs/>
        </w:rPr>
        <w:t>d1</w:t>
      </w:r>
      <w:r w:rsidRPr="001C26FC">
        <w:t> samples used in the study. Part (A) shows the spectroscopic measurement using enantiopure (</w:t>
      </w:r>
      <w:r w:rsidRPr="001C26FC">
        <w:rPr>
          <w:i/>
          <w:iCs/>
        </w:rPr>
        <w:t>S</w:t>
      </w:r>
      <w:r w:rsidRPr="001C26FC">
        <w:t>)-TFIP tag for the three samples in a small frequency range of the full spectrum. The transitions associated with the heterochiral complex, which correlate to (</w:t>
      </w:r>
      <w:r w:rsidRPr="001C26FC">
        <w:rPr>
          <w:i/>
          <w:iCs/>
        </w:rPr>
        <w:t>R</w:t>
      </w:r>
      <w:r w:rsidRPr="001C26FC">
        <w:t>)-ethylbenzene-d1, are shown in red, but only easily visible in the Christoffers sample shown at the bottom. This indicates that the Christoffers synthesis produces a lower enantiopurity sample than either the Mosher synthesis (top and Figure </w:t>
      </w:r>
      <w:r w:rsidRPr="00AA4CA8">
        <w:rPr>
          <w:rFonts w:cstheme="minorHAnsi"/>
          <w:b/>
          <w:bCs/>
        </w:rPr>
        <w:t>3</w:t>
      </w:r>
      <w:r w:rsidRPr="001C26FC">
        <w:t xml:space="preserve">A) or the new catalytic method introduced in this work (middle). An expanded scale view of the spectrum centered on one of the strongest transitions at about 5549 MHz is also shown and the heterochiral signals in the Mosher and </w:t>
      </w:r>
      <w:proofErr w:type="spellStart"/>
      <w:r w:rsidRPr="001C26FC">
        <w:t>CuH</w:t>
      </w:r>
      <w:proofErr w:type="spellEnd"/>
      <w:r w:rsidRPr="001C26FC">
        <w:t xml:space="preserve"> catalytic samples are clearly detected. The EE determination uses the statistics from all pairwise EE determinations using individual transitions from the homochiral and heterochiral spectra. The histograms showing the distribution of the pairwise EE values are shown in (B). Note that fewer transitions are used in the </w:t>
      </w:r>
      <w:proofErr w:type="spellStart"/>
      <w:r w:rsidRPr="001C26FC">
        <w:t>CuH</w:t>
      </w:r>
      <w:proofErr w:type="spellEnd"/>
      <w:r w:rsidRPr="001C26FC">
        <w:t xml:space="preserve"> (N=36) and Mosher (N=16) analyses </w:t>
      </w:r>
      <w:proofErr w:type="gramStart"/>
      <w:r w:rsidRPr="001C26FC">
        <w:t>due</w:t>
      </w:r>
      <w:proofErr w:type="gramEnd"/>
      <w:r w:rsidRPr="001C26FC">
        <w:t xml:space="preserve"> their higher enantiopurity compared to the Christoffers sample (N=64). The mean and standard error for the EE determinations </w:t>
      </w:r>
      <w:proofErr w:type="gramStart"/>
      <w:r w:rsidRPr="001C26FC">
        <w:t>are</w:t>
      </w:r>
      <w:proofErr w:type="gramEnd"/>
      <w:r w:rsidRPr="001C26FC">
        <w:t xml:space="preserve"> reported in </w:t>
      </w:r>
      <w:proofErr w:type="gramStart"/>
      <w:r w:rsidRPr="001C26FC">
        <w:t>the legend</w:t>
      </w:r>
      <w:proofErr w:type="gramEnd"/>
      <w:r w:rsidRPr="001C26FC">
        <w:t xml:space="preserve"> of (B). Two additional measurements using the Christoffers synthetic route are shown to validate the EE determination. One uses racemic starting material and gives an EE=1.2(6) which is </w:t>
      </w:r>
      <w:proofErr w:type="gramStart"/>
      <w:r w:rsidRPr="001C26FC">
        <w:t>close</w:t>
      </w:r>
      <w:proofErr w:type="gramEnd"/>
      <w:r w:rsidRPr="001C26FC">
        <w:t xml:space="preserve"> the expected EE=0 value. The second measurement uses a </w:t>
      </w:r>
      <w:proofErr w:type="gramStart"/>
      <w:r w:rsidRPr="001C26FC">
        <w:t>2 :</w:t>
      </w:r>
      <w:proofErr w:type="gramEnd"/>
      <w:r w:rsidRPr="001C26FC">
        <w:t> 1 mixture of the enantioenriched Christoffers sample (EE=85.7(3)) and the racemic preparation to give a sample with an estimated EE=55. The experimental value, EE=57.0(3), is in good agreement.</w:t>
      </w:r>
    </w:p>
    <w:p w14:paraId="1F5B9276" w14:textId="77777777" w:rsidR="003C7724" w:rsidRPr="001C26FC" w:rsidRDefault="003C7724" w:rsidP="00A11CC1">
      <w:pPr>
        <w:pStyle w:val="NoSpacing"/>
      </w:pPr>
    </w:p>
    <w:p w14:paraId="15AE5A8C" w14:textId="2C06AAEA" w:rsidR="00073BE7" w:rsidRPr="00A11CC1" w:rsidRDefault="00073BE7" w:rsidP="00A11CC1">
      <w:r w:rsidRPr="00A11CC1">
        <w:t xml:space="preserve">Validating the accuracy of the chiral tag method for applications to </w:t>
      </w:r>
      <w:proofErr w:type="spellStart"/>
      <w:r w:rsidRPr="00A11CC1">
        <w:t>enantioisotopomers</w:t>
      </w:r>
      <w:proofErr w:type="spellEnd"/>
      <w:r w:rsidRPr="00A11CC1">
        <w:t xml:space="preserve"> is difficult since there are no existing reference methodologies. We have made a test of the accuracy of Equation (3) over the full EE scale. A racemic sample of ethylbenzene-</w:t>
      </w:r>
      <w:r w:rsidRPr="00A11CC1">
        <w:rPr>
          <w:i/>
          <w:iCs/>
        </w:rPr>
        <w:t>d1</w:t>
      </w:r>
      <w:r w:rsidRPr="00A11CC1">
        <w:t> was prepared using racemic starting materials in the Christoffers synthesis. The EE determination for this sample, EE=1.2(6), is also shown in Figure </w:t>
      </w:r>
      <w:r w:rsidRPr="00AA4CA8">
        <w:rPr>
          <w:rFonts w:cstheme="minorHAnsi"/>
          <w:b/>
          <w:bCs/>
        </w:rPr>
        <w:t>4</w:t>
      </w:r>
      <w:r w:rsidRPr="00A11CC1">
        <w:t xml:space="preserve">B. A sample formed from a </w:t>
      </w:r>
      <w:proofErr w:type="gramStart"/>
      <w:r w:rsidRPr="00A11CC1">
        <w:t>2 :</w:t>
      </w:r>
      <w:proofErr w:type="gramEnd"/>
      <w:r w:rsidRPr="00A11CC1">
        <w:t> 1 mixture of the enantioenriched and racemic Christoffers samples was also analyzed. The gravimetric determination of the EE using the chiral tag rotational spectroscopy result for the enantioenriched sample is EE=55. The chiral tag rotational spectroscopy determination shown in Figure </w:t>
      </w:r>
      <w:r w:rsidRPr="00AA4CA8">
        <w:rPr>
          <w:rFonts w:cstheme="minorHAnsi"/>
          <w:b/>
          <w:bCs/>
        </w:rPr>
        <w:t>4</w:t>
      </w:r>
      <w:r w:rsidRPr="00A11CC1">
        <w:t>B is in good agreement: EE=57.0(3). The EE analysis of the two other ethylbenzene-</w:t>
      </w:r>
      <w:r w:rsidRPr="00A11CC1">
        <w:rPr>
          <w:i/>
          <w:iCs/>
        </w:rPr>
        <w:t>d1</w:t>
      </w:r>
      <w:r w:rsidRPr="00A11CC1">
        <w:t> samples in this work are also shown in Fig 4B. The Mosher sample has EE=98.6(1) and validates that this synthesis gives (</w:t>
      </w:r>
      <w:r w:rsidRPr="00A11CC1">
        <w:rPr>
          <w:i/>
          <w:iCs/>
        </w:rPr>
        <w:t>S</w:t>
      </w:r>
      <w:r w:rsidRPr="00A11CC1">
        <w:t>)-ethylbenzene-</w:t>
      </w:r>
      <w:r w:rsidRPr="00A11CC1">
        <w:rPr>
          <w:i/>
          <w:iCs/>
        </w:rPr>
        <w:t>d1</w:t>
      </w:r>
      <w:r w:rsidRPr="00A11CC1">
        <w:t> in high enantiopurity. The (</w:t>
      </w:r>
      <w:r w:rsidRPr="00A11CC1">
        <w:rPr>
          <w:i/>
          <w:iCs/>
        </w:rPr>
        <w:t>S</w:t>
      </w:r>
      <w:r w:rsidRPr="00A11CC1">
        <w:t>)-ethylbenzene-</w:t>
      </w:r>
      <w:r w:rsidRPr="00A11CC1">
        <w:rPr>
          <w:i/>
          <w:iCs/>
        </w:rPr>
        <w:t>d1</w:t>
      </w:r>
      <w:r w:rsidRPr="00A11CC1">
        <w:t> sample prepared by the new catalytic method reported in this work also has high enantiopurity, EE=97.3(1).</w:t>
      </w:r>
    </w:p>
    <w:p w14:paraId="5CD46E6C" w14:textId="690211B6" w:rsidR="00073BE7" w:rsidRPr="00A11CC1" w:rsidRDefault="00073BE7" w:rsidP="00A11CC1">
      <w:r w:rsidRPr="00A11CC1">
        <w:t xml:space="preserve">Catalytic transfer </w:t>
      </w:r>
      <w:proofErr w:type="spellStart"/>
      <w:r w:rsidRPr="00A11CC1">
        <w:t>hydrodeuteration</w:t>
      </w:r>
      <w:proofErr w:type="spellEnd"/>
      <w:r w:rsidRPr="00A11CC1">
        <w:t xml:space="preserve"> reactions have unique advantages for the selective insertion of hydrogen (H) and deuterium (D) across a π-bond.</w:t>
      </w:r>
      <w:r w:rsidRPr="00AA4CA8">
        <w:rPr>
          <w:rFonts w:cstheme="minorHAnsi"/>
          <w:vertAlign w:val="superscript"/>
        </w:rPr>
        <w:t>44</w:t>
      </w:r>
      <w:r w:rsidRPr="00A11CC1">
        <w:t xml:space="preserve"> Recently, we reported the highest regioselectivities to date for an alkene transfer </w:t>
      </w:r>
      <w:proofErr w:type="spellStart"/>
      <w:r w:rsidRPr="00A11CC1">
        <w:t>hydrodeuteration</w:t>
      </w:r>
      <w:proofErr w:type="spellEnd"/>
      <w:r w:rsidRPr="00A11CC1">
        <w:t xml:space="preserve"> process, where a [Cu−H] species undergoes </w:t>
      </w:r>
      <w:r w:rsidRPr="00A11CC1">
        <w:rPr>
          <w:i/>
          <w:iCs/>
        </w:rPr>
        <w:t>syn</w:t>
      </w:r>
      <w:r w:rsidRPr="00A11CC1">
        <w:t>-addition across an alkene, followed by deuterodecupration.</w:t>
      </w:r>
      <w:r w:rsidRPr="00AA4CA8">
        <w:rPr>
          <w:rFonts w:cstheme="minorHAnsi"/>
          <w:vertAlign w:val="superscript"/>
        </w:rPr>
        <w:t>35</w:t>
      </w:r>
      <w:r w:rsidRPr="00A11CC1">
        <w:t xml:space="preserve"> We believe the observed regioselectivity is attributed to the high degree of catalyst control in the reaction, where the Cu species adds to the alkenyl carbon positioned α-to the arene, coupled with the H and D transfer reagents operating at distinct points in the reaction mechanism, which is consistent with other selective transfer </w:t>
      </w:r>
      <w:proofErr w:type="spellStart"/>
      <w:r w:rsidRPr="00A11CC1">
        <w:t>hydrodeuteration</w:t>
      </w:r>
      <w:proofErr w:type="spellEnd"/>
      <w:r w:rsidRPr="00A11CC1">
        <w:t xml:space="preserve"> processes.</w:t>
      </w:r>
      <w:r w:rsidRPr="00AA4CA8">
        <w:rPr>
          <w:rFonts w:cstheme="minorHAnsi"/>
          <w:vertAlign w:val="superscript"/>
        </w:rPr>
        <w:t>45</w:t>
      </w:r>
      <w:r w:rsidRPr="00A11CC1">
        <w:rPr>
          <w:vertAlign w:val="superscript"/>
        </w:rPr>
        <w:t>-</w:t>
      </w:r>
      <w:r w:rsidRPr="00AA4CA8">
        <w:rPr>
          <w:rFonts w:cstheme="minorHAnsi"/>
          <w:vertAlign w:val="superscript"/>
        </w:rPr>
        <w:t>49</w:t>
      </w:r>
      <w:r w:rsidRPr="00A11CC1">
        <w:t xml:space="preserve"> With the groundwork laid for controlling regioselectivity in a Cu-catalyzed alkene transfer </w:t>
      </w:r>
      <w:proofErr w:type="spellStart"/>
      <w:r w:rsidRPr="00A11CC1">
        <w:t>hydrodeuteration</w:t>
      </w:r>
      <w:proofErr w:type="spellEnd"/>
      <w:r w:rsidRPr="00A11CC1">
        <w:t xml:space="preserve"> reaction, we hypothesized that the first metal-catalyzed enantioselective synthesis of an </w:t>
      </w:r>
      <w:proofErr w:type="spellStart"/>
      <w:r w:rsidRPr="00A11CC1">
        <w:t>enantioisotopomer</w:t>
      </w:r>
      <w:proofErr w:type="spellEnd"/>
      <w:r w:rsidRPr="00A11CC1">
        <w:t xml:space="preserve"> could be achieved if an appropriate chiral ligand was employed in the reaction. To test this hypothesis, we adopted reaction conditions </w:t>
      </w:r>
      <w:proofErr w:type="gramStart"/>
      <w:r w:rsidRPr="00A11CC1">
        <w:t>similar to</w:t>
      </w:r>
      <w:proofErr w:type="gramEnd"/>
      <w:r w:rsidRPr="00A11CC1">
        <w:t xml:space="preserve"> those reported by us in prior work,</w:t>
      </w:r>
      <w:r w:rsidRPr="00AA4CA8">
        <w:rPr>
          <w:rFonts w:cstheme="minorHAnsi"/>
          <w:vertAlign w:val="superscript"/>
        </w:rPr>
        <w:t>35</w:t>
      </w:r>
      <w:r w:rsidRPr="00A11CC1">
        <w:rPr>
          <w:vertAlign w:val="superscript"/>
        </w:rPr>
        <w:t>, </w:t>
      </w:r>
      <w:r w:rsidRPr="00AA4CA8">
        <w:rPr>
          <w:rFonts w:cstheme="minorHAnsi"/>
          <w:vertAlign w:val="superscript"/>
        </w:rPr>
        <w:t>50</w:t>
      </w:r>
      <w:r w:rsidRPr="00A11CC1">
        <w:t> and inspired by highly enantioselective processes for [Cu−H] catalyzed alkene hydrofunctionalizations,</w:t>
      </w:r>
      <w:r w:rsidRPr="00AA4CA8">
        <w:rPr>
          <w:rFonts w:cstheme="minorHAnsi"/>
          <w:vertAlign w:val="superscript"/>
        </w:rPr>
        <w:t>51</w:t>
      </w:r>
      <w:r w:rsidRPr="00A11CC1">
        <w:rPr>
          <w:vertAlign w:val="superscript"/>
        </w:rPr>
        <w:t>, </w:t>
      </w:r>
      <w:r w:rsidRPr="00AA4CA8">
        <w:rPr>
          <w:rFonts w:cstheme="minorHAnsi"/>
          <w:vertAlign w:val="superscript"/>
        </w:rPr>
        <w:t>52</w:t>
      </w:r>
      <w:r w:rsidRPr="00A11CC1">
        <w:t> we opted to employ (</w:t>
      </w:r>
      <w:r w:rsidRPr="00A11CC1">
        <w:rPr>
          <w:i/>
          <w:iCs/>
        </w:rPr>
        <w:t>R</w:t>
      </w:r>
      <w:r w:rsidRPr="00A11CC1">
        <w:t>)-DTBM-SEGPHOS as the ligand (EE=99.9 from the manufacturer certificate of analysis). For the enantioselective synthesis of ethylbenzene-</w:t>
      </w:r>
      <w:r w:rsidRPr="00A11CC1">
        <w:rPr>
          <w:i/>
          <w:iCs/>
        </w:rPr>
        <w:t>d1</w:t>
      </w:r>
      <w:r w:rsidRPr="00A11CC1">
        <w:t xml:space="preserve">, 1 mol % of </w:t>
      </w:r>
      <w:proofErr w:type="gramStart"/>
      <w:r w:rsidRPr="00A11CC1">
        <w:t>Cu(</w:t>
      </w:r>
      <w:proofErr w:type="spellStart"/>
      <w:proofErr w:type="gramEnd"/>
      <w:r w:rsidRPr="00A11CC1">
        <w:t>OAc</w:t>
      </w:r>
      <w:proofErr w:type="spellEnd"/>
      <w:r w:rsidRPr="00A11CC1">
        <w:t>)</w:t>
      </w:r>
      <w:r w:rsidRPr="00A11CC1">
        <w:rPr>
          <w:vertAlign w:val="subscript"/>
        </w:rPr>
        <w:t>2</w:t>
      </w:r>
      <w:r w:rsidRPr="00A11CC1">
        <w:t>, 1.1 mol % of (</w:t>
      </w:r>
      <w:r w:rsidRPr="00A11CC1">
        <w:rPr>
          <w:i/>
          <w:iCs/>
        </w:rPr>
        <w:t>R</w:t>
      </w:r>
      <w:r w:rsidRPr="00A11CC1">
        <w:t xml:space="preserve">)-DTBM-SEGPHOS, </w:t>
      </w:r>
      <w:proofErr w:type="spellStart"/>
      <w:r w:rsidRPr="00A11CC1">
        <w:t>polymethylhydrosiloxane</w:t>
      </w:r>
      <w:proofErr w:type="spellEnd"/>
      <w:r w:rsidRPr="00A11CC1">
        <w:t xml:space="preserve"> (PMHS) and ethanol-OD were combined in THF in the presence of styrene </w:t>
      </w:r>
      <w:r w:rsidRPr="00A11CC1">
        <w:rPr>
          <w:b/>
          <w:bCs/>
        </w:rPr>
        <w:t>1</w:t>
      </w:r>
      <w:r w:rsidRPr="00A11CC1">
        <w:t> </w:t>
      </w:r>
      <w:r w:rsidRPr="00A11CC1">
        <w:rPr>
          <w:b/>
          <w:bCs/>
        </w:rPr>
        <w:t>a</w:t>
      </w:r>
      <w:r w:rsidRPr="00A11CC1">
        <w:t> (1 </w:t>
      </w:r>
      <w:proofErr w:type="spellStart"/>
      <w:r w:rsidRPr="00A11CC1">
        <w:t>equiv</w:t>
      </w:r>
      <w:proofErr w:type="spellEnd"/>
      <w:r w:rsidRPr="00A11CC1">
        <w:t>) and stirred at room temperature for 16 h (Table </w:t>
      </w:r>
      <w:r w:rsidRPr="00AA4CA8">
        <w:rPr>
          <w:rFonts w:cstheme="minorHAnsi"/>
          <w:b/>
          <w:bCs/>
        </w:rPr>
        <w:t>2</w:t>
      </w:r>
      <w:r w:rsidRPr="00A11CC1">
        <w:t>). The reaction was performed on gram-scale and a 52 % yield of desired product </w:t>
      </w:r>
      <w:r w:rsidRPr="00A11CC1">
        <w:rPr>
          <w:b/>
          <w:bCs/>
        </w:rPr>
        <w:t>2</w:t>
      </w:r>
      <w:r w:rsidRPr="00A11CC1">
        <w:t xml:space="preserve"> was isolated after purification. The absolute configuration and EE were determined using the chiral tag methodology described above, and </w:t>
      </w:r>
      <w:proofErr w:type="spellStart"/>
      <w:r w:rsidRPr="00A11CC1">
        <w:t>isotopomer</w:t>
      </w:r>
      <w:proofErr w:type="spellEnd"/>
      <w:r w:rsidRPr="00A11CC1">
        <w:t xml:space="preserve"> impurities such as a </w:t>
      </w:r>
      <w:proofErr w:type="spellStart"/>
      <w:r w:rsidRPr="00A11CC1">
        <w:t>regioisomer</w:t>
      </w:r>
      <w:proofErr w:type="spellEnd"/>
      <w:r w:rsidRPr="00A11CC1">
        <w:t xml:space="preserve"> arising from deuteration at the β-benzylic position were analyzed using the methods described in the previous work and found to be minimal (see Supporting Information for measurement details).</w:t>
      </w:r>
      <w:r w:rsidRPr="00AA4CA8">
        <w:rPr>
          <w:rFonts w:cstheme="minorHAnsi"/>
          <w:vertAlign w:val="superscript"/>
        </w:rPr>
        <w:t>35</w:t>
      </w:r>
      <w:r w:rsidRPr="00A11CC1">
        <w:t> The sample is (</w:t>
      </w:r>
      <w:r w:rsidRPr="00A11CC1">
        <w:rPr>
          <w:i/>
          <w:iCs/>
        </w:rPr>
        <w:t>S</w:t>
      </w:r>
      <w:r w:rsidRPr="00A11CC1">
        <w:t>)-ethylbenzene-</w:t>
      </w:r>
      <w:r w:rsidRPr="00A11CC1">
        <w:rPr>
          <w:i/>
          <w:iCs/>
        </w:rPr>
        <w:t>d1</w:t>
      </w:r>
      <w:r w:rsidRPr="00A11CC1">
        <w:t> with EE=97.3.</w:t>
      </w:r>
    </w:p>
    <w:p w14:paraId="00B63D34" w14:textId="77777777" w:rsidR="00A11CC1" w:rsidRDefault="00073BE7" w:rsidP="00A11CC1">
      <w:pPr>
        <w:spacing w:after="0"/>
        <w:rPr>
          <w:rFonts w:cstheme="minorHAnsi"/>
          <w:noProof/>
          <w:color w:val="0000FF"/>
        </w:rPr>
      </w:pPr>
      <w:r w:rsidRPr="001C26FC">
        <w:rPr>
          <w:rStyle w:val="table-captionlabel"/>
          <w:rFonts w:cstheme="minorHAnsi"/>
          <w:b/>
          <w:bCs/>
        </w:rPr>
        <w:t>Table 2. </w:t>
      </w:r>
      <w:r w:rsidRPr="001C26FC">
        <w:rPr>
          <w:rFonts w:cstheme="minorHAnsi"/>
        </w:rPr>
        <w:t xml:space="preserve">Cu-catalyzed enantioselective alkene transfer </w:t>
      </w:r>
      <w:proofErr w:type="spellStart"/>
      <w:r w:rsidRPr="001C26FC">
        <w:rPr>
          <w:rFonts w:cstheme="minorHAnsi"/>
        </w:rPr>
        <w:t>hydrodeuteration</w:t>
      </w:r>
      <w:proofErr w:type="spellEnd"/>
      <w:r w:rsidRPr="001C26FC">
        <w:rPr>
          <w:rFonts w:cstheme="minorHAnsi"/>
        </w:rPr>
        <w:t xml:space="preserve"> reaction scope.</w:t>
      </w:r>
    </w:p>
    <w:p w14:paraId="5C9CFC99" w14:textId="07AFDCCC" w:rsidR="00073BE7" w:rsidRPr="001C26FC" w:rsidRDefault="00073BE7" w:rsidP="00A11CC1">
      <w:pPr>
        <w:pStyle w:val="NoSpacing"/>
      </w:pPr>
      <w:r w:rsidRPr="001C26FC">
        <w:rPr>
          <w:noProof/>
        </w:rPr>
        <w:drawing>
          <wp:inline distT="0" distB="0" distL="0" distR="0" wp14:anchorId="33CBEF66" wp14:editId="233547DB">
            <wp:extent cx="2743200" cy="1591056"/>
            <wp:effectExtent l="0" t="0" r="0" b="9525"/>
            <wp:docPr id="1001211827" name="Picture 1" descr="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21"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p>
    <w:p w14:paraId="0D9371D8" w14:textId="77777777" w:rsidR="00073BE7" w:rsidRDefault="00073BE7" w:rsidP="00A11CC1">
      <w:pPr>
        <w:pStyle w:val="NoSpacing"/>
        <w:rPr>
          <w:sz w:val="21"/>
          <w:szCs w:val="21"/>
        </w:rPr>
      </w:pPr>
      <w:r w:rsidRPr="001C26FC">
        <w:rPr>
          <w:sz w:val="21"/>
          <w:szCs w:val="21"/>
        </w:rPr>
        <w:t>See Supporting Information for structures of compounds </w:t>
      </w:r>
      <w:r w:rsidRPr="001C26FC">
        <w:rPr>
          <w:b/>
          <w:bCs/>
          <w:sz w:val="21"/>
          <w:szCs w:val="21"/>
        </w:rPr>
        <w:t>1</w:t>
      </w:r>
      <w:r w:rsidRPr="001C26FC">
        <w:rPr>
          <w:sz w:val="21"/>
          <w:szCs w:val="21"/>
        </w:rPr>
        <w:t> </w:t>
      </w:r>
      <w:r w:rsidRPr="001C26FC">
        <w:rPr>
          <w:b/>
          <w:bCs/>
          <w:sz w:val="21"/>
          <w:szCs w:val="21"/>
        </w:rPr>
        <w:t>a</w:t>
      </w:r>
      <w:r w:rsidRPr="001C26FC">
        <w:rPr>
          <w:sz w:val="21"/>
          <w:szCs w:val="21"/>
        </w:rPr>
        <w:t>–</w:t>
      </w:r>
      <w:r w:rsidRPr="001C26FC">
        <w:rPr>
          <w:b/>
          <w:bCs/>
          <w:sz w:val="21"/>
          <w:szCs w:val="21"/>
        </w:rPr>
        <w:t>c</w:t>
      </w:r>
      <w:r w:rsidRPr="001C26FC">
        <w:rPr>
          <w:sz w:val="21"/>
          <w:szCs w:val="21"/>
        </w:rPr>
        <w:t>. [a] 4 </w:t>
      </w:r>
      <w:proofErr w:type="spellStart"/>
      <w:r w:rsidRPr="001C26FC">
        <w:rPr>
          <w:sz w:val="21"/>
          <w:szCs w:val="21"/>
        </w:rPr>
        <w:t>equiv</w:t>
      </w:r>
      <w:proofErr w:type="spellEnd"/>
      <w:r w:rsidRPr="001C26FC">
        <w:rPr>
          <w:sz w:val="21"/>
          <w:szCs w:val="21"/>
        </w:rPr>
        <w:t xml:space="preserve"> of </w:t>
      </w:r>
      <w:proofErr w:type="spellStart"/>
      <w:r w:rsidRPr="001C26FC">
        <w:rPr>
          <w:sz w:val="21"/>
          <w:szCs w:val="21"/>
        </w:rPr>
        <w:t>dimethoxymethylsilane</w:t>
      </w:r>
      <w:proofErr w:type="spellEnd"/>
      <w:r w:rsidRPr="001C26FC">
        <w:rPr>
          <w:sz w:val="21"/>
          <w:szCs w:val="21"/>
        </w:rPr>
        <w:t xml:space="preserve"> (DMMS) or poly(</w:t>
      </w:r>
      <w:proofErr w:type="spellStart"/>
      <w:r w:rsidRPr="001C26FC">
        <w:rPr>
          <w:sz w:val="21"/>
          <w:szCs w:val="21"/>
        </w:rPr>
        <w:t>methylhydrosiloxane</w:t>
      </w:r>
      <w:proofErr w:type="spellEnd"/>
      <w:r w:rsidRPr="001C26FC">
        <w:rPr>
          <w:sz w:val="21"/>
          <w:szCs w:val="21"/>
        </w:rPr>
        <w:t>) (PMHS) along with 2.6 </w:t>
      </w:r>
      <w:proofErr w:type="spellStart"/>
      <w:r w:rsidRPr="001C26FC">
        <w:rPr>
          <w:sz w:val="21"/>
          <w:szCs w:val="21"/>
        </w:rPr>
        <w:t>equiv</w:t>
      </w:r>
      <w:proofErr w:type="spellEnd"/>
      <w:r w:rsidRPr="001C26FC">
        <w:rPr>
          <w:sz w:val="21"/>
          <w:szCs w:val="21"/>
        </w:rPr>
        <w:t xml:space="preserve"> of </w:t>
      </w:r>
      <w:proofErr w:type="spellStart"/>
      <w:r w:rsidRPr="001C26FC">
        <w:rPr>
          <w:sz w:val="21"/>
          <w:szCs w:val="21"/>
        </w:rPr>
        <w:t>EtOD</w:t>
      </w:r>
      <w:proofErr w:type="spellEnd"/>
      <w:r w:rsidRPr="001C26FC">
        <w:rPr>
          <w:sz w:val="21"/>
          <w:szCs w:val="21"/>
        </w:rPr>
        <w:t xml:space="preserve"> used in each reaction. [b] Enantiomeric excess (</w:t>
      </w:r>
      <w:proofErr w:type="spellStart"/>
      <w:r w:rsidRPr="001C26FC">
        <w:rPr>
          <w:sz w:val="21"/>
          <w:szCs w:val="21"/>
        </w:rPr>
        <w:t>e.e.</w:t>
      </w:r>
      <w:proofErr w:type="spellEnd"/>
      <w:r w:rsidRPr="001C26FC">
        <w:rPr>
          <w:sz w:val="21"/>
          <w:szCs w:val="21"/>
        </w:rPr>
        <w:t xml:space="preserve">) was determined using chiral tagging in MRR spectroscopy. [c] The </w:t>
      </w:r>
      <w:proofErr w:type="spellStart"/>
      <w:r w:rsidRPr="001C26FC">
        <w:rPr>
          <w:sz w:val="21"/>
          <w:szCs w:val="21"/>
        </w:rPr>
        <w:t>regioisomeric</w:t>
      </w:r>
      <w:proofErr w:type="spellEnd"/>
      <w:r w:rsidRPr="001C26FC">
        <w:rPr>
          <w:sz w:val="21"/>
          <w:szCs w:val="21"/>
        </w:rPr>
        <w:t xml:space="preserve"> ratio (</w:t>
      </w:r>
      <w:proofErr w:type="spellStart"/>
      <w:r w:rsidRPr="001C26FC">
        <w:rPr>
          <w:sz w:val="21"/>
          <w:szCs w:val="21"/>
        </w:rPr>
        <w:t>r.r.</w:t>
      </w:r>
      <w:proofErr w:type="spellEnd"/>
      <w:r w:rsidRPr="001C26FC">
        <w:rPr>
          <w:sz w:val="21"/>
          <w:szCs w:val="21"/>
        </w:rPr>
        <w:t>) was determined by MRR spectroscopy. [d] Reaction performed on gram scale using 11.5 mmol of styrene </w:t>
      </w:r>
      <w:r w:rsidRPr="001C26FC">
        <w:rPr>
          <w:b/>
          <w:bCs/>
          <w:sz w:val="21"/>
          <w:szCs w:val="21"/>
        </w:rPr>
        <w:t>1</w:t>
      </w:r>
      <w:r w:rsidRPr="001C26FC">
        <w:rPr>
          <w:sz w:val="21"/>
          <w:szCs w:val="21"/>
        </w:rPr>
        <w:t> </w:t>
      </w:r>
      <w:r w:rsidRPr="001C26FC">
        <w:rPr>
          <w:b/>
          <w:bCs/>
          <w:sz w:val="21"/>
          <w:szCs w:val="21"/>
        </w:rPr>
        <w:t>a</w:t>
      </w:r>
      <w:r w:rsidRPr="001C26FC">
        <w:rPr>
          <w:sz w:val="21"/>
          <w:szCs w:val="21"/>
        </w:rPr>
        <w:t xml:space="preserve">. [e] The 2-step yield includes the Cu-catalyzed transfer </w:t>
      </w:r>
      <w:proofErr w:type="spellStart"/>
      <w:r w:rsidRPr="001C26FC">
        <w:rPr>
          <w:sz w:val="21"/>
          <w:szCs w:val="21"/>
        </w:rPr>
        <w:t>hydrodeuteration</w:t>
      </w:r>
      <w:proofErr w:type="spellEnd"/>
      <w:r w:rsidRPr="001C26FC">
        <w:rPr>
          <w:sz w:val="21"/>
          <w:szCs w:val="21"/>
        </w:rPr>
        <w:t xml:space="preserve"> of </w:t>
      </w:r>
      <w:r w:rsidRPr="001C26FC">
        <w:rPr>
          <w:b/>
          <w:bCs/>
          <w:sz w:val="21"/>
          <w:szCs w:val="21"/>
        </w:rPr>
        <w:t>1</w:t>
      </w:r>
      <w:r w:rsidRPr="001C26FC">
        <w:rPr>
          <w:sz w:val="21"/>
          <w:szCs w:val="21"/>
        </w:rPr>
        <w:t> </w:t>
      </w:r>
      <w:r w:rsidRPr="001C26FC">
        <w:rPr>
          <w:b/>
          <w:bCs/>
          <w:sz w:val="21"/>
          <w:szCs w:val="21"/>
        </w:rPr>
        <w:t>c</w:t>
      </w:r>
      <w:r w:rsidRPr="001C26FC">
        <w:rPr>
          <w:sz w:val="21"/>
          <w:szCs w:val="21"/>
        </w:rPr>
        <w:t xml:space="preserve">, followed by removal of the TBS group using tetrabutylammonium fluoride (see Supporting Information for full experimental details). [f] The </w:t>
      </w:r>
      <w:proofErr w:type="spellStart"/>
      <w:r w:rsidRPr="001C26FC">
        <w:rPr>
          <w:sz w:val="21"/>
          <w:szCs w:val="21"/>
        </w:rPr>
        <w:t>r.r.</w:t>
      </w:r>
      <w:proofErr w:type="spellEnd"/>
      <w:r w:rsidRPr="001C26FC">
        <w:rPr>
          <w:sz w:val="21"/>
          <w:szCs w:val="21"/>
        </w:rPr>
        <w:t xml:space="preserve"> was determined using </w:t>
      </w:r>
      <w:r w:rsidRPr="001C26FC">
        <w:rPr>
          <w:sz w:val="16"/>
          <w:szCs w:val="16"/>
          <w:vertAlign w:val="superscript"/>
        </w:rPr>
        <w:t>1</w:t>
      </w:r>
      <w:r w:rsidRPr="001C26FC">
        <w:rPr>
          <w:sz w:val="21"/>
          <w:szCs w:val="21"/>
        </w:rPr>
        <w:t>H and </w:t>
      </w:r>
      <w:r w:rsidRPr="001C26FC">
        <w:rPr>
          <w:sz w:val="16"/>
          <w:szCs w:val="16"/>
          <w:vertAlign w:val="superscript"/>
        </w:rPr>
        <w:t>2</w:t>
      </w:r>
      <w:r w:rsidRPr="001C26FC">
        <w:rPr>
          <w:sz w:val="21"/>
          <w:szCs w:val="21"/>
        </w:rPr>
        <w:t>H-NMR spectroscopy.</w:t>
      </w:r>
    </w:p>
    <w:p w14:paraId="1F11A122" w14:textId="77777777" w:rsidR="003C7724" w:rsidRPr="001C26FC" w:rsidRDefault="003C7724" w:rsidP="00A11CC1">
      <w:pPr>
        <w:pStyle w:val="NoSpacing"/>
        <w:rPr>
          <w:sz w:val="21"/>
          <w:szCs w:val="21"/>
        </w:rPr>
      </w:pPr>
    </w:p>
    <w:p w14:paraId="6C833366" w14:textId="5FB1F3D3" w:rsidR="00073BE7" w:rsidRPr="00A11CC1" w:rsidRDefault="00073BE7" w:rsidP="00A11CC1">
      <w:r w:rsidRPr="00A11CC1">
        <w:t xml:space="preserve">To evaluate if this protocol could be extended to other aryl alkene substrate types, we attempted the enantioselective transfer </w:t>
      </w:r>
      <w:proofErr w:type="spellStart"/>
      <w:r w:rsidRPr="00A11CC1">
        <w:t>hydrodeuteration</w:t>
      </w:r>
      <w:proofErr w:type="spellEnd"/>
      <w:r w:rsidRPr="00A11CC1">
        <w:t xml:space="preserve"> reaction with vinyl naphthalene substrate </w:t>
      </w:r>
      <w:r w:rsidRPr="00A11CC1">
        <w:rPr>
          <w:b/>
          <w:bCs/>
        </w:rPr>
        <w:t>1</w:t>
      </w:r>
      <w:r w:rsidRPr="00A11CC1">
        <w:t> </w:t>
      </w:r>
      <w:r w:rsidRPr="00A11CC1">
        <w:rPr>
          <w:b/>
          <w:bCs/>
        </w:rPr>
        <w:t>b</w:t>
      </w:r>
      <w:r w:rsidRPr="00A11CC1">
        <w:t> and isolated selectively deuterated product </w:t>
      </w:r>
      <w:r w:rsidRPr="00A11CC1">
        <w:rPr>
          <w:b/>
          <w:bCs/>
        </w:rPr>
        <w:t>3</w:t>
      </w:r>
      <w:r w:rsidRPr="00A11CC1">
        <w:t> in 78 % yield. After analysis using chiral tagging MRR spectroscopy, product </w:t>
      </w:r>
      <w:r w:rsidRPr="00A11CC1">
        <w:rPr>
          <w:b/>
          <w:bCs/>
        </w:rPr>
        <w:t>3</w:t>
      </w:r>
      <w:r w:rsidRPr="00A11CC1">
        <w:t> was determined to have EE=97.7 and the </w:t>
      </w:r>
      <w:r w:rsidRPr="00A11CC1">
        <w:rPr>
          <w:i/>
          <w:iCs/>
        </w:rPr>
        <w:t>S</w:t>
      </w:r>
      <w:r w:rsidRPr="00A11CC1">
        <w:t xml:space="preserve"> configuration was established at the </w:t>
      </w:r>
      <w:proofErr w:type="spellStart"/>
      <w:r w:rsidRPr="00A11CC1">
        <w:t>stereogenic</w:t>
      </w:r>
      <w:proofErr w:type="spellEnd"/>
      <w:r w:rsidRPr="00A11CC1">
        <w:t xml:space="preserve"> center. The spectroscopic analysis of the homochiral and heterochiral complexes between ethylnapthlanene-</w:t>
      </w:r>
      <w:r w:rsidRPr="00A11CC1">
        <w:rPr>
          <w:i/>
          <w:iCs/>
        </w:rPr>
        <w:t>d1</w:t>
      </w:r>
      <w:r w:rsidRPr="00A11CC1">
        <w:t> and TFIP is reported in Table </w:t>
      </w:r>
      <w:r w:rsidRPr="00AA4CA8">
        <w:rPr>
          <w:rFonts w:cstheme="minorHAnsi"/>
          <w:b/>
          <w:bCs/>
        </w:rPr>
        <w:t>1</w:t>
      </w:r>
      <w:r w:rsidRPr="00A11CC1">
        <w:t>. The chiral tag measurement establishing the absolute configuration is shown in Figure </w:t>
      </w:r>
      <w:r w:rsidRPr="00AA4CA8">
        <w:rPr>
          <w:rFonts w:cstheme="minorHAnsi"/>
          <w:b/>
          <w:bCs/>
        </w:rPr>
        <w:t>3</w:t>
      </w:r>
      <w:r w:rsidRPr="00A11CC1">
        <w:t>B. That figure also shows the high enantiopurity of the sample through the much lower transition intensity of the heterochiral complex (i.e. (</w:t>
      </w:r>
      <w:r w:rsidRPr="00A11CC1">
        <w:rPr>
          <w:i/>
          <w:iCs/>
        </w:rPr>
        <w:t>R</w:t>
      </w:r>
      <w:r w:rsidRPr="00A11CC1">
        <w:t>)-ethylnapthlanene-</w:t>
      </w:r>
      <w:r w:rsidRPr="00A11CC1">
        <w:rPr>
          <w:i/>
          <w:iCs/>
        </w:rPr>
        <w:t>d1</w:t>
      </w:r>
      <w:r w:rsidRPr="00A11CC1">
        <w:t>/(</w:t>
      </w:r>
      <w:r w:rsidRPr="00A11CC1">
        <w:rPr>
          <w:i/>
          <w:iCs/>
        </w:rPr>
        <w:t>S</w:t>
      </w:r>
      <w:r w:rsidRPr="00A11CC1">
        <w:t>)-TFIP) in the measurement using high enantiopurity (</w:t>
      </w:r>
      <w:r w:rsidRPr="00A11CC1">
        <w:rPr>
          <w:i/>
          <w:iCs/>
        </w:rPr>
        <w:t>S</w:t>
      </w:r>
      <w:r w:rsidRPr="00A11CC1">
        <w:t>)-TFIP tag.</w:t>
      </w:r>
    </w:p>
    <w:p w14:paraId="0057B849" w14:textId="2B900FA2" w:rsidR="00073BE7" w:rsidRPr="00A11CC1" w:rsidRDefault="00073BE7" w:rsidP="00A11CC1">
      <w:r w:rsidRPr="00A11CC1">
        <w:t>We also evaluated if this protocol could be extended to an internal alkene substrate type and subjected </w:t>
      </w:r>
      <w:r w:rsidRPr="00A11CC1">
        <w:rPr>
          <w:b/>
          <w:bCs/>
        </w:rPr>
        <w:t>1</w:t>
      </w:r>
      <w:r w:rsidRPr="00A11CC1">
        <w:t> </w:t>
      </w:r>
      <w:r w:rsidRPr="00A11CC1">
        <w:rPr>
          <w:b/>
          <w:bCs/>
        </w:rPr>
        <w:t>c</w:t>
      </w:r>
      <w:r w:rsidRPr="00A11CC1">
        <w:t xml:space="preserve"> to enantioselective transfer </w:t>
      </w:r>
      <w:proofErr w:type="spellStart"/>
      <w:r w:rsidRPr="00A11CC1">
        <w:t>hydrodeuteration</w:t>
      </w:r>
      <w:proofErr w:type="spellEnd"/>
      <w:r w:rsidRPr="00A11CC1">
        <w:t xml:space="preserve"> conditions and isolated product </w:t>
      </w:r>
      <w:r w:rsidRPr="00A11CC1">
        <w:rPr>
          <w:b/>
          <w:bCs/>
        </w:rPr>
        <w:t>4</w:t>
      </w:r>
      <w:r w:rsidRPr="00A11CC1">
        <w:t> in 76 % yield (over 2-steps) after deprotection of the </w:t>
      </w:r>
      <w:r w:rsidRPr="00A11CC1">
        <w:rPr>
          <w:i/>
          <w:iCs/>
        </w:rPr>
        <w:t>tert</w:t>
      </w:r>
      <w:r w:rsidRPr="00A11CC1">
        <w:t>-</w:t>
      </w:r>
      <w:proofErr w:type="spellStart"/>
      <w:r w:rsidRPr="00A11CC1">
        <w:t>butyldimethylsilane</w:t>
      </w:r>
      <w:proofErr w:type="spellEnd"/>
      <w:r w:rsidRPr="00A11CC1">
        <w:t xml:space="preserve"> group. Although alcohol containing substrates do not inhibit reactivity in Cu-catalyzed transfer hydrogenation reactions,</w:t>
      </w:r>
      <w:r w:rsidRPr="00AA4CA8">
        <w:rPr>
          <w:rFonts w:cstheme="minorHAnsi"/>
          <w:vertAlign w:val="superscript"/>
        </w:rPr>
        <w:t>53</w:t>
      </w:r>
      <w:r w:rsidRPr="00A11CC1">
        <w:t> a protecting group for the alcohol is required to avoid a competitive proto-</w:t>
      </w:r>
      <w:proofErr w:type="spellStart"/>
      <w:r w:rsidRPr="00A11CC1">
        <w:t>decupration</w:t>
      </w:r>
      <w:proofErr w:type="spellEnd"/>
      <w:r w:rsidRPr="00A11CC1">
        <w:t xml:space="preserve"> pathway. Analysis of </w:t>
      </w:r>
      <w:r w:rsidRPr="00A11CC1">
        <w:rPr>
          <w:b/>
          <w:bCs/>
        </w:rPr>
        <w:t>4</w:t>
      </w:r>
      <w:r w:rsidRPr="00A11CC1">
        <w:t> by MRR revealed the reaction to be highly enantioselective, EE=98.1, leading to the </w:t>
      </w:r>
      <w:r w:rsidRPr="00A11CC1">
        <w:rPr>
          <w:i/>
          <w:iCs/>
        </w:rPr>
        <w:t>S</w:t>
      </w:r>
      <w:r w:rsidRPr="00A11CC1">
        <w:t xml:space="preserve"> configuration at the </w:t>
      </w:r>
      <w:proofErr w:type="spellStart"/>
      <w:r w:rsidRPr="00A11CC1">
        <w:t>stereogenic</w:t>
      </w:r>
      <w:proofErr w:type="spellEnd"/>
      <w:r w:rsidRPr="00A11CC1">
        <w:t xml:space="preserve"> center. The spectroscopy analysis is presented in Table </w:t>
      </w:r>
      <w:r w:rsidRPr="00AA4CA8">
        <w:rPr>
          <w:rFonts w:cstheme="minorHAnsi"/>
          <w:b/>
          <w:bCs/>
        </w:rPr>
        <w:t>1</w:t>
      </w:r>
      <w:r w:rsidRPr="00A11CC1">
        <w:t> with the measurement establishing absolute configuration shown in Figure </w:t>
      </w:r>
      <w:r w:rsidRPr="00AA4CA8">
        <w:rPr>
          <w:rFonts w:cstheme="minorHAnsi"/>
          <w:b/>
          <w:bCs/>
        </w:rPr>
        <w:t>3</w:t>
      </w:r>
      <w:r w:rsidRPr="00A11CC1">
        <w:t>C. In this case, propylene oxide was used as the tag molecule to make use of the strong hydrogen bond donor-acceptor interaction as shown in the structures of the tag complexes of Figure </w:t>
      </w:r>
      <w:r w:rsidRPr="00AA4CA8">
        <w:rPr>
          <w:rFonts w:cstheme="minorHAnsi"/>
          <w:b/>
          <w:bCs/>
        </w:rPr>
        <w:t>3</w:t>
      </w:r>
      <w:r w:rsidRPr="00A11CC1">
        <w:t>C. The very low transition intensity for the heterochiral tag complex spectrum when (</w:t>
      </w:r>
      <w:r w:rsidRPr="00A11CC1">
        <w:rPr>
          <w:i/>
          <w:iCs/>
        </w:rPr>
        <w:t>S</w:t>
      </w:r>
      <w:r w:rsidRPr="00A11CC1">
        <w:t>)-propylene oxide (EE=99.6) is used as the tag shows that this substrate is also produced with high enantiopurity. The quantitative EE analysis of these three reaction products is presented in the Supporting Information.</w:t>
      </w:r>
    </w:p>
    <w:p w14:paraId="40456F1C" w14:textId="77777777" w:rsidR="00073BE7" w:rsidRPr="001C26FC" w:rsidRDefault="00073BE7" w:rsidP="00073BE7">
      <w:pPr>
        <w:pStyle w:val="Heading2"/>
        <w:spacing w:after="180"/>
        <w:rPr>
          <w:rFonts w:asciiTheme="minorHAnsi" w:hAnsiTheme="minorHAnsi" w:cstheme="minorHAnsi"/>
          <w:sz w:val="39"/>
          <w:szCs w:val="39"/>
        </w:rPr>
      </w:pPr>
      <w:r w:rsidRPr="001C26FC">
        <w:rPr>
          <w:rFonts w:asciiTheme="minorHAnsi" w:hAnsiTheme="minorHAnsi" w:cstheme="minorHAnsi"/>
          <w:sz w:val="39"/>
          <w:szCs w:val="39"/>
        </w:rPr>
        <w:t>Conclusion</w:t>
      </w:r>
    </w:p>
    <w:p w14:paraId="42C44D8E" w14:textId="6C485836" w:rsidR="00073BE7" w:rsidRPr="00A11CC1" w:rsidRDefault="00073BE7" w:rsidP="00A11CC1">
      <w:r w:rsidRPr="00A11CC1">
        <w:t xml:space="preserve">In summary, a new synthetic methodology for the preparation of molecules where deuterium substitution creates a new chiral center is reported. The enantioselective Cu-catalyzed alkene transfer </w:t>
      </w:r>
      <w:proofErr w:type="spellStart"/>
      <w:r w:rsidRPr="00A11CC1">
        <w:t>hydrodeuteration</w:t>
      </w:r>
      <w:proofErr w:type="spellEnd"/>
      <w:r w:rsidRPr="00A11CC1">
        <w:t xml:space="preserve"> represents a one-step protocol to prepare highly enantioenriched molecules precisely deuterated at the α-benzylic position from readily available alkene substrates. The reaction can be performed on terminal or internal aryl alkenes and represents the first metal-catalyzed reaction for the enantioselective synthesis of </w:t>
      </w:r>
      <w:proofErr w:type="spellStart"/>
      <w:r w:rsidRPr="00A11CC1">
        <w:t>enantioisotopomers</w:t>
      </w:r>
      <w:proofErr w:type="spellEnd"/>
      <w:r w:rsidRPr="00A11CC1">
        <w:t xml:space="preserve">. A full analysis of the isotopic composition of deuteration reaction products is possible using molecular rotational resonance spectroscopy. This work has demonstrated the use of chiral tag rotational spectroscopy for the analysis of </w:t>
      </w:r>
      <w:proofErr w:type="spellStart"/>
      <w:r w:rsidRPr="00A11CC1">
        <w:t>enantioisotopomers</w:t>
      </w:r>
      <w:proofErr w:type="spellEnd"/>
      <w:r w:rsidRPr="00A11CC1">
        <w:t xml:space="preserve">. Both the assignment of absolute configuration and the measurement of the enantiomeric excess are accomplished without the need </w:t>
      </w:r>
      <w:proofErr w:type="gramStart"/>
      <w:r w:rsidRPr="00A11CC1">
        <w:t>of</w:t>
      </w:r>
      <w:proofErr w:type="gramEnd"/>
      <w:r w:rsidRPr="00A11CC1">
        <w:t xml:space="preserve"> any reference samples of the analyte. We note that a different approach to using MRR to perform chiral analysis—three-wave mixing rotational spectroscopy</w:t>
      </w:r>
      <w:r w:rsidRPr="00AA4CA8">
        <w:rPr>
          <w:rFonts w:cstheme="minorHAnsi"/>
          <w:vertAlign w:val="superscript"/>
        </w:rPr>
        <w:t>54</w:t>
      </w:r>
      <w:r w:rsidRPr="00A11CC1">
        <w:rPr>
          <w:vertAlign w:val="superscript"/>
        </w:rPr>
        <w:t>-</w:t>
      </w:r>
      <w:r w:rsidRPr="00AA4CA8">
        <w:rPr>
          <w:rFonts w:cstheme="minorHAnsi"/>
          <w:vertAlign w:val="superscript"/>
        </w:rPr>
        <w:t>56</w:t>
      </w:r>
      <w:r w:rsidRPr="00A11CC1">
        <w:t xml:space="preserve">—has recently been described for molecules that are chiral by virtue of deuteration. However, in its present state of development this technique cannot assign the AC of a sample because no method has been demonstrated that can determine the absolute phase of the chiral signal. Furthermore, the measurement of the EE requires a reference sample of known EE to calibrate the instrument. Ultimately, we anticipate the synthetic and spectroscopic advances described will enable future precision deuteration reaction development and serve to expedite the use of </w:t>
      </w:r>
      <w:proofErr w:type="spellStart"/>
      <w:r w:rsidRPr="00A11CC1">
        <w:t>enantioisotopomers</w:t>
      </w:r>
      <w:proofErr w:type="spellEnd"/>
      <w:r w:rsidRPr="00A11CC1">
        <w:t xml:space="preserve"> as novel tools or molecule entities in high-impacting chemistry research.</w:t>
      </w:r>
    </w:p>
    <w:p w14:paraId="7FE01447" w14:textId="77777777" w:rsidR="00073BE7" w:rsidRPr="001C26FC" w:rsidRDefault="00073BE7" w:rsidP="00073BE7">
      <w:pPr>
        <w:pStyle w:val="Heading2"/>
        <w:spacing w:after="180"/>
        <w:rPr>
          <w:rFonts w:asciiTheme="minorHAnsi" w:hAnsiTheme="minorHAnsi" w:cstheme="minorHAnsi"/>
          <w:sz w:val="39"/>
          <w:szCs w:val="39"/>
        </w:rPr>
      </w:pPr>
      <w:r w:rsidRPr="001C26FC">
        <w:rPr>
          <w:rFonts w:asciiTheme="minorHAnsi" w:hAnsiTheme="minorHAnsi" w:cstheme="minorHAnsi"/>
          <w:sz w:val="39"/>
          <w:szCs w:val="39"/>
        </w:rPr>
        <w:t>Acknowledgements</w:t>
      </w:r>
    </w:p>
    <w:p w14:paraId="5276E3E0" w14:textId="77777777" w:rsidR="00073BE7" w:rsidRPr="00A11CC1" w:rsidRDefault="00073BE7" w:rsidP="00A11CC1">
      <w:r w:rsidRPr="00A11CC1">
        <w:t xml:space="preserve">MRR analysis was supported by NSF Award 1904686. The collaboration with </w:t>
      </w:r>
      <w:proofErr w:type="spellStart"/>
      <w:r w:rsidRPr="00A11CC1">
        <w:t>BrightSpec</w:t>
      </w:r>
      <w:proofErr w:type="spellEnd"/>
      <w:r w:rsidRPr="00A11CC1">
        <w:t xml:space="preserve"> was supported by the Virginia Catalyst Program. Computational support was provided by the University of Virginia through a research allocation on the Rivanna high-performance computing system. J.R.C acknowledges the donors of the American Chemical Society Petroleum Research Fund (65384-DNI1) for partial support of this research and Marquette University for financial support in the form of start-up funds. Z.P.V. thanks Marquette University Department of Chemistry for an Eisch Fellowship. We acknowledge the University at Buffalo Chemistry Instrument Center for performing HRMS analyses (NIH S10 RR029517, NSF CHE-1919594).</w:t>
      </w:r>
    </w:p>
    <w:p w14:paraId="3610DA6C" w14:textId="77777777" w:rsidR="00073BE7" w:rsidRPr="001C26FC" w:rsidRDefault="00073BE7" w:rsidP="00073BE7">
      <w:pPr>
        <w:pStyle w:val="Heading2"/>
        <w:spacing w:after="180"/>
        <w:rPr>
          <w:rFonts w:asciiTheme="minorHAnsi" w:hAnsiTheme="minorHAnsi" w:cstheme="minorHAnsi"/>
          <w:sz w:val="39"/>
          <w:szCs w:val="39"/>
        </w:rPr>
      </w:pPr>
      <w:r w:rsidRPr="001C26FC">
        <w:rPr>
          <w:rFonts w:asciiTheme="minorHAnsi" w:hAnsiTheme="minorHAnsi" w:cstheme="minorHAnsi"/>
          <w:sz w:val="39"/>
          <w:szCs w:val="39"/>
        </w:rPr>
        <w:t>Conflict of interest</w:t>
      </w:r>
    </w:p>
    <w:p w14:paraId="3F98371A" w14:textId="77777777" w:rsidR="00073BE7" w:rsidRPr="00A11CC1" w:rsidRDefault="00073BE7" w:rsidP="00A11CC1">
      <w:r w:rsidRPr="00A11CC1">
        <w:t xml:space="preserve">Authors Reilly </w:t>
      </w:r>
      <w:proofErr w:type="spellStart"/>
      <w:r w:rsidRPr="00A11CC1">
        <w:t>Sonstrom</w:t>
      </w:r>
      <w:proofErr w:type="spellEnd"/>
      <w:r w:rsidRPr="00A11CC1">
        <w:t xml:space="preserve">, Justin Neill, and Brooks Pate have equity in </w:t>
      </w:r>
      <w:proofErr w:type="spellStart"/>
      <w:r w:rsidRPr="00A11CC1">
        <w:t>BrightSpec</w:t>
      </w:r>
      <w:proofErr w:type="spellEnd"/>
      <w:r w:rsidRPr="00A11CC1">
        <w:t>, Inc., which commercializes MRR spectroscopy for analytical spectroscopy.</w:t>
      </w:r>
    </w:p>
    <w:p w14:paraId="0E815921" w14:textId="74836A0A" w:rsidR="00C969A6" w:rsidRDefault="00391ADC" w:rsidP="00917CA7">
      <w:pPr>
        <w:pStyle w:val="Heading1"/>
      </w:pPr>
      <w:r>
        <w:t>References</w:t>
      </w:r>
    </w:p>
    <w:p w14:paraId="4E61D947" w14:textId="24BF6945" w:rsidR="00917CA7" w:rsidRPr="00917CA7" w:rsidRDefault="00917CA7" w:rsidP="00BF1D9F">
      <w:pPr>
        <w:pStyle w:val="NoSpacing"/>
        <w:ind w:left="720" w:hanging="720"/>
        <w:rPr>
          <w:rFonts w:cstheme="minorHAnsi"/>
        </w:rPr>
      </w:pPr>
      <w:r w:rsidRPr="00917CA7">
        <w:rPr>
          <w:rFonts w:cstheme="minorHAnsi"/>
        </w:rPr>
        <w:t>1</w:t>
      </w:r>
      <w:r w:rsidR="00BF1D9F">
        <w:rPr>
          <w:rFonts w:cstheme="minorHAnsi"/>
        </w:rPr>
        <w:t xml:space="preserve"> </w:t>
      </w:r>
      <w:r w:rsidRPr="00917CA7">
        <w:rPr>
          <w:rFonts w:cstheme="minorHAnsi"/>
        </w:rPr>
        <w:t>E. M. Simmons, J. F. Hartwig, </w:t>
      </w:r>
      <w:proofErr w:type="spellStart"/>
      <w:r w:rsidRPr="00917CA7">
        <w:rPr>
          <w:rFonts w:cstheme="minorHAnsi"/>
          <w:i/>
          <w:iCs/>
        </w:rPr>
        <w:t>Angew</w:t>
      </w:r>
      <w:proofErr w:type="spellEnd"/>
      <w:r w:rsidRPr="00917CA7">
        <w:rPr>
          <w:rFonts w:cstheme="minorHAnsi"/>
          <w:i/>
          <w:iCs/>
        </w:rPr>
        <w:t>. Chem. Int. Ed.</w:t>
      </w:r>
      <w:r w:rsidRPr="00917CA7">
        <w:rPr>
          <w:rFonts w:cstheme="minorHAnsi"/>
        </w:rPr>
        <w:t> 2012, </w:t>
      </w:r>
      <w:r w:rsidRPr="00917CA7">
        <w:rPr>
          <w:rFonts w:cstheme="minorHAnsi"/>
          <w:b/>
          <w:bCs/>
        </w:rPr>
        <w:t>51</w:t>
      </w:r>
      <w:r w:rsidRPr="00917CA7">
        <w:rPr>
          <w:rFonts w:cstheme="minorHAnsi"/>
        </w:rPr>
        <w:t>, 3066–3072;</w:t>
      </w:r>
      <w:r w:rsidR="00BF1D9F">
        <w:rPr>
          <w:rFonts w:cstheme="minorHAnsi"/>
        </w:rPr>
        <w:t xml:space="preserve"> </w:t>
      </w:r>
      <w:proofErr w:type="spellStart"/>
      <w:r w:rsidRPr="00917CA7">
        <w:rPr>
          <w:rFonts w:cstheme="minorHAnsi"/>
          <w:i/>
          <w:iCs/>
        </w:rPr>
        <w:t>Angew</w:t>
      </w:r>
      <w:proofErr w:type="spellEnd"/>
      <w:r w:rsidRPr="00917CA7">
        <w:rPr>
          <w:rFonts w:cstheme="minorHAnsi"/>
          <w:i/>
          <w:iCs/>
        </w:rPr>
        <w:t>. Chem.</w:t>
      </w:r>
      <w:r w:rsidRPr="00917CA7">
        <w:rPr>
          <w:rFonts w:cstheme="minorHAnsi"/>
        </w:rPr>
        <w:t> 2012, </w:t>
      </w:r>
      <w:r w:rsidRPr="00917CA7">
        <w:rPr>
          <w:rFonts w:cstheme="minorHAnsi"/>
          <w:b/>
          <w:bCs/>
        </w:rPr>
        <w:t>124</w:t>
      </w:r>
      <w:r w:rsidRPr="00917CA7">
        <w:rPr>
          <w:rFonts w:cstheme="minorHAnsi"/>
        </w:rPr>
        <w:t>, 3120–3126.</w:t>
      </w:r>
    </w:p>
    <w:p w14:paraId="06ACCB9B" w14:textId="4F2A4C56" w:rsidR="00917CA7" w:rsidRPr="00917CA7" w:rsidRDefault="00917CA7" w:rsidP="00BF1D9F">
      <w:pPr>
        <w:pStyle w:val="NoSpacing"/>
        <w:ind w:left="720" w:hanging="720"/>
        <w:rPr>
          <w:rFonts w:cstheme="minorHAnsi"/>
        </w:rPr>
      </w:pPr>
      <w:r w:rsidRPr="00917CA7">
        <w:rPr>
          <w:rFonts w:cstheme="minorHAnsi"/>
        </w:rPr>
        <w:t>2</w:t>
      </w:r>
      <w:r w:rsidR="00BF1D9F">
        <w:rPr>
          <w:rFonts w:cstheme="minorHAnsi"/>
        </w:rPr>
        <w:t xml:space="preserve"> </w:t>
      </w:r>
      <w:r w:rsidRPr="00917CA7">
        <w:rPr>
          <w:rFonts w:cstheme="minorHAnsi"/>
        </w:rPr>
        <w:t xml:space="preserve">T. </w:t>
      </w:r>
      <w:proofErr w:type="spellStart"/>
      <w:r w:rsidRPr="00917CA7">
        <w:rPr>
          <w:rFonts w:cstheme="minorHAnsi"/>
        </w:rPr>
        <w:t>Giagou</w:t>
      </w:r>
      <w:proofErr w:type="spellEnd"/>
      <w:r w:rsidRPr="00917CA7">
        <w:rPr>
          <w:rFonts w:cstheme="minorHAnsi"/>
        </w:rPr>
        <w:t>, M. P. Meyer, </w:t>
      </w:r>
      <w:r w:rsidRPr="00917CA7">
        <w:rPr>
          <w:rFonts w:cstheme="minorHAnsi"/>
          <w:i/>
          <w:iCs/>
        </w:rPr>
        <w:t>Chem. Eur. J.</w:t>
      </w:r>
      <w:r w:rsidRPr="00917CA7">
        <w:rPr>
          <w:rFonts w:cstheme="minorHAnsi"/>
        </w:rPr>
        <w:t> 2010, </w:t>
      </w:r>
      <w:r w:rsidRPr="00917CA7">
        <w:rPr>
          <w:rFonts w:cstheme="minorHAnsi"/>
          <w:b/>
          <w:bCs/>
        </w:rPr>
        <w:t>16</w:t>
      </w:r>
      <w:r w:rsidRPr="00917CA7">
        <w:rPr>
          <w:rFonts w:cstheme="minorHAnsi"/>
        </w:rPr>
        <w:t>, 10616–10628.</w:t>
      </w:r>
    </w:p>
    <w:p w14:paraId="7C1F679D" w14:textId="3EE415EF" w:rsidR="00917CA7" w:rsidRPr="00917CA7" w:rsidRDefault="00917CA7" w:rsidP="00BF1D9F">
      <w:pPr>
        <w:pStyle w:val="NoSpacing"/>
        <w:ind w:left="720" w:hanging="720"/>
        <w:rPr>
          <w:rFonts w:cstheme="minorHAnsi"/>
        </w:rPr>
      </w:pPr>
      <w:r w:rsidRPr="00917CA7">
        <w:rPr>
          <w:rFonts w:cstheme="minorHAnsi"/>
        </w:rPr>
        <w:t>3</w:t>
      </w:r>
      <w:r w:rsidR="00BF1D9F">
        <w:rPr>
          <w:rFonts w:cstheme="minorHAnsi"/>
        </w:rPr>
        <w:t xml:space="preserve"> </w:t>
      </w:r>
      <w:r w:rsidRPr="00917CA7">
        <w:rPr>
          <w:rFonts w:cstheme="minorHAnsi"/>
        </w:rPr>
        <w:t>S. J. Meek, C. L. Pitman, A. J. M. Miller, </w:t>
      </w:r>
      <w:r w:rsidRPr="00917CA7">
        <w:rPr>
          <w:rFonts w:cstheme="minorHAnsi"/>
          <w:i/>
          <w:iCs/>
        </w:rPr>
        <w:t>J. Chem. Educ.</w:t>
      </w:r>
      <w:r w:rsidRPr="00917CA7">
        <w:rPr>
          <w:rFonts w:cstheme="minorHAnsi"/>
        </w:rPr>
        <w:t> 2016, </w:t>
      </w:r>
      <w:r w:rsidRPr="00917CA7">
        <w:rPr>
          <w:rFonts w:cstheme="minorHAnsi"/>
          <w:b/>
          <w:bCs/>
        </w:rPr>
        <w:t>93</w:t>
      </w:r>
      <w:r w:rsidRPr="00917CA7">
        <w:rPr>
          <w:rFonts w:cstheme="minorHAnsi"/>
        </w:rPr>
        <w:t>, 275–286.</w:t>
      </w:r>
    </w:p>
    <w:p w14:paraId="6FE40718" w14:textId="6A4A491F" w:rsidR="00917CA7" w:rsidRPr="00917CA7" w:rsidRDefault="00917CA7" w:rsidP="00BF1D9F">
      <w:pPr>
        <w:pStyle w:val="NoSpacing"/>
        <w:ind w:left="720" w:hanging="720"/>
        <w:rPr>
          <w:rFonts w:cstheme="minorHAnsi"/>
        </w:rPr>
      </w:pPr>
      <w:r w:rsidRPr="00917CA7">
        <w:rPr>
          <w:rFonts w:cstheme="minorHAnsi"/>
        </w:rPr>
        <w:t>4</w:t>
      </w:r>
      <w:r w:rsidR="00BF1D9F">
        <w:rPr>
          <w:rFonts w:cstheme="minorHAnsi"/>
        </w:rPr>
        <w:t xml:space="preserve"> </w:t>
      </w:r>
      <w:r w:rsidRPr="00917CA7">
        <w:rPr>
          <w:rFonts w:cstheme="minorHAnsi"/>
        </w:rPr>
        <w:t>M. Gómez-Gallego, M. A. Sierra, </w:t>
      </w:r>
      <w:r w:rsidRPr="00917CA7">
        <w:rPr>
          <w:rFonts w:cstheme="minorHAnsi"/>
          <w:i/>
          <w:iCs/>
        </w:rPr>
        <w:t>Chem. Rev.</w:t>
      </w:r>
      <w:r w:rsidRPr="00917CA7">
        <w:rPr>
          <w:rFonts w:cstheme="minorHAnsi"/>
        </w:rPr>
        <w:t> 2011, </w:t>
      </w:r>
      <w:r w:rsidRPr="00917CA7">
        <w:rPr>
          <w:rFonts w:cstheme="minorHAnsi"/>
          <w:b/>
          <w:bCs/>
        </w:rPr>
        <w:t>111</w:t>
      </w:r>
      <w:r w:rsidRPr="00917CA7">
        <w:rPr>
          <w:rFonts w:cstheme="minorHAnsi"/>
        </w:rPr>
        <w:t>, 4857–4963.</w:t>
      </w:r>
    </w:p>
    <w:p w14:paraId="0DFC8C3A" w14:textId="2EFE3BD6" w:rsidR="00917CA7" w:rsidRPr="00917CA7" w:rsidRDefault="00917CA7" w:rsidP="00BF1D9F">
      <w:pPr>
        <w:pStyle w:val="NoSpacing"/>
        <w:ind w:left="720" w:hanging="720"/>
        <w:rPr>
          <w:rFonts w:cstheme="minorHAnsi"/>
        </w:rPr>
      </w:pPr>
      <w:r w:rsidRPr="00917CA7">
        <w:rPr>
          <w:rFonts w:cstheme="minorHAnsi"/>
        </w:rPr>
        <w:t>5</w:t>
      </w:r>
      <w:r w:rsidR="00BF1D9F">
        <w:rPr>
          <w:rFonts w:cstheme="minorHAnsi"/>
        </w:rPr>
        <w:t xml:space="preserve"> </w:t>
      </w:r>
      <w:r w:rsidRPr="00917CA7">
        <w:rPr>
          <w:rFonts w:cstheme="minorHAnsi"/>
        </w:rPr>
        <w:t xml:space="preserve">Y. Chen, W. L. Tang, J. </w:t>
      </w:r>
      <w:proofErr w:type="spellStart"/>
      <w:r w:rsidRPr="00917CA7">
        <w:rPr>
          <w:rFonts w:cstheme="minorHAnsi"/>
        </w:rPr>
        <w:t>Mou</w:t>
      </w:r>
      <w:proofErr w:type="spellEnd"/>
      <w:r w:rsidRPr="00917CA7">
        <w:rPr>
          <w:rFonts w:cstheme="minorHAnsi"/>
        </w:rPr>
        <w:t>, Z. Li, </w:t>
      </w:r>
      <w:proofErr w:type="spellStart"/>
      <w:r w:rsidRPr="00917CA7">
        <w:rPr>
          <w:rFonts w:cstheme="minorHAnsi"/>
          <w:i/>
          <w:iCs/>
        </w:rPr>
        <w:t>Angew</w:t>
      </w:r>
      <w:proofErr w:type="spellEnd"/>
      <w:r w:rsidRPr="00917CA7">
        <w:rPr>
          <w:rFonts w:cstheme="minorHAnsi"/>
          <w:i/>
          <w:iCs/>
        </w:rPr>
        <w:t>. Chem. Int. Ed.</w:t>
      </w:r>
      <w:r w:rsidRPr="00917CA7">
        <w:rPr>
          <w:rFonts w:cstheme="minorHAnsi"/>
        </w:rPr>
        <w:t> 2010, </w:t>
      </w:r>
      <w:r w:rsidRPr="00917CA7">
        <w:rPr>
          <w:rFonts w:cstheme="minorHAnsi"/>
          <w:b/>
          <w:bCs/>
        </w:rPr>
        <w:t>49</w:t>
      </w:r>
      <w:r w:rsidRPr="00917CA7">
        <w:rPr>
          <w:rFonts w:cstheme="minorHAnsi"/>
        </w:rPr>
        <w:t>, 5278–5283;</w:t>
      </w:r>
      <w:r w:rsidR="00BF1D9F">
        <w:rPr>
          <w:rFonts w:cstheme="minorHAnsi"/>
        </w:rPr>
        <w:t xml:space="preserve"> </w:t>
      </w:r>
      <w:proofErr w:type="spellStart"/>
      <w:r w:rsidRPr="00917CA7">
        <w:rPr>
          <w:rFonts w:cstheme="minorHAnsi"/>
          <w:i/>
          <w:iCs/>
        </w:rPr>
        <w:t>Angew</w:t>
      </w:r>
      <w:proofErr w:type="spellEnd"/>
      <w:r w:rsidRPr="00917CA7">
        <w:rPr>
          <w:rFonts w:cstheme="minorHAnsi"/>
          <w:i/>
          <w:iCs/>
        </w:rPr>
        <w:t>. Chem.</w:t>
      </w:r>
      <w:r w:rsidRPr="00917CA7">
        <w:rPr>
          <w:rFonts w:cstheme="minorHAnsi"/>
        </w:rPr>
        <w:t> 2010, </w:t>
      </w:r>
      <w:r w:rsidRPr="00917CA7">
        <w:rPr>
          <w:rFonts w:cstheme="minorHAnsi"/>
          <w:b/>
          <w:bCs/>
        </w:rPr>
        <w:t>122</w:t>
      </w:r>
      <w:r w:rsidRPr="00917CA7">
        <w:rPr>
          <w:rFonts w:cstheme="minorHAnsi"/>
        </w:rPr>
        <w:t>, 5406–5411.</w:t>
      </w:r>
    </w:p>
    <w:p w14:paraId="5C3F4396" w14:textId="3D6A384A" w:rsidR="00917CA7" w:rsidRPr="00917CA7" w:rsidRDefault="00917CA7" w:rsidP="00BF1D9F">
      <w:pPr>
        <w:pStyle w:val="NoSpacing"/>
        <w:ind w:left="720" w:hanging="720"/>
        <w:rPr>
          <w:rFonts w:cstheme="minorHAnsi"/>
        </w:rPr>
      </w:pPr>
      <w:r w:rsidRPr="00917CA7">
        <w:rPr>
          <w:rFonts w:cstheme="minorHAnsi"/>
        </w:rPr>
        <w:t>6</w:t>
      </w:r>
      <w:r w:rsidR="00BF1D9F">
        <w:rPr>
          <w:rFonts w:cstheme="minorHAnsi"/>
        </w:rPr>
        <w:t xml:space="preserve"> </w:t>
      </w:r>
      <w:r w:rsidRPr="00917CA7">
        <w:rPr>
          <w:rFonts w:cstheme="minorHAnsi"/>
        </w:rPr>
        <w:t>R. E. White, J. P. Miller, L. V. Favreau, A. Bhattacharyya, </w:t>
      </w:r>
      <w:r w:rsidRPr="00917CA7">
        <w:rPr>
          <w:rFonts w:cstheme="minorHAnsi"/>
          <w:i/>
          <w:iCs/>
        </w:rPr>
        <w:t>J. Am. Chem. Soc.</w:t>
      </w:r>
      <w:r w:rsidRPr="00917CA7">
        <w:rPr>
          <w:rFonts w:cstheme="minorHAnsi"/>
        </w:rPr>
        <w:t> 1986, </w:t>
      </w:r>
      <w:r w:rsidRPr="00917CA7">
        <w:rPr>
          <w:rFonts w:cstheme="minorHAnsi"/>
          <w:b/>
          <w:bCs/>
        </w:rPr>
        <w:t>108</w:t>
      </w:r>
      <w:r w:rsidRPr="00917CA7">
        <w:rPr>
          <w:rFonts w:cstheme="minorHAnsi"/>
        </w:rPr>
        <w:t>, 6024–6031.</w:t>
      </w:r>
    </w:p>
    <w:p w14:paraId="5B09E5FE" w14:textId="22A56040" w:rsidR="00917CA7" w:rsidRPr="00917CA7" w:rsidRDefault="00917CA7" w:rsidP="00BF1D9F">
      <w:pPr>
        <w:pStyle w:val="NoSpacing"/>
        <w:ind w:left="720" w:hanging="720"/>
        <w:rPr>
          <w:rFonts w:cstheme="minorHAnsi"/>
        </w:rPr>
      </w:pPr>
      <w:r w:rsidRPr="00917CA7">
        <w:rPr>
          <w:rFonts w:cstheme="minorHAnsi"/>
        </w:rPr>
        <w:t>7</w:t>
      </w:r>
      <w:r w:rsidR="00BF1D9F">
        <w:rPr>
          <w:rFonts w:cstheme="minorHAnsi"/>
        </w:rPr>
        <w:t xml:space="preserve"> </w:t>
      </w:r>
      <w:r w:rsidRPr="00917CA7">
        <w:rPr>
          <w:rFonts w:cstheme="minorHAnsi"/>
        </w:rPr>
        <w:t xml:space="preserve">M. N. Alberti, G. </w:t>
      </w:r>
      <w:proofErr w:type="spellStart"/>
      <w:r w:rsidRPr="00917CA7">
        <w:rPr>
          <w:rFonts w:cstheme="minorHAnsi"/>
        </w:rPr>
        <w:t>Vassilikogiannakis</w:t>
      </w:r>
      <w:proofErr w:type="spellEnd"/>
      <w:r w:rsidRPr="00917CA7">
        <w:rPr>
          <w:rFonts w:cstheme="minorHAnsi"/>
        </w:rPr>
        <w:t xml:space="preserve">, M. </w:t>
      </w:r>
      <w:proofErr w:type="spellStart"/>
      <w:r w:rsidRPr="00917CA7">
        <w:rPr>
          <w:rFonts w:cstheme="minorHAnsi"/>
        </w:rPr>
        <w:t>Orfanopoulos</w:t>
      </w:r>
      <w:proofErr w:type="spellEnd"/>
      <w:r w:rsidRPr="00917CA7">
        <w:rPr>
          <w:rFonts w:cstheme="minorHAnsi"/>
        </w:rPr>
        <w:t>, </w:t>
      </w:r>
      <w:r w:rsidRPr="00917CA7">
        <w:rPr>
          <w:rFonts w:cstheme="minorHAnsi"/>
          <w:i/>
          <w:iCs/>
        </w:rPr>
        <w:t>Org. Lett.</w:t>
      </w:r>
      <w:r w:rsidRPr="00917CA7">
        <w:rPr>
          <w:rFonts w:cstheme="minorHAnsi"/>
        </w:rPr>
        <w:t> 2008, </w:t>
      </w:r>
      <w:r w:rsidRPr="00917CA7">
        <w:rPr>
          <w:rFonts w:cstheme="minorHAnsi"/>
          <w:b/>
          <w:bCs/>
        </w:rPr>
        <w:t>10</w:t>
      </w:r>
      <w:r w:rsidRPr="00917CA7">
        <w:rPr>
          <w:rFonts w:cstheme="minorHAnsi"/>
        </w:rPr>
        <w:t>, 3997–4000.</w:t>
      </w:r>
    </w:p>
    <w:p w14:paraId="6DA09E8E" w14:textId="1FEB5840" w:rsidR="00917CA7" w:rsidRPr="00917CA7" w:rsidRDefault="00917CA7" w:rsidP="00BF1D9F">
      <w:pPr>
        <w:pStyle w:val="NoSpacing"/>
        <w:ind w:left="720" w:hanging="720"/>
        <w:rPr>
          <w:rFonts w:cstheme="minorHAnsi"/>
        </w:rPr>
      </w:pPr>
      <w:r w:rsidRPr="00917CA7">
        <w:rPr>
          <w:rFonts w:cstheme="minorHAnsi"/>
        </w:rPr>
        <w:t>8</w:t>
      </w:r>
      <w:r w:rsidR="00BF1D9F">
        <w:rPr>
          <w:rFonts w:cstheme="minorHAnsi"/>
        </w:rPr>
        <w:t xml:space="preserve"> </w:t>
      </w:r>
      <w:r w:rsidRPr="00917CA7">
        <w:rPr>
          <w:rFonts w:cstheme="minorHAnsi"/>
        </w:rPr>
        <w:t>M. J. Schwab, </w:t>
      </w:r>
      <w:r w:rsidRPr="00917CA7">
        <w:rPr>
          <w:rFonts w:cstheme="minorHAnsi"/>
          <w:i/>
          <w:iCs/>
        </w:rPr>
        <w:t>J. Am. Chem. Soc.</w:t>
      </w:r>
      <w:r w:rsidRPr="00917CA7">
        <w:rPr>
          <w:rFonts w:cstheme="minorHAnsi"/>
        </w:rPr>
        <w:t> 1981, </w:t>
      </w:r>
      <w:r w:rsidRPr="00917CA7">
        <w:rPr>
          <w:rFonts w:cstheme="minorHAnsi"/>
          <w:b/>
          <w:bCs/>
        </w:rPr>
        <w:t>103</w:t>
      </w:r>
      <w:r w:rsidRPr="00917CA7">
        <w:rPr>
          <w:rFonts w:cstheme="minorHAnsi"/>
        </w:rPr>
        <w:t>, 1876–1878.</w:t>
      </w:r>
    </w:p>
    <w:p w14:paraId="3334048A" w14:textId="24DF2717" w:rsidR="00917CA7" w:rsidRPr="00917CA7" w:rsidRDefault="00917CA7" w:rsidP="00BF1D9F">
      <w:pPr>
        <w:pStyle w:val="NoSpacing"/>
        <w:ind w:left="720" w:hanging="720"/>
        <w:rPr>
          <w:rFonts w:cstheme="minorHAnsi"/>
        </w:rPr>
      </w:pPr>
      <w:r w:rsidRPr="00917CA7">
        <w:rPr>
          <w:rFonts w:cstheme="minorHAnsi"/>
        </w:rPr>
        <w:t>9</w:t>
      </w:r>
      <w:r w:rsidR="00BF1D9F">
        <w:rPr>
          <w:rFonts w:cstheme="minorHAnsi"/>
        </w:rPr>
        <w:t xml:space="preserve"> </w:t>
      </w:r>
      <w:r w:rsidRPr="00917CA7">
        <w:rPr>
          <w:rFonts w:cstheme="minorHAnsi"/>
        </w:rPr>
        <w:t xml:space="preserve">K. W. Quasdorf, A. D. </w:t>
      </w:r>
      <w:proofErr w:type="spellStart"/>
      <w:r w:rsidRPr="00917CA7">
        <w:rPr>
          <w:rFonts w:cstheme="minorHAnsi"/>
        </w:rPr>
        <w:t>Huters</w:t>
      </w:r>
      <w:proofErr w:type="spellEnd"/>
      <w:r w:rsidRPr="00917CA7">
        <w:rPr>
          <w:rFonts w:cstheme="minorHAnsi"/>
        </w:rPr>
        <w:t xml:space="preserve">, M. W. </w:t>
      </w:r>
      <w:proofErr w:type="spellStart"/>
      <w:r w:rsidRPr="00917CA7">
        <w:rPr>
          <w:rFonts w:cstheme="minorHAnsi"/>
        </w:rPr>
        <w:t>Lodewyk</w:t>
      </w:r>
      <w:proofErr w:type="spellEnd"/>
      <w:r w:rsidRPr="00917CA7">
        <w:rPr>
          <w:rFonts w:cstheme="minorHAnsi"/>
        </w:rPr>
        <w:t>, D. J. Tantillo, N. K. Garg, </w:t>
      </w:r>
      <w:r w:rsidRPr="00917CA7">
        <w:rPr>
          <w:rFonts w:cstheme="minorHAnsi"/>
          <w:i/>
          <w:iCs/>
        </w:rPr>
        <w:t>J. Am. Chem. Soc.</w:t>
      </w:r>
      <w:r w:rsidRPr="00917CA7">
        <w:rPr>
          <w:rFonts w:cstheme="minorHAnsi"/>
        </w:rPr>
        <w:t> 2012, </w:t>
      </w:r>
      <w:r w:rsidRPr="00917CA7">
        <w:rPr>
          <w:rFonts w:cstheme="minorHAnsi"/>
          <w:b/>
          <w:bCs/>
        </w:rPr>
        <w:t>134</w:t>
      </w:r>
      <w:r w:rsidRPr="00917CA7">
        <w:rPr>
          <w:rFonts w:cstheme="minorHAnsi"/>
        </w:rPr>
        <w:t>, 1396–1399.</w:t>
      </w:r>
    </w:p>
    <w:p w14:paraId="1CB5714F" w14:textId="56661276" w:rsidR="00917CA7" w:rsidRPr="00917CA7" w:rsidRDefault="00917CA7" w:rsidP="00BF1D9F">
      <w:pPr>
        <w:pStyle w:val="NoSpacing"/>
        <w:ind w:left="720" w:hanging="720"/>
        <w:rPr>
          <w:rFonts w:cstheme="minorHAnsi"/>
        </w:rPr>
      </w:pPr>
      <w:r w:rsidRPr="00917CA7">
        <w:rPr>
          <w:rFonts w:cstheme="minorHAnsi"/>
        </w:rPr>
        <w:t>10</w:t>
      </w:r>
      <w:r w:rsidR="00BF1D9F">
        <w:rPr>
          <w:rFonts w:cstheme="minorHAnsi"/>
        </w:rPr>
        <w:t xml:space="preserve"> </w:t>
      </w:r>
      <w:r w:rsidRPr="00917CA7">
        <w:rPr>
          <w:rFonts w:cstheme="minorHAnsi"/>
        </w:rPr>
        <w:t>M. Miyashita, M. Sasaki, I. Hattori, M. Sakai, K. Tanino, </w:t>
      </w:r>
      <w:r w:rsidRPr="00917CA7">
        <w:rPr>
          <w:rFonts w:cstheme="minorHAnsi"/>
          <w:i/>
          <w:iCs/>
        </w:rPr>
        <w:t>Science</w:t>
      </w:r>
      <w:r w:rsidRPr="00917CA7">
        <w:rPr>
          <w:rFonts w:cstheme="minorHAnsi"/>
        </w:rPr>
        <w:t> 2004, </w:t>
      </w:r>
      <w:r w:rsidRPr="00917CA7">
        <w:rPr>
          <w:rFonts w:cstheme="minorHAnsi"/>
          <w:b/>
          <w:bCs/>
        </w:rPr>
        <w:t>305</w:t>
      </w:r>
      <w:r w:rsidRPr="00917CA7">
        <w:rPr>
          <w:rFonts w:cstheme="minorHAnsi"/>
        </w:rPr>
        <w:t>, 495–499.</w:t>
      </w:r>
    </w:p>
    <w:p w14:paraId="7EBC9D31" w14:textId="786F06D5" w:rsidR="00917CA7" w:rsidRPr="00917CA7" w:rsidRDefault="00917CA7" w:rsidP="00BF1D9F">
      <w:pPr>
        <w:pStyle w:val="NoSpacing"/>
        <w:ind w:left="720" w:hanging="720"/>
        <w:rPr>
          <w:rFonts w:cstheme="minorHAnsi"/>
        </w:rPr>
      </w:pPr>
      <w:r w:rsidRPr="00917CA7">
        <w:rPr>
          <w:rFonts w:cstheme="minorHAnsi"/>
        </w:rPr>
        <w:t>11</w:t>
      </w:r>
      <w:r w:rsidR="00BF1D9F">
        <w:rPr>
          <w:rFonts w:cstheme="minorHAnsi"/>
        </w:rPr>
        <w:t xml:space="preserve"> </w:t>
      </w:r>
      <w:r w:rsidRPr="00917CA7">
        <w:rPr>
          <w:rFonts w:cstheme="minorHAnsi"/>
        </w:rPr>
        <w:t xml:space="preserve">E. </w:t>
      </w:r>
      <w:proofErr w:type="spellStart"/>
      <w:r w:rsidRPr="00917CA7">
        <w:rPr>
          <w:rFonts w:cstheme="minorHAnsi"/>
        </w:rPr>
        <w:t>Vedejs</w:t>
      </w:r>
      <w:proofErr w:type="spellEnd"/>
      <w:r w:rsidRPr="00917CA7">
        <w:rPr>
          <w:rFonts w:cstheme="minorHAnsi"/>
        </w:rPr>
        <w:t>, J. Little, </w:t>
      </w:r>
      <w:r w:rsidRPr="00917CA7">
        <w:rPr>
          <w:rFonts w:cstheme="minorHAnsi"/>
          <w:i/>
          <w:iCs/>
        </w:rPr>
        <w:t>J. Am. Chem. Soc.</w:t>
      </w:r>
      <w:r w:rsidRPr="00917CA7">
        <w:rPr>
          <w:rFonts w:cstheme="minorHAnsi"/>
        </w:rPr>
        <w:t> 2002, </w:t>
      </w:r>
      <w:r w:rsidRPr="00917CA7">
        <w:rPr>
          <w:rFonts w:cstheme="minorHAnsi"/>
          <w:b/>
          <w:bCs/>
        </w:rPr>
        <w:t>124</w:t>
      </w:r>
      <w:r w:rsidRPr="00917CA7">
        <w:rPr>
          <w:rFonts w:cstheme="minorHAnsi"/>
        </w:rPr>
        <w:t>, 748–749.</w:t>
      </w:r>
    </w:p>
    <w:p w14:paraId="573584AF" w14:textId="4537601D" w:rsidR="00917CA7" w:rsidRPr="00917CA7" w:rsidRDefault="00917CA7" w:rsidP="00BF1D9F">
      <w:pPr>
        <w:pStyle w:val="NoSpacing"/>
        <w:ind w:left="720" w:hanging="720"/>
        <w:rPr>
          <w:rFonts w:cstheme="minorHAnsi"/>
        </w:rPr>
      </w:pPr>
      <w:r w:rsidRPr="00917CA7">
        <w:rPr>
          <w:rFonts w:cstheme="minorHAnsi"/>
        </w:rPr>
        <w:t>12</w:t>
      </w:r>
      <w:r w:rsidR="00BF1D9F">
        <w:rPr>
          <w:rFonts w:cstheme="minorHAnsi"/>
        </w:rPr>
        <w:t xml:space="preserve"> </w:t>
      </w:r>
      <w:r w:rsidRPr="00917CA7">
        <w:rPr>
          <w:rFonts w:cstheme="minorHAnsi"/>
        </w:rPr>
        <w:t xml:space="preserve">T. </w:t>
      </w:r>
      <w:proofErr w:type="spellStart"/>
      <w:r w:rsidRPr="00917CA7">
        <w:rPr>
          <w:rFonts w:cstheme="minorHAnsi"/>
        </w:rPr>
        <w:t>Pirali</w:t>
      </w:r>
      <w:proofErr w:type="spellEnd"/>
      <w:r w:rsidRPr="00917CA7">
        <w:rPr>
          <w:rFonts w:cstheme="minorHAnsi"/>
        </w:rPr>
        <w:t xml:space="preserve">, M. Serafini, S. </w:t>
      </w:r>
      <w:proofErr w:type="spellStart"/>
      <w:r w:rsidRPr="00917CA7">
        <w:rPr>
          <w:rFonts w:cstheme="minorHAnsi"/>
        </w:rPr>
        <w:t>Cargnin</w:t>
      </w:r>
      <w:proofErr w:type="spellEnd"/>
      <w:r w:rsidRPr="00917CA7">
        <w:rPr>
          <w:rFonts w:cstheme="minorHAnsi"/>
        </w:rPr>
        <w:t xml:space="preserve">, A. A. </w:t>
      </w:r>
      <w:proofErr w:type="spellStart"/>
      <w:r w:rsidRPr="00917CA7">
        <w:rPr>
          <w:rFonts w:cstheme="minorHAnsi"/>
        </w:rPr>
        <w:t>Genazzani</w:t>
      </w:r>
      <w:proofErr w:type="spellEnd"/>
      <w:r w:rsidRPr="00917CA7">
        <w:rPr>
          <w:rFonts w:cstheme="minorHAnsi"/>
        </w:rPr>
        <w:t>, </w:t>
      </w:r>
      <w:r w:rsidRPr="00917CA7">
        <w:rPr>
          <w:rFonts w:cstheme="minorHAnsi"/>
          <w:i/>
          <w:iCs/>
        </w:rPr>
        <w:t>J. Med. Chem.</w:t>
      </w:r>
      <w:r w:rsidRPr="00917CA7">
        <w:rPr>
          <w:rFonts w:cstheme="minorHAnsi"/>
        </w:rPr>
        <w:t> 2019, </w:t>
      </w:r>
      <w:r w:rsidRPr="00917CA7">
        <w:rPr>
          <w:rFonts w:cstheme="minorHAnsi"/>
          <w:b/>
          <w:bCs/>
        </w:rPr>
        <w:t>62</w:t>
      </w:r>
      <w:r w:rsidRPr="00917CA7">
        <w:rPr>
          <w:rFonts w:cstheme="minorHAnsi"/>
        </w:rPr>
        <w:t>, 5276–5297.</w:t>
      </w:r>
    </w:p>
    <w:p w14:paraId="0F5CCAAC" w14:textId="17C394FD" w:rsidR="00917CA7" w:rsidRPr="00917CA7" w:rsidRDefault="00917CA7" w:rsidP="00BF1D9F">
      <w:pPr>
        <w:pStyle w:val="NoSpacing"/>
        <w:ind w:left="720" w:hanging="720"/>
        <w:rPr>
          <w:rFonts w:cstheme="minorHAnsi"/>
        </w:rPr>
      </w:pPr>
      <w:r w:rsidRPr="00917CA7">
        <w:rPr>
          <w:rFonts w:cstheme="minorHAnsi"/>
        </w:rPr>
        <w:t>13</w:t>
      </w:r>
      <w:r w:rsidR="00BF1D9F">
        <w:rPr>
          <w:rFonts w:cstheme="minorHAnsi"/>
        </w:rPr>
        <w:t xml:space="preserve"> </w:t>
      </w:r>
      <w:r w:rsidRPr="00917CA7">
        <w:rPr>
          <w:rFonts w:cstheme="minorHAnsi"/>
        </w:rPr>
        <w:t xml:space="preserve">J. </w:t>
      </w:r>
      <w:proofErr w:type="spellStart"/>
      <w:r w:rsidRPr="00917CA7">
        <w:rPr>
          <w:rFonts w:cstheme="minorHAnsi"/>
        </w:rPr>
        <w:t>Atzrodt</w:t>
      </w:r>
      <w:proofErr w:type="spellEnd"/>
      <w:r w:rsidRPr="00917CA7">
        <w:rPr>
          <w:rFonts w:cstheme="minorHAnsi"/>
        </w:rPr>
        <w:t xml:space="preserve">, V. </w:t>
      </w:r>
      <w:proofErr w:type="spellStart"/>
      <w:r w:rsidRPr="00917CA7">
        <w:rPr>
          <w:rFonts w:cstheme="minorHAnsi"/>
        </w:rPr>
        <w:t>Derdau</w:t>
      </w:r>
      <w:proofErr w:type="spellEnd"/>
      <w:r w:rsidRPr="00917CA7">
        <w:rPr>
          <w:rFonts w:cstheme="minorHAnsi"/>
        </w:rPr>
        <w:t>, W. J. Kerr, M. Reid, </w:t>
      </w:r>
      <w:proofErr w:type="spellStart"/>
      <w:r w:rsidRPr="00917CA7">
        <w:rPr>
          <w:rFonts w:cstheme="minorHAnsi"/>
          <w:i/>
          <w:iCs/>
        </w:rPr>
        <w:t>Angew</w:t>
      </w:r>
      <w:proofErr w:type="spellEnd"/>
      <w:r w:rsidRPr="00917CA7">
        <w:rPr>
          <w:rFonts w:cstheme="minorHAnsi"/>
          <w:i/>
          <w:iCs/>
        </w:rPr>
        <w:t>. Chem. Int. Ed.</w:t>
      </w:r>
      <w:r w:rsidRPr="00917CA7">
        <w:rPr>
          <w:rFonts w:cstheme="minorHAnsi"/>
        </w:rPr>
        <w:t> 2018, </w:t>
      </w:r>
      <w:r w:rsidRPr="00917CA7">
        <w:rPr>
          <w:rFonts w:cstheme="minorHAnsi"/>
          <w:b/>
          <w:bCs/>
        </w:rPr>
        <w:t>57</w:t>
      </w:r>
      <w:r w:rsidRPr="00917CA7">
        <w:rPr>
          <w:rFonts w:cstheme="minorHAnsi"/>
        </w:rPr>
        <w:t>, 1758–1784;</w:t>
      </w:r>
      <w:r w:rsidR="00BF1D9F">
        <w:rPr>
          <w:rFonts w:cstheme="minorHAnsi"/>
        </w:rPr>
        <w:t xml:space="preserve"> </w:t>
      </w:r>
      <w:proofErr w:type="spellStart"/>
      <w:r w:rsidRPr="00917CA7">
        <w:rPr>
          <w:rFonts w:cstheme="minorHAnsi"/>
          <w:i/>
          <w:iCs/>
        </w:rPr>
        <w:t>Angew</w:t>
      </w:r>
      <w:proofErr w:type="spellEnd"/>
      <w:r w:rsidRPr="00917CA7">
        <w:rPr>
          <w:rFonts w:cstheme="minorHAnsi"/>
          <w:i/>
          <w:iCs/>
        </w:rPr>
        <w:t>. Chem.</w:t>
      </w:r>
      <w:r w:rsidRPr="00917CA7">
        <w:rPr>
          <w:rFonts w:cstheme="minorHAnsi"/>
        </w:rPr>
        <w:t> 2018, 130, 1774–1802.</w:t>
      </w:r>
    </w:p>
    <w:p w14:paraId="66DAFB0D" w14:textId="3807A14B" w:rsidR="00917CA7" w:rsidRPr="00917CA7" w:rsidRDefault="00917CA7" w:rsidP="00BF1D9F">
      <w:pPr>
        <w:pStyle w:val="NoSpacing"/>
        <w:ind w:left="720" w:hanging="720"/>
        <w:rPr>
          <w:rFonts w:cstheme="minorHAnsi"/>
        </w:rPr>
      </w:pPr>
      <w:r w:rsidRPr="00917CA7">
        <w:rPr>
          <w:rFonts w:cstheme="minorHAnsi"/>
        </w:rPr>
        <w:t>14</w:t>
      </w:r>
      <w:r w:rsidR="00BF1D9F">
        <w:rPr>
          <w:rFonts w:cstheme="minorHAnsi"/>
        </w:rPr>
        <w:t xml:space="preserve"> </w:t>
      </w:r>
      <w:r w:rsidRPr="00917CA7">
        <w:rPr>
          <w:rFonts w:cstheme="minorHAnsi"/>
        </w:rPr>
        <w:t xml:space="preserve">A. F. Stepan, V. Mascitti, K. Beaumont, A. S. </w:t>
      </w:r>
      <w:proofErr w:type="spellStart"/>
      <w:r w:rsidRPr="00917CA7">
        <w:rPr>
          <w:rFonts w:cstheme="minorHAnsi"/>
        </w:rPr>
        <w:t>Kalgutkar</w:t>
      </w:r>
      <w:proofErr w:type="spellEnd"/>
      <w:r w:rsidRPr="00917CA7">
        <w:rPr>
          <w:rFonts w:cstheme="minorHAnsi"/>
        </w:rPr>
        <w:t>, </w:t>
      </w:r>
      <w:proofErr w:type="spellStart"/>
      <w:r w:rsidRPr="00917CA7">
        <w:rPr>
          <w:rFonts w:cstheme="minorHAnsi"/>
          <w:i/>
          <w:iCs/>
        </w:rPr>
        <w:t>MedChemComm</w:t>
      </w:r>
      <w:proofErr w:type="spellEnd"/>
      <w:r w:rsidRPr="00917CA7">
        <w:rPr>
          <w:rFonts w:cstheme="minorHAnsi"/>
        </w:rPr>
        <w:t> 2013, </w:t>
      </w:r>
      <w:r w:rsidRPr="00917CA7">
        <w:rPr>
          <w:rFonts w:cstheme="minorHAnsi"/>
          <w:b/>
          <w:bCs/>
        </w:rPr>
        <w:t>4</w:t>
      </w:r>
      <w:r w:rsidRPr="00917CA7">
        <w:rPr>
          <w:rFonts w:cstheme="minorHAnsi"/>
        </w:rPr>
        <w:t>, 631–652.</w:t>
      </w:r>
    </w:p>
    <w:p w14:paraId="66EB3E5F" w14:textId="41F6E6F8" w:rsidR="00917CA7" w:rsidRPr="00917CA7" w:rsidRDefault="00917CA7" w:rsidP="00BF1D9F">
      <w:pPr>
        <w:pStyle w:val="NoSpacing"/>
        <w:ind w:left="720" w:hanging="720"/>
        <w:rPr>
          <w:rFonts w:cstheme="minorHAnsi"/>
        </w:rPr>
      </w:pPr>
      <w:r w:rsidRPr="00917CA7">
        <w:rPr>
          <w:rFonts w:cstheme="minorHAnsi"/>
        </w:rPr>
        <w:t>15</w:t>
      </w:r>
      <w:r w:rsidR="00BF1D9F">
        <w:rPr>
          <w:rFonts w:cstheme="minorHAnsi"/>
        </w:rPr>
        <w:t xml:space="preserve"> </w:t>
      </w:r>
      <w:r w:rsidRPr="00917CA7">
        <w:rPr>
          <w:rFonts w:cstheme="minorHAnsi"/>
        </w:rPr>
        <w:t xml:space="preserve">S. </w:t>
      </w:r>
      <w:proofErr w:type="spellStart"/>
      <w:r w:rsidRPr="00917CA7">
        <w:rPr>
          <w:rFonts w:cstheme="minorHAnsi"/>
        </w:rPr>
        <w:t>Cargnin</w:t>
      </w:r>
      <w:proofErr w:type="spellEnd"/>
      <w:r w:rsidRPr="00917CA7">
        <w:rPr>
          <w:rFonts w:cstheme="minorHAnsi"/>
        </w:rPr>
        <w:t xml:space="preserve">, M. Serafini, T. </w:t>
      </w:r>
      <w:proofErr w:type="spellStart"/>
      <w:r w:rsidRPr="00917CA7">
        <w:rPr>
          <w:rFonts w:cstheme="minorHAnsi"/>
        </w:rPr>
        <w:t>Pirali</w:t>
      </w:r>
      <w:proofErr w:type="spellEnd"/>
      <w:r w:rsidRPr="00917CA7">
        <w:rPr>
          <w:rFonts w:cstheme="minorHAnsi"/>
        </w:rPr>
        <w:t>, </w:t>
      </w:r>
      <w:r w:rsidRPr="00917CA7">
        <w:rPr>
          <w:rFonts w:cstheme="minorHAnsi"/>
          <w:i/>
          <w:iCs/>
        </w:rPr>
        <w:t>Future Med. Chem.</w:t>
      </w:r>
      <w:r w:rsidRPr="00917CA7">
        <w:rPr>
          <w:rFonts w:cstheme="minorHAnsi"/>
        </w:rPr>
        <w:t> 2019, </w:t>
      </w:r>
      <w:r w:rsidRPr="00917CA7">
        <w:rPr>
          <w:rFonts w:cstheme="minorHAnsi"/>
          <w:b/>
          <w:bCs/>
        </w:rPr>
        <w:t>11</w:t>
      </w:r>
      <w:r w:rsidRPr="00917CA7">
        <w:rPr>
          <w:rFonts w:cstheme="minorHAnsi"/>
        </w:rPr>
        <w:t>, 2039–2042.</w:t>
      </w:r>
    </w:p>
    <w:p w14:paraId="4C1D9C9A" w14:textId="29C692B5" w:rsidR="00917CA7" w:rsidRPr="00917CA7" w:rsidRDefault="00917CA7" w:rsidP="00BF1D9F">
      <w:pPr>
        <w:pStyle w:val="NoSpacing"/>
        <w:ind w:left="720" w:hanging="720"/>
        <w:rPr>
          <w:rFonts w:cstheme="minorHAnsi"/>
        </w:rPr>
      </w:pPr>
      <w:r w:rsidRPr="00917CA7">
        <w:rPr>
          <w:rFonts w:cstheme="minorHAnsi"/>
        </w:rPr>
        <w:t>16</w:t>
      </w:r>
      <w:r w:rsidR="00BF1D9F">
        <w:rPr>
          <w:rFonts w:cstheme="minorHAnsi"/>
        </w:rPr>
        <w:t xml:space="preserve"> </w:t>
      </w:r>
      <w:r w:rsidRPr="00917CA7">
        <w:rPr>
          <w:rFonts w:cstheme="minorHAnsi"/>
        </w:rPr>
        <w:t>T. G. Gant, </w:t>
      </w:r>
      <w:r w:rsidRPr="00917CA7">
        <w:rPr>
          <w:rFonts w:cstheme="minorHAnsi"/>
          <w:i/>
          <w:iCs/>
        </w:rPr>
        <w:t>J. Med. Chem.</w:t>
      </w:r>
      <w:r w:rsidRPr="00917CA7">
        <w:rPr>
          <w:rFonts w:cstheme="minorHAnsi"/>
        </w:rPr>
        <w:t> 2014, </w:t>
      </w:r>
      <w:r w:rsidRPr="00917CA7">
        <w:rPr>
          <w:rFonts w:cstheme="minorHAnsi"/>
          <w:b/>
          <w:bCs/>
        </w:rPr>
        <w:t>57</w:t>
      </w:r>
      <w:r w:rsidRPr="00917CA7">
        <w:rPr>
          <w:rFonts w:cstheme="minorHAnsi"/>
        </w:rPr>
        <w:t>, 3595–3611.</w:t>
      </w:r>
    </w:p>
    <w:p w14:paraId="7B4B958E" w14:textId="61B9A39C" w:rsidR="00917CA7" w:rsidRPr="00917CA7" w:rsidRDefault="00917CA7" w:rsidP="00BF1D9F">
      <w:pPr>
        <w:pStyle w:val="NoSpacing"/>
        <w:ind w:left="720" w:hanging="720"/>
        <w:rPr>
          <w:rFonts w:cstheme="minorHAnsi"/>
        </w:rPr>
      </w:pPr>
      <w:r w:rsidRPr="00917CA7">
        <w:rPr>
          <w:rFonts w:cstheme="minorHAnsi"/>
        </w:rPr>
        <w:t>17</w:t>
      </w:r>
      <w:r w:rsidR="00BF1D9F">
        <w:rPr>
          <w:rFonts w:cstheme="minorHAnsi"/>
        </w:rPr>
        <w:t xml:space="preserve"> </w:t>
      </w:r>
      <w:r w:rsidRPr="00917CA7">
        <w:rPr>
          <w:rFonts w:cstheme="minorHAnsi"/>
        </w:rPr>
        <w:t>N. A. Meanwell, </w:t>
      </w:r>
      <w:r w:rsidRPr="00917CA7">
        <w:rPr>
          <w:rFonts w:cstheme="minorHAnsi"/>
          <w:i/>
          <w:iCs/>
        </w:rPr>
        <w:t>J. Med. Chem.</w:t>
      </w:r>
      <w:r w:rsidRPr="00917CA7">
        <w:rPr>
          <w:rFonts w:cstheme="minorHAnsi"/>
        </w:rPr>
        <w:t> 2011, </w:t>
      </w:r>
      <w:r w:rsidRPr="00917CA7">
        <w:rPr>
          <w:rFonts w:cstheme="minorHAnsi"/>
          <w:b/>
          <w:bCs/>
        </w:rPr>
        <w:t>54</w:t>
      </w:r>
      <w:r w:rsidRPr="00917CA7">
        <w:rPr>
          <w:rFonts w:cstheme="minorHAnsi"/>
        </w:rPr>
        <w:t>, 2529–2591.</w:t>
      </w:r>
    </w:p>
    <w:p w14:paraId="656DF953" w14:textId="5520ADD5" w:rsidR="00917CA7" w:rsidRPr="00917CA7" w:rsidRDefault="00917CA7" w:rsidP="00BF1D9F">
      <w:pPr>
        <w:pStyle w:val="NoSpacing"/>
        <w:ind w:left="720" w:hanging="720"/>
        <w:rPr>
          <w:rFonts w:cstheme="minorHAnsi"/>
        </w:rPr>
      </w:pPr>
      <w:r w:rsidRPr="00917CA7">
        <w:rPr>
          <w:rFonts w:cstheme="minorHAnsi"/>
        </w:rPr>
        <w:t>18</w:t>
      </w:r>
      <w:r w:rsidR="00BF1D9F">
        <w:rPr>
          <w:rFonts w:cstheme="minorHAnsi"/>
        </w:rPr>
        <w:t xml:space="preserve"> </w:t>
      </w:r>
      <w:r w:rsidRPr="00917CA7">
        <w:rPr>
          <w:rFonts w:cstheme="minorHAnsi"/>
        </w:rPr>
        <w:t>C. Schmidt, </w:t>
      </w:r>
      <w:r w:rsidRPr="00917CA7">
        <w:rPr>
          <w:rFonts w:cstheme="minorHAnsi"/>
          <w:i/>
          <w:iCs/>
        </w:rPr>
        <w:t xml:space="preserve">Nat. </w:t>
      </w:r>
      <w:proofErr w:type="spellStart"/>
      <w:r w:rsidRPr="00917CA7">
        <w:rPr>
          <w:rFonts w:cstheme="minorHAnsi"/>
          <w:i/>
          <w:iCs/>
        </w:rPr>
        <w:t>Biotechnol</w:t>
      </w:r>
      <w:proofErr w:type="spellEnd"/>
      <w:r w:rsidRPr="00917CA7">
        <w:rPr>
          <w:rFonts w:cstheme="minorHAnsi"/>
          <w:i/>
          <w:iCs/>
        </w:rPr>
        <w:t>.</w:t>
      </w:r>
      <w:r w:rsidRPr="00917CA7">
        <w:rPr>
          <w:rFonts w:cstheme="minorHAnsi"/>
        </w:rPr>
        <w:t> 2017, </w:t>
      </w:r>
      <w:r w:rsidRPr="00917CA7">
        <w:rPr>
          <w:rFonts w:cstheme="minorHAnsi"/>
          <w:b/>
          <w:bCs/>
        </w:rPr>
        <w:t>35</w:t>
      </w:r>
      <w:r w:rsidRPr="00917CA7">
        <w:rPr>
          <w:rFonts w:cstheme="minorHAnsi"/>
        </w:rPr>
        <w:t>, 493–494.</w:t>
      </w:r>
    </w:p>
    <w:p w14:paraId="48162769" w14:textId="717CA05B" w:rsidR="00917CA7" w:rsidRPr="00917CA7" w:rsidRDefault="00917CA7" w:rsidP="00BF1D9F">
      <w:pPr>
        <w:pStyle w:val="NoSpacing"/>
        <w:ind w:left="720" w:hanging="720"/>
        <w:rPr>
          <w:rFonts w:cstheme="minorHAnsi"/>
        </w:rPr>
      </w:pPr>
      <w:r w:rsidRPr="00917CA7">
        <w:rPr>
          <w:rFonts w:cstheme="minorHAnsi"/>
        </w:rPr>
        <w:t>19</w:t>
      </w:r>
      <w:r w:rsidR="00BF1D9F">
        <w:rPr>
          <w:rFonts w:cstheme="minorHAnsi"/>
        </w:rPr>
        <w:t xml:space="preserve"> </w:t>
      </w:r>
      <w:r w:rsidRPr="00917CA7">
        <w:rPr>
          <w:rFonts w:cstheme="minorHAnsi"/>
        </w:rPr>
        <w:t>S. D. Nelson, W. F. Trager, </w:t>
      </w:r>
      <w:r w:rsidRPr="00917CA7">
        <w:rPr>
          <w:rFonts w:cstheme="minorHAnsi"/>
          <w:i/>
          <w:iCs/>
        </w:rPr>
        <w:t xml:space="preserve">Drug </w:t>
      </w:r>
      <w:proofErr w:type="spellStart"/>
      <w:r w:rsidRPr="00917CA7">
        <w:rPr>
          <w:rFonts w:cstheme="minorHAnsi"/>
          <w:i/>
          <w:iCs/>
        </w:rPr>
        <w:t>Metab</w:t>
      </w:r>
      <w:proofErr w:type="spellEnd"/>
      <w:r w:rsidRPr="00917CA7">
        <w:rPr>
          <w:rFonts w:cstheme="minorHAnsi"/>
          <w:i/>
          <w:iCs/>
        </w:rPr>
        <w:t xml:space="preserve">. </w:t>
      </w:r>
      <w:proofErr w:type="spellStart"/>
      <w:r w:rsidRPr="00917CA7">
        <w:rPr>
          <w:rFonts w:cstheme="minorHAnsi"/>
          <w:i/>
          <w:iCs/>
        </w:rPr>
        <w:t>Dispos</w:t>
      </w:r>
      <w:proofErr w:type="spellEnd"/>
      <w:r w:rsidRPr="00917CA7">
        <w:rPr>
          <w:rFonts w:cstheme="minorHAnsi"/>
          <w:i/>
          <w:iCs/>
        </w:rPr>
        <w:t>.</w:t>
      </w:r>
      <w:r w:rsidRPr="00917CA7">
        <w:rPr>
          <w:rFonts w:cstheme="minorHAnsi"/>
        </w:rPr>
        <w:t> 2003, </w:t>
      </w:r>
      <w:r w:rsidRPr="00917CA7">
        <w:rPr>
          <w:rFonts w:cstheme="minorHAnsi"/>
          <w:b/>
          <w:bCs/>
        </w:rPr>
        <w:t>31</w:t>
      </w:r>
      <w:r w:rsidRPr="00917CA7">
        <w:rPr>
          <w:rFonts w:cstheme="minorHAnsi"/>
        </w:rPr>
        <w:t>, 1481–1498.</w:t>
      </w:r>
    </w:p>
    <w:p w14:paraId="3305A7C9" w14:textId="013F390F" w:rsidR="00917CA7" w:rsidRPr="00917CA7" w:rsidRDefault="00917CA7" w:rsidP="00BF1D9F">
      <w:pPr>
        <w:pStyle w:val="NoSpacing"/>
        <w:ind w:left="720" w:hanging="720"/>
        <w:rPr>
          <w:rFonts w:cstheme="minorHAnsi"/>
        </w:rPr>
      </w:pPr>
      <w:r w:rsidRPr="00917CA7">
        <w:rPr>
          <w:rFonts w:cstheme="minorHAnsi"/>
        </w:rPr>
        <w:t>20</w:t>
      </w:r>
      <w:r w:rsidR="00BF1D9F">
        <w:rPr>
          <w:rFonts w:cstheme="minorHAnsi"/>
        </w:rPr>
        <w:t xml:space="preserve"> </w:t>
      </w:r>
      <w:r w:rsidRPr="00917CA7">
        <w:rPr>
          <w:rFonts w:cstheme="minorHAnsi"/>
        </w:rPr>
        <w:t xml:space="preserve">Z. P. Vang, S. J. </w:t>
      </w:r>
      <w:proofErr w:type="spellStart"/>
      <w:r w:rsidRPr="00917CA7">
        <w:rPr>
          <w:rFonts w:cstheme="minorHAnsi"/>
        </w:rPr>
        <w:t>Hintzsche</w:t>
      </w:r>
      <w:proofErr w:type="spellEnd"/>
      <w:r w:rsidRPr="00917CA7">
        <w:rPr>
          <w:rFonts w:cstheme="minorHAnsi"/>
        </w:rPr>
        <w:t>, J. R. Clark, </w:t>
      </w:r>
      <w:r w:rsidRPr="00917CA7">
        <w:rPr>
          <w:rFonts w:cstheme="minorHAnsi"/>
          <w:i/>
          <w:iCs/>
        </w:rPr>
        <w:t>Chem. Eur. J.</w:t>
      </w:r>
      <w:r w:rsidRPr="00917CA7">
        <w:rPr>
          <w:rFonts w:cstheme="minorHAnsi"/>
        </w:rPr>
        <w:t> 2021, </w:t>
      </w:r>
      <w:r w:rsidRPr="00917CA7">
        <w:rPr>
          <w:rFonts w:cstheme="minorHAnsi"/>
          <w:b/>
          <w:bCs/>
        </w:rPr>
        <w:t>27</w:t>
      </w:r>
      <w:r w:rsidRPr="00917CA7">
        <w:rPr>
          <w:rFonts w:cstheme="minorHAnsi"/>
        </w:rPr>
        <w:t>, 9988–10000.</w:t>
      </w:r>
    </w:p>
    <w:p w14:paraId="0FEF5D76" w14:textId="680E221A" w:rsidR="00917CA7" w:rsidRPr="00917CA7" w:rsidRDefault="00917CA7" w:rsidP="00BF1D9F">
      <w:pPr>
        <w:pStyle w:val="NoSpacing"/>
        <w:ind w:left="720" w:hanging="720"/>
        <w:rPr>
          <w:rFonts w:cstheme="minorHAnsi"/>
        </w:rPr>
      </w:pPr>
      <w:r w:rsidRPr="00917CA7">
        <w:rPr>
          <w:rFonts w:cstheme="minorHAnsi"/>
        </w:rPr>
        <w:t>21</w:t>
      </w:r>
      <w:r w:rsidR="00BF1D9F">
        <w:rPr>
          <w:rFonts w:cstheme="minorHAnsi"/>
        </w:rPr>
        <w:t xml:space="preserve"> </w:t>
      </w:r>
      <w:r w:rsidRPr="00917CA7">
        <w:rPr>
          <w:rFonts w:cstheme="minorHAnsi"/>
        </w:rPr>
        <w:t xml:space="preserve">L. Ning, H. Li, Z. Lai, M. Szostak, X. Chen, Y. Dong, S. Jin, J. </w:t>
      </w:r>
      <w:proofErr w:type="gramStart"/>
      <w:r w:rsidRPr="00917CA7">
        <w:rPr>
          <w:rFonts w:cstheme="minorHAnsi"/>
        </w:rPr>
        <w:t>An,</w:t>
      </w:r>
      <w:proofErr w:type="gramEnd"/>
      <w:r w:rsidRPr="00917CA7">
        <w:rPr>
          <w:rFonts w:cstheme="minorHAnsi"/>
        </w:rPr>
        <w:t> </w:t>
      </w:r>
      <w:r w:rsidRPr="00917CA7">
        <w:rPr>
          <w:rFonts w:cstheme="minorHAnsi"/>
          <w:i/>
          <w:iCs/>
        </w:rPr>
        <w:t>J. Org. Chem.</w:t>
      </w:r>
      <w:r w:rsidRPr="00917CA7">
        <w:rPr>
          <w:rFonts w:cstheme="minorHAnsi"/>
        </w:rPr>
        <w:t> 2021, </w:t>
      </w:r>
      <w:r w:rsidRPr="00917CA7">
        <w:rPr>
          <w:rFonts w:cstheme="minorHAnsi"/>
          <w:b/>
          <w:bCs/>
        </w:rPr>
        <w:t>86</w:t>
      </w:r>
      <w:r w:rsidRPr="00917CA7">
        <w:rPr>
          <w:rFonts w:cstheme="minorHAnsi"/>
        </w:rPr>
        <w:t>, 2907–2916.</w:t>
      </w:r>
    </w:p>
    <w:p w14:paraId="34746B11" w14:textId="797DBED0" w:rsidR="00917CA7" w:rsidRPr="00917CA7" w:rsidRDefault="00917CA7" w:rsidP="00BF1D9F">
      <w:pPr>
        <w:pStyle w:val="NoSpacing"/>
        <w:ind w:left="720" w:hanging="720"/>
        <w:rPr>
          <w:rFonts w:cstheme="minorHAnsi"/>
        </w:rPr>
      </w:pPr>
      <w:r w:rsidRPr="00917CA7">
        <w:rPr>
          <w:rFonts w:cstheme="minorHAnsi"/>
        </w:rPr>
        <w:t>22</w:t>
      </w:r>
      <w:r w:rsidR="00BF1D9F">
        <w:rPr>
          <w:rFonts w:cstheme="minorHAnsi"/>
        </w:rPr>
        <w:t xml:space="preserve"> </w:t>
      </w:r>
      <w:r w:rsidRPr="00917CA7">
        <w:rPr>
          <w:rFonts w:cstheme="minorHAnsi"/>
        </w:rPr>
        <w:t>H. Li, B. Zhang, Y. Dong, T. Liu, Y. Zhang, H. Nie, R. Yang, X. Ma, Y. Ling, J. An, </w:t>
      </w:r>
      <w:r w:rsidRPr="00917CA7">
        <w:rPr>
          <w:rFonts w:cstheme="minorHAnsi"/>
          <w:i/>
          <w:iCs/>
        </w:rPr>
        <w:t>Tetrahedron Lett.</w:t>
      </w:r>
      <w:r w:rsidRPr="00917CA7">
        <w:rPr>
          <w:rFonts w:cstheme="minorHAnsi"/>
        </w:rPr>
        <w:t> 2017, </w:t>
      </w:r>
      <w:r w:rsidRPr="00917CA7">
        <w:rPr>
          <w:rFonts w:cstheme="minorHAnsi"/>
          <w:b/>
          <w:bCs/>
        </w:rPr>
        <w:t>58</w:t>
      </w:r>
      <w:r w:rsidRPr="00917CA7">
        <w:rPr>
          <w:rFonts w:cstheme="minorHAnsi"/>
        </w:rPr>
        <w:t>, 2757–2760.</w:t>
      </w:r>
    </w:p>
    <w:p w14:paraId="39EFA503" w14:textId="690ED7E8" w:rsidR="00917CA7" w:rsidRPr="00917CA7" w:rsidRDefault="00917CA7" w:rsidP="00BF1D9F">
      <w:pPr>
        <w:pStyle w:val="NoSpacing"/>
        <w:ind w:left="720" w:hanging="720"/>
        <w:rPr>
          <w:rFonts w:cstheme="minorHAnsi"/>
        </w:rPr>
      </w:pPr>
      <w:r w:rsidRPr="00917CA7">
        <w:rPr>
          <w:rFonts w:cstheme="minorHAnsi"/>
        </w:rPr>
        <w:t>23</w:t>
      </w:r>
      <w:r w:rsidR="00BF1D9F">
        <w:rPr>
          <w:rFonts w:cstheme="minorHAnsi"/>
        </w:rPr>
        <w:t xml:space="preserve"> </w:t>
      </w:r>
      <w:r w:rsidRPr="00917CA7">
        <w:rPr>
          <w:rFonts w:cstheme="minorHAnsi"/>
        </w:rPr>
        <w:t>J. C. L. Walker, M. Oestreich, </w:t>
      </w:r>
      <w:r w:rsidRPr="00917CA7">
        <w:rPr>
          <w:rFonts w:cstheme="minorHAnsi"/>
          <w:i/>
          <w:iCs/>
        </w:rPr>
        <w:t>Org. Lett.</w:t>
      </w:r>
      <w:r w:rsidRPr="00917CA7">
        <w:rPr>
          <w:rFonts w:cstheme="minorHAnsi"/>
        </w:rPr>
        <w:t> 2018, </w:t>
      </w:r>
      <w:r w:rsidRPr="00917CA7">
        <w:rPr>
          <w:rFonts w:cstheme="minorHAnsi"/>
          <w:b/>
          <w:bCs/>
        </w:rPr>
        <w:t>20</w:t>
      </w:r>
      <w:r w:rsidRPr="00917CA7">
        <w:rPr>
          <w:rFonts w:cstheme="minorHAnsi"/>
        </w:rPr>
        <w:t>, 6411–6414.</w:t>
      </w:r>
    </w:p>
    <w:p w14:paraId="2B534264" w14:textId="2E7603BE" w:rsidR="00917CA7" w:rsidRPr="00917CA7" w:rsidRDefault="00917CA7" w:rsidP="00BF1D9F">
      <w:pPr>
        <w:pStyle w:val="NoSpacing"/>
        <w:ind w:left="720" w:hanging="720"/>
        <w:rPr>
          <w:rFonts w:cstheme="minorHAnsi"/>
        </w:rPr>
      </w:pPr>
      <w:r w:rsidRPr="00917CA7">
        <w:rPr>
          <w:rFonts w:cstheme="minorHAnsi"/>
        </w:rPr>
        <w:t>24</w:t>
      </w:r>
      <w:r w:rsidR="00BF1D9F">
        <w:rPr>
          <w:rFonts w:cstheme="minorHAnsi"/>
        </w:rPr>
        <w:t xml:space="preserve"> </w:t>
      </w:r>
      <w:r w:rsidRPr="00917CA7">
        <w:rPr>
          <w:rFonts w:cstheme="minorHAnsi"/>
        </w:rPr>
        <w:t>L. Li, G. Hilt, </w:t>
      </w:r>
      <w:r w:rsidRPr="00917CA7">
        <w:rPr>
          <w:rFonts w:cstheme="minorHAnsi"/>
          <w:i/>
          <w:iCs/>
        </w:rPr>
        <w:t>Org. Lett.</w:t>
      </w:r>
      <w:r w:rsidRPr="00917CA7">
        <w:rPr>
          <w:rFonts w:cstheme="minorHAnsi"/>
        </w:rPr>
        <w:t> 2020, </w:t>
      </w:r>
      <w:r w:rsidRPr="00917CA7">
        <w:rPr>
          <w:rFonts w:cstheme="minorHAnsi"/>
          <w:b/>
          <w:bCs/>
        </w:rPr>
        <w:t>22</w:t>
      </w:r>
      <w:r w:rsidRPr="00917CA7">
        <w:rPr>
          <w:rFonts w:cstheme="minorHAnsi"/>
        </w:rPr>
        <w:t>, 1628–1632.</w:t>
      </w:r>
    </w:p>
    <w:p w14:paraId="5CB84DC4" w14:textId="1B73399D" w:rsidR="00917CA7" w:rsidRPr="00917CA7" w:rsidRDefault="00917CA7" w:rsidP="00BF1D9F">
      <w:pPr>
        <w:pStyle w:val="NoSpacing"/>
        <w:ind w:left="720" w:hanging="720"/>
        <w:rPr>
          <w:rFonts w:cstheme="minorHAnsi"/>
        </w:rPr>
      </w:pPr>
      <w:r w:rsidRPr="00917CA7">
        <w:rPr>
          <w:rFonts w:cstheme="minorHAnsi"/>
        </w:rPr>
        <w:t>25</w:t>
      </w:r>
      <w:r w:rsidR="00BF1D9F">
        <w:rPr>
          <w:rFonts w:cstheme="minorHAnsi"/>
        </w:rPr>
        <w:t xml:space="preserve"> </w:t>
      </w:r>
      <w:r w:rsidRPr="00917CA7">
        <w:rPr>
          <w:rFonts w:cstheme="minorHAnsi"/>
        </w:rPr>
        <w:t>L. Li, G. Hilt, </w:t>
      </w:r>
      <w:r w:rsidRPr="00917CA7">
        <w:rPr>
          <w:rFonts w:cstheme="minorHAnsi"/>
          <w:i/>
          <w:iCs/>
        </w:rPr>
        <w:t>Chem. Eur. J.</w:t>
      </w:r>
      <w:r w:rsidRPr="00917CA7">
        <w:rPr>
          <w:rFonts w:cstheme="minorHAnsi"/>
        </w:rPr>
        <w:t> 2021, </w:t>
      </w:r>
      <w:r w:rsidRPr="00917CA7">
        <w:rPr>
          <w:rFonts w:cstheme="minorHAnsi"/>
          <w:b/>
          <w:bCs/>
        </w:rPr>
        <w:t>27</w:t>
      </w:r>
      <w:r w:rsidRPr="00917CA7">
        <w:rPr>
          <w:rFonts w:cstheme="minorHAnsi"/>
        </w:rPr>
        <w:t>, 11221–11225.</w:t>
      </w:r>
    </w:p>
    <w:p w14:paraId="0D3D872A" w14:textId="5CE36A55" w:rsidR="00917CA7" w:rsidRPr="00917CA7" w:rsidRDefault="00917CA7" w:rsidP="00BF1D9F">
      <w:pPr>
        <w:pStyle w:val="NoSpacing"/>
        <w:ind w:left="720" w:hanging="720"/>
        <w:rPr>
          <w:rFonts w:cstheme="minorHAnsi"/>
        </w:rPr>
      </w:pPr>
      <w:r w:rsidRPr="00917CA7">
        <w:rPr>
          <w:rFonts w:cstheme="minorHAnsi"/>
        </w:rPr>
        <w:t>26</w:t>
      </w:r>
      <w:r w:rsidR="00BF1D9F">
        <w:rPr>
          <w:rFonts w:cstheme="minorHAnsi"/>
        </w:rPr>
        <w:t xml:space="preserve"> </w:t>
      </w:r>
      <w:r w:rsidRPr="00917CA7">
        <w:rPr>
          <w:rFonts w:cstheme="minorHAnsi"/>
        </w:rPr>
        <w:t>P. Yang, H. Xu, J. Zhou, </w:t>
      </w:r>
      <w:proofErr w:type="spellStart"/>
      <w:r w:rsidRPr="00917CA7">
        <w:rPr>
          <w:rFonts w:cstheme="minorHAnsi"/>
          <w:i/>
          <w:iCs/>
        </w:rPr>
        <w:t>Angew</w:t>
      </w:r>
      <w:proofErr w:type="spellEnd"/>
      <w:r w:rsidRPr="00917CA7">
        <w:rPr>
          <w:rFonts w:cstheme="minorHAnsi"/>
          <w:i/>
          <w:iCs/>
        </w:rPr>
        <w:t>. Chem. Int. Ed.</w:t>
      </w:r>
      <w:r w:rsidRPr="00917CA7">
        <w:rPr>
          <w:rFonts w:cstheme="minorHAnsi"/>
        </w:rPr>
        <w:t> 2014, </w:t>
      </w:r>
      <w:r w:rsidRPr="00917CA7">
        <w:rPr>
          <w:rFonts w:cstheme="minorHAnsi"/>
          <w:b/>
          <w:bCs/>
        </w:rPr>
        <w:t>53</w:t>
      </w:r>
      <w:r w:rsidRPr="00917CA7">
        <w:rPr>
          <w:rFonts w:cstheme="minorHAnsi"/>
        </w:rPr>
        <w:t>, 12210–12213;</w:t>
      </w:r>
      <w:r w:rsidR="00BF1D9F">
        <w:rPr>
          <w:rFonts w:cstheme="minorHAnsi"/>
        </w:rPr>
        <w:t xml:space="preserve"> </w:t>
      </w:r>
      <w:proofErr w:type="spellStart"/>
      <w:r w:rsidR="00BF1D9F">
        <w:rPr>
          <w:rFonts w:cstheme="minorHAnsi"/>
          <w:i/>
          <w:iCs/>
        </w:rPr>
        <w:t>A</w:t>
      </w:r>
      <w:r w:rsidRPr="00917CA7">
        <w:rPr>
          <w:rFonts w:cstheme="minorHAnsi"/>
          <w:i/>
          <w:iCs/>
        </w:rPr>
        <w:t>ngew</w:t>
      </w:r>
      <w:proofErr w:type="spellEnd"/>
      <w:r w:rsidRPr="00917CA7">
        <w:rPr>
          <w:rFonts w:cstheme="minorHAnsi"/>
          <w:i/>
          <w:iCs/>
        </w:rPr>
        <w:t>. Chem.</w:t>
      </w:r>
      <w:r w:rsidRPr="00917CA7">
        <w:rPr>
          <w:rFonts w:cstheme="minorHAnsi"/>
        </w:rPr>
        <w:t> 2014, </w:t>
      </w:r>
      <w:r w:rsidRPr="00917CA7">
        <w:rPr>
          <w:rFonts w:cstheme="minorHAnsi"/>
          <w:b/>
          <w:bCs/>
        </w:rPr>
        <w:t>126</w:t>
      </w:r>
      <w:r w:rsidRPr="00917CA7">
        <w:rPr>
          <w:rFonts w:cstheme="minorHAnsi"/>
        </w:rPr>
        <w:t>, 12406–12409.</w:t>
      </w:r>
    </w:p>
    <w:p w14:paraId="735404F8" w14:textId="5B9ACE26" w:rsidR="00917CA7" w:rsidRPr="00917CA7" w:rsidRDefault="00917CA7" w:rsidP="00BF1D9F">
      <w:pPr>
        <w:pStyle w:val="NoSpacing"/>
        <w:ind w:left="720" w:hanging="720"/>
        <w:rPr>
          <w:rFonts w:cstheme="minorHAnsi"/>
        </w:rPr>
      </w:pPr>
      <w:r w:rsidRPr="00917CA7">
        <w:rPr>
          <w:rFonts w:cstheme="minorHAnsi"/>
        </w:rPr>
        <w:t>27</w:t>
      </w:r>
      <w:r w:rsidR="00BF1D9F">
        <w:rPr>
          <w:rFonts w:cstheme="minorHAnsi"/>
        </w:rPr>
        <w:t xml:space="preserve"> </w:t>
      </w:r>
      <w:r w:rsidRPr="00917CA7">
        <w:rPr>
          <w:rFonts w:cstheme="minorHAnsi"/>
        </w:rPr>
        <w:t>Y. Wang, X. Cao, L. Zhao, C. Pi, J. Ji, X. Cui, Y. Wu, </w:t>
      </w:r>
      <w:r w:rsidRPr="00917CA7">
        <w:rPr>
          <w:rFonts w:cstheme="minorHAnsi"/>
          <w:i/>
          <w:iCs/>
        </w:rPr>
        <w:t xml:space="preserve">Adv. Synth. </w:t>
      </w:r>
      <w:proofErr w:type="spellStart"/>
      <w:r w:rsidRPr="00917CA7">
        <w:rPr>
          <w:rFonts w:cstheme="minorHAnsi"/>
          <w:i/>
          <w:iCs/>
        </w:rPr>
        <w:t>Catal</w:t>
      </w:r>
      <w:proofErr w:type="spellEnd"/>
      <w:r w:rsidRPr="00917CA7">
        <w:rPr>
          <w:rFonts w:cstheme="minorHAnsi"/>
          <w:i/>
          <w:iCs/>
        </w:rPr>
        <w:t>.</w:t>
      </w:r>
      <w:r w:rsidRPr="00917CA7">
        <w:rPr>
          <w:rFonts w:cstheme="minorHAnsi"/>
        </w:rPr>
        <w:t> 2020, </w:t>
      </w:r>
      <w:r w:rsidRPr="00917CA7">
        <w:rPr>
          <w:rFonts w:cstheme="minorHAnsi"/>
          <w:b/>
          <w:bCs/>
        </w:rPr>
        <w:t>362</w:t>
      </w:r>
      <w:r w:rsidRPr="00917CA7">
        <w:rPr>
          <w:rFonts w:cstheme="minorHAnsi"/>
        </w:rPr>
        <w:t>, 4119–4129.</w:t>
      </w:r>
    </w:p>
    <w:p w14:paraId="75C9F66E" w14:textId="6EE4D3B6" w:rsidR="00917CA7" w:rsidRPr="00917CA7" w:rsidRDefault="00917CA7" w:rsidP="00BF1D9F">
      <w:pPr>
        <w:pStyle w:val="NoSpacing"/>
        <w:ind w:left="720" w:hanging="720"/>
        <w:rPr>
          <w:rFonts w:cstheme="minorHAnsi"/>
        </w:rPr>
      </w:pPr>
      <w:r w:rsidRPr="00917CA7">
        <w:rPr>
          <w:rFonts w:cstheme="minorHAnsi"/>
        </w:rPr>
        <w:t>28</w:t>
      </w:r>
      <w:r w:rsidR="00BF1D9F">
        <w:rPr>
          <w:rFonts w:cstheme="minorHAnsi"/>
        </w:rPr>
        <w:t xml:space="preserve"> </w:t>
      </w:r>
      <w:r w:rsidRPr="00917CA7">
        <w:rPr>
          <w:rFonts w:cstheme="minorHAnsi"/>
        </w:rPr>
        <w:t xml:space="preserve">Z. P. Vang, A. Reyes, R. E. </w:t>
      </w:r>
      <w:proofErr w:type="spellStart"/>
      <w:r w:rsidRPr="00917CA7">
        <w:rPr>
          <w:rFonts w:cstheme="minorHAnsi"/>
        </w:rPr>
        <w:t>Sonstrom</w:t>
      </w:r>
      <w:proofErr w:type="spellEnd"/>
      <w:r w:rsidRPr="00917CA7">
        <w:rPr>
          <w:rFonts w:cstheme="minorHAnsi"/>
        </w:rPr>
        <w:t>, M. S. Holdren, S. E. Sloane, I. Y. Alansari, J. L. Neill, B. H. Pate, J. R. Clark, </w:t>
      </w:r>
      <w:r w:rsidRPr="00917CA7">
        <w:rPr>
          <w:rFonts w:cstheme="minorHAnsi"/>
          <w:i/>
          <w:iCs/>
        </w:rPr>
        <w:t>J. Am. Chem. Soc.</w:t>
      </w:r>
      <w:r w:rsidRPr="00917CA7">
        <w:rPr>
          <w:rFonts w:cstheme="minorHAnsi"/>
        </w:rPr>
        <w:t> 2021, </w:t>
      </w:r>
      <w:r w:rsidRPr="00917CA7">
        <w:rPr>
          <w:rFonts w:cstheme="minorHAnsi"/>
          <w:b/>
          <w:bCs/>
        </w:rPr>
        <w:t>143</w:t>
      </w:r>
      <w:r w:rsidRPr="00917CA7">
        <w:rPr>
          <w:rFonts w:cstheme="minorHAnsi"/>
        </w:rPr>
        <w:t>, 7707–7718.</w:t>
      </w:r>
    </w:p>
    <w:p w14:paraId="7604AE76" w14:textId="7CA8B2EB" w:rsidR="00917CA7" w:rsidRPr="00917CA7" w:rsidRDefault="00917CA7" w:rsidP="00BF1D9F">
      <w:pPr>
        <w:pStyle w:val="NoSpacing"/>
        <w:ind w:left="720" w:hanging="720"/>
        <w:rPr>
          <w:rFonts w:cstheme="minorHAnsi"/>
        </w:rPr>
      </w:pPr>
      <w:r w:rsidRPr="00917CA7">
        <w:rPr>
          <w:rFonts w:cstheme="minorHAnsi"/>
        </w:rPr>
        <w:t>29</w:t>
      </w:r>
      <w:r w:rsidR="00BF1D9F">
        <w:rPr>
          <w:rFonts w:cstheme="minorHAnsi"/>
        </w:rPr>
        <w:t xml:space="preserve"> </w:t>
      </w:r>
      <w:r w:rsidRPr="00917CA7">
        <w:rPr>
          <w:rFonts w:cstheme="minorHAnsi"/>
        </w:rPr>
        <w:t>M. Espinal-</w:t>
      </w:r>
      <w:proofErr w:type="spellStart"/>
      <w:r w:rsidRPr="00917CA7">
        <w:rPr>
          <w:rFonts w:cstheme="minorHAnsi"/>
        </w:rPr>
        <w:t>Viguri</w:t>
      </w:r>
      <w:proofErr w:type="spellEnd"/>
      <w:r w:rsidRPr="00917CA7">
        <w:rPr>
          <w:rFonts w:cstheme="minorHAnsi"/>
        </w:rPr>
        <w:t>, S. E. Neale, N. T. Coles, S. A. Macgregor, R. L. Webster, </w:t>
      </w:r>
      <w:r w:rsidRPr="00917CA7">
        <w:rPr>
          <w:rFonts w:cstheme="minorHAnsi"/>
          <w:i/>
          <w:iCs/>
        </w:rPr>
        <w:t>J. Am. Chem. Soc.</w:t>
      </w:r>
      <w:r w:rsidRPr="00917CA7">
        <w:rPr>
          <w:rFonts w:cstheme="minorHAnsi"/>
        </w:rPr>
        <w:t> 2019, </w:t>
      </w:r>
      <w:r w:rsidRPr="00917CA7">
        <w:rPr>
          <w:rFonts w:cstheme="minorHAnsi"/>
          <w:b/>
          <w:bCs/>
        </w:rPr>
        <w:t>141</w:t>
      </w:r>
      <w:r w:rsidRPr="00917CA7">
        <w:rPr>
          <w:rFonts w:cstheme="minorHAnsi"/>
        </w:rPr>
        <w:t>, 572–582.</w:t>
      </w:r>
    </w:p>
    <w:p w14:paraId="0C6762C1" w14:textId="1E8F5B27" w:rsidR="00917CA7" w:rsidRPr="00917CA7" w:rsidRDefault="00917CA7" w:rsidP="00BF1D9F">
      <w:pPr>
        <w:pStyle w:val="NoSpacing"/>
        <w:ind w:left="720" w:hanging="720"/>
        <w:rPr>
          <w:rFonts w:cstheme="minorHAnsi"/>
        </w:rPr>
      </w:pPr>
      <w:r w:rsidRPr="00917CA7">
        <w:rPr>
          <w:rFonts w:cstheme="minorHAnsi"/>
        </w:rPr>
        <w:t>30</w:t>
      </w:r>
      <w:r w:rsidR="00BF1D9F">
        <w:rPr>
          <w:rFonts w:cstheme="minorHAnsi"/>
        </w:rPr>
        <w:t xml:space="preserve"> </w:t>
      </w:r>
      <w:r w:rsidRPr="00917CA7">
        <w:rPr>
          <w:rFonts w:cstheme="minorHAnsi"/>
        </w:rPr>
        <w:t>T. G. Linford-Wood, N. T. Coles, R. L. Webster, </w:t>
      </w:r>
      <w:r w:rsidRPr="00917CA7">
        <w:rPr>
          <w:rFonts w:cstheme="minorHAnsi"/>
          <w:i/>
          <w:iCs/>
        </w:rPr>
        <w:t>Green Chem.</w:t>
      </w:r>
      <w:r w:rsidRPr="00917CA7">
        <w:rPr>
          <w:rFonts w:cstheme="minorHAnsi"/>
        </w:rPr>
        <w:t> 2021, </w:t>
      </w:r>
      <w:r w:rsidRPr="00917CA7">
        <w:rPr>
          <w:rFonts w:cstheme="minorHAnsi"/>
          <w:b/>
          <w:bCs/>
        </w:rPr>
        <w:t>23</w:t>
      </w:r>
      <w:r w:rsidRPr="00917CA7">
        <w:rPr>
          <w:rFonts w:cstheme="minorHAnsi"/>
        </w:rPr>
        <w:t>, 2703–2709.</w:t>
      </w:r>
    </w:p>
    <w:p w14:paraId="698FD98E" w14:textId="42E677D1" w:rsidR="00917CA7" w:rsidRPr="00917CA7" w:rsidRDefault="00917CA7" w:rsidP="00BF1D9F">
      <w:pPr>
        <w:pStyle w:val="NoSpacing"/>
        <w:ind w:left="720" w:hanging="720"/>
        <w:rPr>
          <w:rFonts w:cstheme="minorHAnsi"/>
        </w:rPr>
      </w:pPr>
      <w:r w:rsidRPr="00917CA7">
        <w:rPr>
          <w:rFonts w:cstheme="minorHAnsi"/>
        </w:rPr>
        <w:t>31</w:t>
      </w:r>
      <w:r w:rsidR="00BF1D9F">
        <w:rPr>
          <w:rFonts w:cstheme="minorHAnsi"/>
        </w:rPr>
        <w:t xml:space="preserve"> </w:t>
      </w:r>
      <w:r w:rsidRPr="00917CA7">
        <w:rPr>
          <w:rFonts w:cstheme="minorHAnsi"/>
        </w:rPr>
        <w:t>T. Okuhara, K.-I. Tanaka, </w:t>
      </w:r>
      <w:r w:rsidRPr="00917CA7">
        <w:rPr>
          <w:rFonts w:cstheme="minorHAnsi"/>
          <w:i/>
          <w:iCs/>
        </w:rPr>
        <w:t xml:space="preserve">J. Chem. Soc. Chem. </w:t>
      </w:r>
      <w:proofErr w:type="spellStart"/>
      <w:r w:rsidRPr="00917CA7">
        <w:rPr>
          <w:rFonts w:cstheme="minorHAnsi"/>
          <w:i/>
          <w:iCs/>
        </w:rPr>
        <w:t>Commun</w:t>
      </w:r>
      <w:proofErr w:type="spellEnd"/>
      <w:r w:rsidRPr="00917CA7">
        <w:rPr>
          <w:rFonts w:cstheme="minorHAnsi"/>
          <w:i/>
          <w:iCs/>
        </w:rPr>
        <w:t>.</w:t>
      </w:r>
      <w:r w:rsidRPr="00917CA7">
        <w:rPr>
          <w:rFonts w:cstheme="minorHAnsi"/>
        </w:rPr>
        <w:t> 1976, 199–200.</w:t>
      </w:r>
    </w:p>
    <w:p w14:paraId="128E1D2C" w14:textId="15D5B752" w:rsidR="00917CA7" w:rsidRPr="00917CA7" w:rsidRDefault="00917CA7" w:rsidP="00BF1D9F">
      <w:pPr>
        <w:pStyle w:val="NoSpacing"/>
        <w:ind w:left="720" w:hanging="720"/>
        <w:rPr>
          <w:rFonts w:cstheme="minorHAnsi"/>
        </w:rPr>
      </w:pPr>
      <w:r w:rsidRPr="00917CA7">
        <w:rPr>
          <w:rFonts w:cstheme="minorHAnsi"/>
        </w:rPr>
        <w:t>32</w:t>
      </w:r>
      <w:r w:rsidR="00BF1D9F">
        <w:rPr>
          <w:rFonts w:cstheme="minorHAnsi"/>
        </w:rPr>
        <w:t xml:space="preserve"> </w:t>
      </w:r>
      <w:r w:rsidRPr="00917CA7">
        <w:rPr>
          <w:rFonts w:cstheme="minorHAnsi"/>
        </w:rPr>
        <w:t>T. Okuhara, T. Kondo, K. Tanaka, </w:t>
      </w:r>
      <w:r w:rsidRPr="00917CA7">
        <w:rPr>
          <w:rFonts w:cstheme="minorHAnsi"/>
          <w:i/>
          <w:iCs/>
        </w:rPr>
        <w:t>J. Phys. Chem.</w:t>
      </w:r>
      <w:r w:rsidRPr="00917CA7">
        <w:rPr>
          <w:rFonts w:cstheme="minorHAnsi"/>
        </w:rPr>
        <w:t> 1977, </w:t>
      </w:r>
      <w:r w:rsidRPr="00917CA7">
        <w:rPr>
          <w:rFonts w:cstheme="minorHAnsi"/>
          <w:b/>
          <w:bCs/>
        </w:rPr>
        <w:t>81</w:t>
      </w:r>
      <w:r w:rsidRPr="00917CA7">
        <w:rPr>
          <w:rFonts w:cstheme="minorHAnsi"/>
        </w:rPr>
        <w:t>, 808–809.</w:t>
      </w:r>
    </w:p>
    <w:p w14:paraId="72FA072D" w14:textId="458837E9" w:rsidR="00917CA7" w:rsidRPr="00917CA7" w:rsidRDefault="00917CA7" w:rsidP="00BF1D9F">
      <w:pPr>
        <w:pStyle w:val="NoSpacing"/>
        <w:ind w:left="720" w:hanging="720"/>
        <w:rPr>
          <w:rFonts w:cstheme="minorHAnsi"/>
        </w:rPr>
      </w:pPr>
      <w:r w:rsidRPr="00917CA7">
        <w:rPr>
          <w:rFonts w:cstheme="minorHAnsi"/>
        </w:rPr>
        <w:t>33</w:t>
      </w:r>
      <w:r w:rsidR="00BF1D9F">
        <w:rPr>
          <w:rFonts w:cstheme="minorHAnsi"/>
        </w:rPr>
        <w:t xml:space="preserve"> </w:t>
      </w:r>
      <w:r w:rsidRPr="00917CA7">
        <w:rPr>
          <w:rFonts w:cstheme="minorHAnsi"/>
        </w:rPr>
        <w:t>C. R. Woof, D. J. Durand, N. Fey, E. Richards, R. L. Webster, </w:t>
      </w:r>
      <w:r w:rsidRPr="00917CA7">
        <w:rPr>
          <w:rFonts w:cstheme="minorHAnsi"/>
          <w:i/>
          <w:iCs/>
        </w:rPr>
        <w:t>Chem. Eur. J.</w:t>
      </w:r>
      <w:r w:rsidRPr="00917CA7">
        <w:rPr>
          <w:rFonts w:cstheme="minorHAnsi"/>
        </w:rPr>
        <w:t> 2021, </w:t>
      </w:r>
      <w:r w:rsidRPr="00917CA7">
        <w:rPr>
          <w:rFonts w:cstheme="minorHAnsi"/>
          <w:b/>
          <w:bCs/>
        </w:rPr>
        <w:t>27</w:t>
      </w:r>
      <w:r w:rsidRPr="00917CA7">
        <w:rPr>
          <w:rFonts w:cstheme="minorHAnsi"/>
        </w:rPr>
        <w:t>, 5972–5977.</w:t>
      </w:r>
    </w:p>
    <w:p w14:paraId="0574F5FF" w14:textId="2C18913A" w:rsidR="00917CA7" w:rsidRPr="00917CA7" w:rsidRDefault="00917CA7" w:rsidP="00BF1D9F">
      <w:pPr>
        <w:pStyle w:val="NoSpacing"/>
        <w:ind w:left="720" w:hanging="720"/>
        <w:rPr>
          <w:rFonts w:cstheme="minorHAnsi"/>
        </w:rPr>
      </w:pPr>
      <w:r w:rsidRPr="00917CA7">
        <w:rPr>
          <w:rFonts w:cstheme="minorHAnsi"/>
        </w:rPr>
        <w:t>34</w:t>
      </w:r>
      <w:r w:rsidR="00BF1D9F">
        <w:rPr>
          <w:rFonts w:cstheme="minorHAnsi"/>
        </w:rPr>
        <w:t xml:space="preserve"> </w:t>
      </w:r>
      <w:r w:rsidRPr="00917CA7">
        <w:rPr>
          <w:rFonts w:cstheme="minorHAnsi"/>
        </w:rPr>
        <w:t>R. Y. Liu, S. L. Buchwald, </w:t>
      </w:r>
      <w:r w:rsidRPr="00917CA7">
        <w:rPr>
          <w:rFonts w:cstheme="minorHAnsi"/>
          <w:i/>
          <w:iCs/>
        </w:rPr>
        <w:t>Acc. Chem. Res.</w:t>
      </w:r>
      <w:r w:rsidRPr="00917CA7">
        <w:rPr>
          <w:rFonts w:cstheme="minorHAnsi"/>
        </w:rPr>
        <w:t> 2020, </w:t>
      </w:r>
      <w:r w:rsidRPr="00917CA7">
        <w:rPr>
          <w:rFonts w:cstheme="minorHAnsi"/>
          <w:b/>
          <w:bCs/>
        </w:rPr>
        <w:t>53</w:t>
      </w:r>
      <w:r w:rsidRPr="00917CA7">
        <w:rPr>
          <w:rFonts w:cstheme="minorHAnsi"/>
        </w:rPr>
        <w:t>, 1229–1243.</w:t>
      </w:r>
    </w:p>
    <w:p w14:paraId="608E5F2F" w14:textId="2D658E80" w:rsidR="00917CA7" w:rsidRPr="00917CA7" w:rsidRDefault="00917CA7" w:rsidP="00BF1D9F">
      <w:pPr>
        <w:pStyle w:val="NoSpacing"/>
        <w:ind w:left="720" w:hanging="720"/>
        <w:rPr>
          <w:rFonts w:cstheme="minorHAnsi"/>
        </w:rPr>
      </w:pPr>
      <w:r w:rsidRPr="00917CA7">
        <w:rPr>
          <w:rFonts w:cstheme="minorHAnsi"/>
        </w:rPr>
        <w:t>35</w:t>
      </w:r>
      <w:r w:rsidR="00BF1D9F">
        <w:rPr>
          <w:rFonts w:cstheme="minorHAnsi"/>
        </w:rPr>
        <w:t xml:space="preserve"> </w:t>
      </w:r>
      <w:r w:rsidRPr="00917CA7">
        <w:rPr>
          <w:rFonts w:cstheme="minorHAnsi"/>
        </w:rPr>
        <w:t>H. Wang, S. L. Buchwald, </w:t>
      </w:r>
      <w:r w:rsidRPr="00917CA7">
        <w:rPr>
          <w:rFonts w:cstheme="minorHAnsi"/>
          <w:i/>
          <w:iCs/>
        </w:rPr>
        <w:t>Org. React.</w:t>
      </w:r>
      <w:r w:rsidRPr="00917CA7">
        <w:rPr>
          <w:rFonts w:cstheme="minorHAnsi"/>
        </w:rPr>
        <w:t> 2020, 121–206.</w:t>
      </w:r>
    </w:p>
    <w:p w14:paraId="1C3B04F1" w14:textId="2593AD21" w:rsidR="00917CA7" w:rsidRPr="00917CA7" w:rsidRDefault="00917CA7" w:rsidP="00BF1D9F">
      <w:pPr>
        <w:pStyle w:val="NoSpacing"/>
        <w:ind w:left="720" w:hanging="720"/>
        <w:rPr>
          <w:rFonts w:cstheme="minorHAnsi"/>
        </w:rPr>
      </w:pPr>
      <w:r w:rsidRPr="00917CA7">
        <w:rPr>
          <w:rFonts w:cstheme="minorHAnsi"/>
        </w:rPr>
        <w:t>36</w:t>
      </w:r>
      <w:r w:rsidR="00BF1D9F">
        <w:rPr>
          <w:rFonts w:cstheme="minorHAnsi"/>
        </w:rPr>
        <w:t xml:space="preserve"> </w:t>
      </w:r>
      <w:r w:rsidRPr="00917CA7">
        <w:rPr>
          <w:rFonts w:cstheme="minorHAnsi"/>
        </w:rPr>
        <w:t xml:space="preserve">S. Zhu, N. </w:t>
      </w:r>
      <w:proofErr w:type="spellStart"/>
      <w:r w:rsidRPr="00917CA7">
        <w:rPr>
          <w:rFonts w:cstheme="minorHAnsi"/>
        </w:rPr>
        <w:t>Niljianskul</w:t>
      </w:r>
      <w:proofErr w:type="spellEnd"/>
      <w:r w:rsidRPr="00917CA7">
        <w:rPr>
          <w:rFonts w:cstheme="minorHAnsi"/>
        </w:rPr>
        <w:t>, S. L. Buchwald, </w:t>
      </w:r>
      <w:r w:rsidRPr="00917CA7">
        <w:rPr>
          <w:rFonts w:cstheme="minorHAnsi"/>
          <w:i/>
          <w:iCs/>
        </w:rPr>
        <w:t>J. Am. Chem. Soc.</w:t>
      </w:r>
      <w:r w:rsidRPr="00917CA7">
        <w:rPr>
          <w:rFonts w:cstheme="minorHAnsi"/>
        </w:rPr>
        <w:t> 2013, </w:t>
      </w:r>
      <w:r w:rsidRPr="00917CA7">
        <w:rPr>
          <w:rFonts w:cstheme="minorHAnsi"/>
          <w:b/>
          <w:bCs/>
        </w:rPr>
        <w:t>135</w:t>
      </w:r>
      <w:r w:rsidRPr="00917CA7">
        <w:rPr>
          <w:rFonts w:cstheme="minorHAnsi"/>
        </w:rPr>
        <w:t>, 15746–15749.</w:t>
      </w:r>
    </w:p>
    <w:p w14:paraId="24053F23" w14:textId="33823763" w:rsidR="00917CA7" w:rsidRPr="00917CA7" w:rsidRDefault="00917CA7" w:rsidP="00BF1D9F">
      <w:pPr>
        <w:pStyle w:val="NoSpacing"/>
        <w:ind w:left="720" w:hanging="720"/>
        <w:rPr>
          <w:rFonts w:cstheme="minorHAnsi"/>
        </w:rPr>
      </w:pPr>
      <w:r w:rsidRPr="00917CA7">
        <w:rPr>
          <w:rFonts w:cstheme="minorHAnsi"/>
        </w:rPr>
        <w:t>37</w:t>
      </w:r>
      <w:r w:rsidR="00BF1D9F">
        <w:rPr>
          <w:rFonts w:cstheme="minorHAnsi"/>
        </w:rPr>
        <w:t xml:space="preserve"> </w:t>
      </w:r>
      <w:r w:rsidRPr="00917CA7">
        <w:rPr>
          <w:rFonts w:cstheme="minorHAnsi"/>
        </w:rPr>
        <w:t xml:space="preserve">A. W. Schuppe, J. L. Knippel, G. M. </w:t>
      </w:r>
      <w:proofErr w:type="spellStart"/>
      <w:r w:rsidRPr="00917CA7">
        <w:rPr>
          <w:rFonts w:cstheme="minorHAnsi"/>
        </w:rPr>
        <w:t>Borrajo</w:t>
      </w:r>
      <w:proofErr w:type="spellEnd"/>
      <w:r w:rsidRPr="00917CA7">
        <w:rPr>
          <w:rFonts w:cstheme="minorHAnsi"/>
        </w:rPr>
        <w:t>-Calleja, S. L. Buchwald, </w:t>
      </w:r>
      <w:r w:rsidRPr="00917CA7">
        <w:rPr>
          <w:rFonts w:cstheme="minorHAnsi"/>
          <w:i/>
          <w:iCs/>
        </w:rPr>
        <w:t>J. Am. Chem. Soc.</w:t>
      </w:r>
      <w:r w:rsidRPr="00917CA7">
        <w:rPr>
          <w:rFonts w:cstheme="minorHAnsi"/>
        </w:rPr>
        <w:t> 2021, </w:t>
      </w:r>
      <w:r w:rsidRPr="00917CA7">
        <w:rPr>
          <w:rFonts w:cstheme="minorHAnsi"/>
          <w:b/>
          <w:bCs/>
        </w:rPr>
        <w:t>143</w:t>
      </w:r>
      <w:r w:rsidRPr="00917CA7">
        <w:rPr>
          <w:rFonts w:cstheme="minorHAnsi"/>
        </w:rPr>
        <w:t>, 5330–5335.</w:t>
      </w:r>
    </w:p>
    <w:p w14:paraId="49EFF600" w14:textId="111025AE" w:rsidR="00917CA7" w:rsidRPr="00917CA7" w:rsidRDefault="00917CA7" w:rsidP="00BF1D9F">
      <w:pPr>
        <w:pStyle w:val="NoSpacing"/>
        <w:ind w:left="720" w:hanging="720"/>
        <w:rPr>
          <w:rFonts w:cstheme="minorHAnsi"/>
        </w:rPr>
      </w:pPr>
      <w:r w:rsidRPr="00917CA7">
        <w:rPr>
          <w:rFonts w:cstheme="minorHAnsi"/>
        </w:rPr>
        <w:t>38</w:t>
      </w:r>
      <w:r w:rsidR="00BF1D9F">
        <w:rPr>
          <w:rFonts w:cstheme="minorHAnsi"/>
        </w:rPr>
        <w:t xml:space="preserve"> </w:t>
      </w:r>
      <w:r w:rsidRPr="00917CA7">
        <w:rPr>
          <w:rFonts w:cstheme="minorHAnsi"/>
        </w:rPr>
        <w:t xml:space="preserve">N. P. Mankad, D. S. </w:t>
      </w:r>
      <w:proofErr w:type="spellStart"/>
      <w:r w:rsidRPr="00917CA7">
        <w:rPr>
          <w:rFonts w:cstheme="minorHAnsi"/>
        </w:rPr>
        <w:t>Laitar</w:t>
      </w:r>
      <w:proofErr w:type="spellEnd"/>
      <w:r w:rsidRPr="00917CA7">
        <w:rPr>
          <w:rFonts w:cstheme="minorHAnsi"/>
        </w:rPr>
        <w:t>, J. P. Sadighi, </w:t>
      </w:r>
      <w:r w:rsidRPr="00917CA7">
        <w:rPr>
          <w:rFonts w:cstheme="minorHAnsi"/>
          <w:i/>
          <w:iCs/>
        </w:rPr>
        <w:t>Organometallics.</w:t>
      </w:r>
      <w:r w:rsidRPr="00917CA7">
        <w:rPr>
          <w:rFonts w:cstheme="minorHAnsi"/>
        </w:rPr>
        <w:t> 2004, </w:t>
      </w:r>
      <w:r w:rsidRPr="00917CA7">
        <w:rPr>
          <w:rFonts w:cstheme="minorHAnsi"/>
          <w:b/>
          <w:bCs/>
        </w:rPr>
        <w:t>23</w:t>
      </w:r>
      <w:r w:rsidRPr="00917CA7">
        <w:rPr>
          <w:rFonts w:cstheme="minorHAnsi"/>
        </w:rPr>
        <w:t>, 3369–3371.</w:t>
      </w:r>
    </w:p>
    <w:p w14:paraId="1F9681E1" w14:textId="3EE923D3" w:rsidR="00917CA7" w:rsidRPr="00917CA7" w:rsidRDefault="00917CA7" w:rsidP="00BF1D9F">
      <w:pPr>
        <w:pStyle w:val="NoSpacing"/>
        <w:ind w:left="720" w:hanging="720"/>
        <w:rPr>
          <w:rFonts w:cstheme="minorHAnsi"/>
        </w:rPr>
      </w:pPr>
      <w:r w:rsidRPr="00917CA7">
        <w:rPr>
          <w:rFonts w:cstheme="minorHAnsi"/>
        </w:rPr>
        <w:t>39</w:t>
      </w:r>
      <w:r w:rsidR="00BF1D9F">
        <w:rPr>
          <w:rFonts w:cstheme="minorHAnsi"/>
        </w:rPr>
        <w:t xml:space="preserve"> </w:t>
      </w:r>
      <w:r w:rsidRPr="00917CA7">
        <w:rPr>
          <w:rFonts w:cstheme="minorHAnsi"/>
        </w:rPr>
        <w:t>K. Semba, T. Fujihara, T. Xu, J. Terao, Y. Tsuji, </w:t>
      </w:r>
      <w:r w:rsidRPr="00917CA7">
        <w:rPr>
          <w:rFonts w:cstheme="minorHAnsi"/>
          <w:i/>
          <w:iCs/>
        </w:rPr>
        <w:t xml:space="preserve">Adv. Synth. </w:t>
      </w:r>
      <w:proofErr w:type="spellStart"/>
      <w:r w:rsidRPr="00917CA7">
        <w:rPr>
          <w:rFonts w:cstheme="minorHAnsi"/>
          <w:i/>
          <w:iCs/>
        </w:rPr>
        <w:t>Catal</w:t>
      </w:r>
      <w:proofErr w:type="spellEnd"/>
      <w:r w:rsidRPr="00917CA7">
        <w:rPr>
          <w:rFonts w:cstheme="minorHAnsi"/>
          <w:i/>
          <w:iCs/>
        </w:rPr>
        <w:t>.</w:t>
      </w:r>
      <w:r w:rsidRPr="00917CA7">
        <w:rPr>
          <w:rFonts w:cstheme="minorHAnsi"/>
        </w:rPr>
        <w:t> 2012, </w:t>
      </w:r>
      <w:r w:rsidRPr="00917CA7">
        <w:rPr>
          <w:rFonts w:cstheme="minorHAnsi"/>
          <w:b/>
          <w:bCs/>
        </w:rPr>
        <w:t>354</w:t>
      </w:r>
      <w:r w:rsidRPr="00917CA7">
        <w:rPr>
          <w:rFonts w:cstheme="minorHAnsi"/>
        </w:rPr>
        <w:t>, 1542–1550.</w:t>
      </w:r>
    </w:p>
    <w:p w14:paraId="38F33EBB" w14:textId="3292A5A3" w:rsidR="00917CA7" w:rsidRPr="00917CA7" w:rsidRDefault="00917CA7" w:rsidP="00BF1D9F">
      <w:pPr>
        <w:pStyle w:val="NoSpacing"/>
        <w:ind w:left="720" w:hanging="720"/>
        <w:rPr>
          <w:rFonts w:cstheme="minorHAnsi"/>
        </w:rPr>
      </w:pPr>
      <w:r w:rsidRPr="00917CA7">
        <w:rPr>
          <w:rFonts w:cstheme="minorHAnsi"/>
        </w:rPr>
        <w:t>40</w:t>
      </w:r>
      <w:r w:rsidR="00BF1D9F">
        <w:rPr>
          <w:rFonts w:cstheme="minorHAnsi"/>
        </w:rPr>
        <w:t xml:space="preserve"> </w:t>
      </w:r>
      <w:r w:rsidRPr="00917CA7">
        <w:rPr>
          <w:rFonts w:cstheme="minorHAnsi"/>
        </w:rPr>
        <w:t>A. M. Whittaker, G. Lalic, </w:t>
      </w:r>
      <w:r w:rsidRPr="00917CA7">
        <w:rPr>
          <w:rFonts w:cstheme="minorHAnsi"/>
          <w:i/>
          <w:iCs/>
        </w:rPr>
        <w:t>Org. Lett.</w:t>
      </w:r>
      <w:r w:rsidRPr="00917CA7">
        <w:rPr>
          <w:rFonts w:cstheme="minorHAnsi"/>
        </w:rPr>
        <w:t> 2013, </w:t>
      </w:r>
      <w:r w:rsidRPr="00917CA7">
        <w:rPr>
          <w:rFonts w:cstheme="minorHAnsi"/>
          <w:b/>
          <w:bCs/>
        </w:rPr>
        <w:t>15</w:t>
      </w:r>
      <w:r w:rsidRPr="00917CA7">
        <w:rPr>
          <w:rFonts w:cstheme="minorHAnsi"/>
        </w:rPr>
        <w:t>, 1112–1115.</w:t>
      </w:r>
    </w:p>
    <w:p w14:paraId="452D22CA" w14:textId="28E69FF1" w:rsidR="00917CA7" w:rsidRPr="00917CA7" w:rsidRDefault="00917CA7" w:rsidP="00BF1D9F">
      <w:pPr>
        <w:pStyle w:val="NoSpacing"/>
        <w:ind w:left="720" w:hanging="720"/>
        <w:rPr>
          <w:rFonts w:cstheme="minorHAnsi"/>
        </w:rPr>
      </w:pPr>
      <w:r w:rsidRPr="00917CA7">
        <w:rPr>
          <w:rFonts w:cstheme="minorHAnsi"/>
        </w:rPr>
        <w:t>41</w:t>
      </w:r>
      <w:r w:rsidR="00BF1D9F">
        <w:rPr>
          <w:rFonts w:cstheme="minorHAnsi"/>
        </w:rPr>
        <w:t xml:space="preserve"> </w:t>
      </w:r>
      <w:r w:rsidRPr="00917CA7">
        <w:rPr>
          <w:rFonts w:cstheme="minorHAnsi"/>
        </w:rPr>
        <w:t xml:space="preserve">S. E. Sloane, A. Reyes, Z. P. Vang, L. Li, K. T. </w:t>
      </w:r>
      <w:proofErr w:type="spellStart"/>
      <w:r w:rsidRPr="00917CA7">
        <w:rPr>
          <w:rFonts w:cstheme="minorHAnsi"/>
        </w:rPr>
        <w:t>Behlow</w:t>
      </w:r>
      <w:proofErr w:type="spellEnd"/>
      <w:r w:rsidRPr="00917CA7">
        <w:rPr>
          <w:rFonts w:cstheme="minorHAnsi"/>
        </w:rPr>
        <w:t>, J. R. Clark, </w:t>
      </w:r>
      <w:r w:rsidRPr="00917CA7">
        <w:rPr>
          <w:rFonts w:cstheme="minorHAnsi"/>
          <w:i/>
          <w:iCs/>
        </w:rPr>
        <w:t>Org. Lett.</w:t>
      </w:r>
      <w:r w:rsidRPr="00917CA7">
        <w:rPr>
          <w:rFonts w:cstheme="minorHAnsi"/>
        </w:rPr>
        <w:t> 2020, </w:t>
      </w:r>
      <w:r w:rsidRPr="00917CA7">
        <w:rPr>
          <w:rFonts w:cstheme="minorHAnsi"/>
          <w:b/>
          <w:bCs/>
        </w:rPr>
        <w:t>22</w:t>
      </w:r>
      <w:r w:rsidRPr="00917CA7">
        <w:rPr>
          <w:rFonts w:cstheme="minorHAnsi"/>
        </w:rPr>
        <w:t>, 9139–9144.</w:t>
      </w:r>
    </w:p>
    <w:p w14:paraId="2FF1768B" w14:textId="38C2EC0E" w:rsidR="00917CA7" w:rsidRPr="00917CA7" w:rsidRDefault="00917CA7" w:rsidP="00BF1D9F">
      <w:pPr>
        <w:pStyle w:val="NoSpacing"/>
        <w:ind w:left="720" w:hanging="720"/>
        <w:rPr>
          <w:rFonts w:cstheme="minorHAnsi"/>
        </w:rPr>
      </w:pPr>
      <w:r w:rsidRPr="00917CA7">
        <w:rPr>
          <w:rFonts w:cstheme="minorHAnsi"/>
        </w:rPr>
        <w:t>42</w:t>
      </w:r>
      <w:r w:rsidR="00BF1D9F">
        <w:rPr>
          <w:rFonts w:cstheme="minorHAnsi"/>
        </w:rPr>
        <w:t xml:space="preserve"> </w:t>
      </w:r>
      <w:r w:rsidRPr="00917CA7">
        <w:rPr>
          <w:rFonts w:cstheme="minorHAnsi"/>
        </w:rPr>
        <w:t>A. J. Jordan, G. Lalic, J. P. Sadighi, </w:t>
      </w:r>
      <w:r w:rsidRPr="00917CA7">
        <w:rPr>
          <w:rFonts w:cstheme="minorHAnsi"/>
          <w:i/>
          <w:iCs/>
        </w:rPr>
        <w:t>Chem. Rev.</w:t>
      </w:r>
      <w:r w:rsidRPr="00917CA7">
        <w:rPr>
          <w:rFonts w:cstheme="minorHAnsi"/>
        </w:rPr>
        <w:t> 2016, </w:t>
      </w:r>
      <w:r w:rsidRPr="00917CA7">
        <w:rPr>
          <w:rFonts w:cstheme="minorHAnsi"/>
          <w:b/>
          <w:bCs/>
        </w:rPr>
        <w:t>116</w:t>
      </w:r>
      <w:r w:rsidRPr="00917CA7">
        <w:rPr>
          <w:rFonts w:cstheme="minorHAnsi"/>
        </w:rPr>
        <w:t>, 8318–8372.</w:t>
      </w:r>
    </w:p>
    <w:p w14:paraId="17D97BE6" w14:textId="746744AF" w:rsidR="00917CA7" w:rsidRPr="00917CA7" w:rsidRDefault="00917CA7" w:rsidP="00BF1D9F">
      <w:pPr>
        <w:pStyle w:val="NoSpacing"/>
        <w:ind w:left="720" w:hanging="720"/>
        <w:rPr>
          <w:rFonts w:cstheme="minorHAnsi"/>
        </w:rPr>
      </w:pPr>
      <w:r w:rsidRPr="00917CA7">
        <w:rPr>
          <w:rFonts w:cstheme="minorHAnsi"/>
        </w:rPr>
        <w:t>43</w:t>
      </w:r>
      <w:r w:rsidR="00BF1D9F">
        <w:rPr>
          <w:rFonts w:cstheme="minorHAnsi"/>
        </w:rPr>
        <w:t xml:space="preserve"> </w:t>
      </w:r>
      <w:r w:rsidRPr="00917CA7">
        <w:rPr>
          <w:rFonts w:cstheme="minorHAnsi"/>
        </w:rPr>
        <w:t>S.-L. Shi, S. L. Buchwald, </w:t>
      </w:r>
      <w:r w:rsidRPr="00917CA7">
        <w:rPr>
          <w:rFonts w:cstheme="minorHAnsi"/>
          <w:i/>
          <w:iCs/>
        </w:rPr>
        <w:t>Nat. Chem.</w:t>
      </w:r>
      <w:r w:rsidRPr="00917CA7">
        <w:rPr>
          <w:rFonts w:cstheme="minorHAnsi"/>
        </w:rPr>
        <w:t> 2015, </w:t>
      </w:r>
      <w:r w:rsidRPr="00917CA7">
        <w:rPr>
          <w:rFonts w:cstheme="minorHAnsi"/>
          <w:b/>
          <w:bCs/>
        </w:rPr>
        <w:t>7</w:t>
      </w:r>
      <w:r w:rsidRPr="00917CA7">
        <w:rPr>
          <w:rFonts w:cstheme="minorHAnsi"/>
        </w:rPr>
        <w:t>, 38–44.</w:t>
      </w:r>
    </w:p>
    <w:p w14:paraId="77E0A588" w14:textId="259586F6" w:rsidR="00917CA7" w:rsidRPr="00917CA7" w:rsidRDefault="00917CA7" w:rsidP="00BF1D9F">
      <w:pPr>
        <w:pStyle w:val="NoSpacing"/>
        <w:ind w:left="720" w:hanging="720"/>
        <w:rPr>
          <w:rFonts w:cstheme="minorHAnsi"/>
        </w:rPr>
      </w:pPr>
      <w:r w:rsidRPr="00917CA7">
        <w:rPr>
          <w:rFonts w:cstheme="minorHAnsi"/>
        </w:rPr>
        <w:t>44</w:t>
      </w:r>
      <w:r w:rsidR="00BF1D9F">
        <w:rPr>
          <w:rFonts w:cstheme="minorHAnsi"/>
        </w:rPr>
        <w:t xml:space="preserve"> </w:t>
      </w:r>
      <w:r w:rsidRPr="00917CA7">
        <w:rPr>
          <w:rFonts w:cstheme="minorHAnsi"/>
        </w:rPr>
        <w:t xml:space="preserve">R. D. Taylor, M. </w:t>
      </w:r>
      <w:proofErr w:type="spellStart"/>
      <w:r w:rsidRPr="00917CA7">
        <w:rPr>
          <w:rFonts w:cstheme="minorHAnsi"/>
        </w:rPr>
        <w:t>MacCoss</w:t>
      </w:r>
      <w:proofErr w:type="spellEnd"/>
      <w:r w:rsidRPr="00917CA7">
        <w:rPr>
          <w:rFonts w:cstheme="minorHAnsi"/>
        </w:rPr>
        <w:t>, A. D. G. Lawson, </w:t>
      </w:r>
      <w:r w:rsidRPr="00917CA7">
        <w:rPr>
          <w:rFonts w:cstheme="minorHAnsi"/>
          <w:i/>
          <w:iCs/>
        </w:rPr>
        <w:t>J. Med. Chem.</w:t>
      </w:r>
      <w:r w:rsidRPr="00917CA7">
        <w:rPr>
          <w:rFonts w:cstheme="minorHAnsi"/>
        </w:rPr>
        <w:t> 2014, </w:t>
      </w:r>
      <w:r w:rsidRPr="00917CA7">
        <w:rPr>
          <w:rFonts w:cstheme="minorHAnsi"/>
          <w:b/>
          <w:bCs/>
        </w:rPr>
        <w:t>57</w:t>
      </w:r>
      <w:r w:rsidRPr="00917CA7">
        <w:rPr>
          <w:rFonts w:cstheme="minorHAnsi"/>
        </w:rPr>
        <w:t>, 5845–5859.</w:t>
      </w:r>
    </w:p>
    <w:p w14:paraId="41F3D248" w14:textId="23419248" w:rsidR="00917CA7" w:rsidRPr="00917CA7" w:rsidRDefault="00917CA7" w:rsidP="00BF1D9F">
      <w:pPr>
        <w:pStyle w:val="NoSpacing"/>
        <w:ind w:left="720" w:hanging="720"/>
        <w:rPr>
          <w:rFonts w:cstheme="minorHAnsi"/>
        </w:rPr>
      </w:pPr>
      <w:r w:rsidRPr="00917CA7">
        <w:rPr>
          <w:rFonts w:cstheme="minorHAnsi"/>
        </w:rPr>
        <w:t>45</w:t>
      </w:r>
      <w:r w:rsidR="00BF1D9F">
        <w:rPr>
          <w:rFonts w:cstheme="minorHAnsi"/>
        </w:rPr>
        <w:t xml:space="preserve"> </w:t>
      </w:r>
      <w:r w:rsidRPr="00917CA7">
        <w:rPr>
          <w:rFonts w:cstheme="minorHAnsi"/>
        </w:rPr>
        <w:t xml:space="preserve">E. </w:t>
      </w:r>
      <w:proofErr w:type="spellStart"/>
      <w:r w:rsidRPr="00917CA7">
        <w:rPr>
          <w:rFonts w:cstheme="minorHAnsi"/>
        </w:rPr>
        <w:t>Vitaku</w:t>
      </w:r>
      <w:proofErr w:type="spellEnd"/>
      <w:r w:rsidRPr="00917CA7">
        <w:rPr>
          <w:rFonts w:cstheme="minorHAnsi"/>
        </w:rPr>
        <w:t xml:space="preserve">, D. T. Smith, J. T. </w:t>
      </w:r>
      <w:proofErr w:type="spellStart"/>
      <w:r w:rsidRPr="00917CA7">
        <w:rPr>
          <w:rFonts w:cstheme="minorHAnsi"/>
        </w:rPr>
        <w:t>Njardarson</w:t>
      </w:r>
      <w:proofErr w:type="spellEnd"/>
      <w:r w:rsidRPr="00917CA7">
        <w:rPr>
          <w:rFonts w:cstheme="minorHAnsi"/>
        </w:rPr>
        <w:t>, </w:t>
      </w:r>
      <w:r w:rsidRPr="00917CA7">
        <w:rPr>
          <w:rFonts w:cstheme="minorHAnsi"/>
          <w:i/>
          <w:iCs/>
        </w:rPr>
        <w:t>J. Med. Chem.</w:t>
      </w:r>
      <w:r w:rsidRPr="00917CA7">
        <w:rPr>
          <w:rFonts w:cstheme="minorHAnsi"/>
        </w:rPr>
        <w:t> 2014, </w:t>
      </w:r>
      <w:r w:rsidRPr="00917CA7">
        <w:rPr>
          <w:rFonts w:cstheme="minorHAnsi"/>
          <w:b/>
          <w:bCs/>
        </w:rPr>
        <w:t>57</w:t>
      </w:r>
      <w:r w:rsidRPr="00917CA7">
        <w:rPr>
          <w:rFonts w:cstheme="minorHAnsi"/>
        </w:rPr>
        <w:t>, 10257–10274.</w:t>
      </w:r>
    </w:p>
    <w:p w14:paraId="7BC73FC1" w14:textId="047F508B" w:rsidR="00917CA7" w:rsidRPr="00917CA7" w:rsidRDefault="00917CA7" w:rsidP="00BF1D9F">
      <w:pPr>
        <w:pStyle w:val="NoSpacing"/>
        <w:ind w:left="720" w:hanging="720"/>
        <w:rPr>
          <w:rFonts w:cstheme="minorHAnsi"/>
        </w:rPr>
      </w:pPr>
      <w:r w:rsidRPr="00917CA7">
        <w:rPr>
          <w:rFonts w:cstheme="minorHAnsi"/>
        </w:rPr>
        <w:t>46</w:t>
      </w:r>
      <w:r w:rsidR="00BF1D9F">
        <w:rPr>
          <w:rFonts w:cstheme="minorHAnsi"/>
        </w:rPr>
        <w:t xml:space="preserve"> </w:t>
      </w:r>
      <w:r w:rsidRPr="00917CA7">
        <w:rPr>
          <w:rFonts w:cstheme="minorHAnsi"/>
        </w:rPr>
        <w:t xml:space="preserve">P. Das, M. D. Delost, M. H. Qureshi, D. T. Smith, J. T. </w:t>
      </w:r>
      <w:proofErr w:type="spellStart"/>
      <w:r w:rsidRPr="00917CA7">
        <w:rPr>
          <w:rFonts w:cstheme="minorHAnsi"/>
        </w:rPr>
        <w:t>Njardarson</w:t>
      </w:r>
      <w:proofErr w:type="spellEnd"/>
      <w:r w:rsidRPr="00917CA7">
        <w:rPr>
          <w:rFonts w:cstheme="minorHAnsi"/>
        </w:rPr>
        <w:t>, </w:t>
      </w:r>
      <w:r w:rsidRPr="00917CA7">
        <w:rPr>
          <w:rFonts w:cstheme="minorHAnsi"/>
          <w:i/>
          <w:iCs/>
        </w:rPr>
        <w:t>J. Med. Chem.</w:t>
      </w:r>
      <w:r w:rsidRPr="00917CA7">
        <w:rPr>
          <w:rFonts w:cstheme="minorHAnsi"/>
        </w:rPr>
        <w:t> 2019, </w:t>
      </w:r>
      <w:r w:rsidRPr="00917CA7">
        <w:rPr>
          <w:rFonts w:cstheme="minorHAnsi"/>
          <w:b/>
          <w:bCs/>
        </w:rPr>
        <w:t>62</w:t>
      </w:r>
      <w:r w:rsidRPr="00917CA7">
        <w:rPr>
          <w:rFonts w:cstheme="minorHAnsi"/>
        </w:rPr>
        <w:t>, 4265–4311.</w:t>
      </w:r>
    </w:p>
    <w:p w14:paraId="22A513EA" w14:textId="7C953E2D" w:rsidR="00917CA7" w:rsidRPr="00917CA7" w:rsidRDefault="00917CA7" w:rsidP="00BF1D9F">
      <w:pPr>
        <w:pStyle w:val="NoSpacing"/>
        <w:ind w:left="720" w:hanging="720"/>
        <w:rPr>
          <w:rFonts w:cstheme="minorHAnsi"/>
        </w:rPr>
      </w:pPr>
      <w:r w:rsidRPr="00917CA7">
        <w:rPr>
          <w:rFonts w:cstheme="minorHAnsi"/>
        </w:rPr>
        <w:t>47</w:t>
      </w:r>
      <w:r w:rsidR="00BF1D9F">
        <w:rPr>
          <w:rFonts w:cstheme="minorHAnsi"/>
        </w:rPr>
        <w:t xml:space="preserve"> </w:t>
      </w:r>
      <w:r w:rsidRPr="00917CA7">
        <w:rPr>
          <w:rFonts w:cstheme="minorHAnsi"/>
        </w:rPr>
        <w:t>E. Larionov, H. Li, C. Mazet, </w:t>
      </w:r>
      <w:r w:rsidRPr="00917CA7">
        <w:rPr>
          <w:rFonts w:cstheme="minorHAnsi"/>
          <w:i/>
          <w:iCs/>
        </w:rPr>
        <w:t xml:space="preserve">Chem. </w:t>
      </w:r>
      <w:proofErr w:type="spellStart"/>
      <w:r w:rsidRPr="00917CA7">
        <w:rPr>
          <w:rFonts w:cstheme="minorHAnsi"/>
          <w:i/>
          <w:iCs/>
        </w:rPr>
        <w:t>Commun</w:t>
      </w:r>
      <w:proofErr w:type="spellEnd"/>
      <w:r w:rsidRPr="00917CA7">
        <w:rPr>
          <w:rFonts w:cstheme="minorHAnsi"/>
          <w:i/>
          <w:iCs/>
        </w:rPr>
        <w:t>.</w:t>
      </w:r>
      <w:r w:rsidRPr="00917CA7">
        <w:rPr>
          <w:rFonts w:cstheme="minorHAnsi"/>
        </w:rPr>
        <w:t> 2014, </w:t>
      </w:r>
      <w:r w:rsidRPr="00917CA7">
        <w:rPr>
          <w:rFonts w:cstheme="minorHAnsi"/>
          <w:b/>
          <w:bCs/>
        </w:rPr>
        <w:t>50</w:t>
      </w:r>
      <w:r w:rsidRPr="00917CA7">
        <w:rPr>
          <w:rFonts w:cstheme="minorHAnsi"/>
        </w:rPr>
        <w:t>, 9816–9826.</w:t>
      </w:r>
    </w:p>
    <w:sectPr w:rsidR="00917CA7" w:rsidRPr="00917CA7" w:rsidSect="00A11CC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E1A08"/>
    <w:multiLevelType w:val="multilevel"/>
    <w:tmpl w:val="9BD2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80C95"/>
    <w:multiLevelType w:val="multilevel"/>
    <w:tmpl w:val="D8F4B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6A21C7"/>
    <w:multiLevelType w:val="multilevel"/>
    <w:tmpl w:val="0284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924A14"/>
    <w:multiLevelType w:val="multilevel"/>
    <w:tmpl w:val="5C7C5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3"/>
  </w:num>
  <w:num w:numId="2" w16cid:durableId="42485251">
    <w:abstractNumId w:val="11"/>
  </w:num>
  <w:num w:numId="3" w16cid:durableId="962153638">
    <w:abstractNumId w:val="10"/>
  </w:num>
  <w:num w:numId="4" w16cid:durableId="121774372">
    <w:abstractNumId w:val="5"/>
  </w:num>
  <w:num w:numId="5" w16cid:durableId="305858795">
    <w:abstractNumId w:val="12"/>
  </w:num>
  <w:num w:numId="6" w16cid:durableId="1447777595">
    <w:abstractNumId w:val="2"/>
  </w:num>
  <w:num w:numId="7" w16cid:durableId="2079396860">
    <w:abstractNumId w:val="6"/>
  </w:num>
  <w:num w:numId="8" w16cid:durableId="1478113196">
    <w:abstractNumId w:val="4"/>
  </w:num>
  <w:num w:numId="9" w16cid:durableId="197006999">
    <w:abstractNumId w:val="14"/>
  </w:num>
  <w:num w:numId="10" w16cid:durableId="1647974180">
    <w:abstractNumId w:val="8"/>
  </w:num>
  <w:num w:numId="11" w16cid:durableId="1968853996">
    <w:abstractNumId w:val="15"/>
  </w:num>
  <w:num w:numId="12" w16cid:durableId="588538078">
    <w:abstractNumId w:val="9"/>
  </w:num>
  <w:num w:numId="13" w16cid:durableId="1429733589">
    <w:abstractNumId w:val="7"/>
  </w:num>
  <w:num w:numId="14" w16cid:durableId="519129241">
    <w:abstractNumId w:val="0"/>
  </w:num>
  <w:num w:numId="15" w16cid:durableId="1445148224">
    <w:abstractNumId w:val="1"/>
  </w:num>
  <w:num w:numId="16" w16cid:durableId="1429378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3BE7"/>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27DAF"/>
    <w:rsid w:val="00131A15"/>
    <w:rsid w:val="00131C28"/>
    <w:rsid w:val="00134CF7"/>
    <w:rsid w:val="0014182B"/>
    <w:rsid w:val="0014490B"/>
    <w:rsid w:val="00146A5C"/>
    <w:rsid w:val="00146E50"/>
    <w:rsid w:val="00150DB6"/>
    <w:rsid w:val="001511EC"/>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26FC"/>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79BB"/>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ADC"/>
    <w:rsid w:val="00391C48"/>
    <w:rsid w:val="00394337"/>
    <w:rsid w:val="003A437A"/>
    <w:rsid w:val="003A503E"/>
    <w:rsid w:val="003A6039"/>
    <w:rsid w:val="003B47FA"/>
    <w:rsid w:val="003B6208"/>
    <w:rsid w:val="003B7F8F"/>
    <w:rsid w:val="003C4172"/>
    <w:rsid w:val="003C437D"/>
    <w:rsid w:val="003C4456"/>
    <w:rsid w:val="003C7724"/>
    <w:rsid w:val="003D1441"/>
    <w:rsid w:val="003D3301"/>
    <w:rsid w:val="003D4641"/>
    <w:rsid w:val="003E05B7"/>
    <w:rsid w:val="003E0C0A"/>
    <w:rsid w:val="003E6CFF"/>
    <w:rsid w:val="004010E3"/>
    <w:rsid w:val="004055B8"/>
    <w:rsid w:val="004062A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9D6"/>
    <w:rsid w:val="005C5B86"/>
    <w:rsid w:val="005C663B"/>
    <w:rsid w:val="005D066F"/>
    <w:rsid w:val="005D1C38"/>
    <w:rsid w:val="005D1ED6"/>
    <w:rsid w:val="005D767A"/>
    <w:rsid w:val="005E2628"/>
    <w:rsid w:val="005E2CED"/>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678D9"/>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B23C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0C2"/>
    <w:rsid w:val="00864432"/>
    <w:rsid w:val="008649A3"/>
    <w:rsid w:val="0086670A"/>
    <w:rsid w:val="00870BA1"/>
    <w:rsid w:val="008736FA"/>
    <w:rsid w:val="00873CDE"/>
    <w:rsid w:val="00874421"/>
    <w:rsid w:val="00875997"/>
    <w:rsid w:val="0087796C"/>
    <w:rsid w:val="008808D9"/>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CA7"/>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30B2"/>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CC1"/>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A4CA8"/>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1D9F"/>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2952"/>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01A03"/>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1A4B"/>
    <w:rsid w:val="00F9447B"/>
    <w:rsid w:val="00F944E0"/>
    <w:rsid w:val="00F95C39"/>
    <w:rsid w:val="00FA132A"/>
    <w:rsid w:val="00FA1FC3"/>
    <w:rsid w:val="00FA431A"/>
    <w:rsid w:val="00FA54C6"/>
    <w:rsid w:val="00FA5E0B"/>
    <w:rsid w:val="00FA7BFA"/>
    <w:rsid w:val="00FB00F5"/>
    <w:rsid w:val="00FB0527"/>
    <w:rsid w:val="00FB3A37"/>
    <w:rsid w:val="00FB51F6"/>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6FC"/>
  </w:style>
  <w:style w:type="paragraph" w:styleId="Heading1">
    <w:name w:val="heading 1"/>
    <w:basedOn w:val="Normal"/>
    <w:next w:val="Normal"/>
    <w:link w:val="Heading1Char"/>
    <w:uiPriority w:val="9"/>
    <w:qFormat/>
    <w:rsid w:val="001C26F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C26F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C26F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C26F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C26F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1C26FC"/>
    <w:pPr>
      <w:keepNext/>
      <w:keepLines/>
      <w:spacing w:before="40" w:after="0"/>
      <w:outlineLvl w:val="5"/>
    </w:pPr>
  </w:style>
  <w:style w:type="paragraph" w:styleId="Heading7">
    <w:name w:val="heading 7"/>
    <w:basedOn w:val="Normal"/>
    <w:next w:val="Normal"/>
    <w:link w:val="Heading7Char"/>
    <w:uiPriority w:val="9"/>
    <w:semiHidden/>
    <w:unhideWhenUsed/>
    <w:qFormat/>
    <w:rsid w:val="001C26F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C26F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C26F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6F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C26F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C26F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C26FC"/>
    <w:rPr>
      <w:i/>
      <w:iCs/>
    </w:rPr>
  </w:style>
  <w:style w:type="character" w:customStyle="1" w:styleId="Heading5Char">
    <w:name w:val="Heading 5 Char"/>
    <w:basedOn w:val="DefaultParagraphFont"/>
    <w:link w:val="Heading5"/>
    <w:uiPriority w:val="9"/>
    <w:semiHidden/>
    <w:rsid w:val="001C26FC"/>
    <w:rPr>
      <w:color w:val="404040" w:themeColor="text1" w:themeTint="BF"/>
    </w:rPr>
  </w:style>
  <w:style w:type="character" w:customStyle="1" w:styleId="Heading6Char">
    <w:name w:val="Heading 6 Char"/>
    <w:basedOn w:val="DefaultParagraphFont"/>
    <w:link w:val="Heading6"/>
    <w:uiPriority w:val="9"/>
    <w:semiHidden/>
    <w:rsid w:val="001C26FC"/>
  </w:style>
  <w:style w:type="character" w:customStyle="1" w:styleId="Heading7Char">
    <w:name w:val="Heading 7 Char"/>
    <w:basedOn w:val="DefaultParagraphFont"/>
    <w:link w:val="Heading7"/>
    <w:uiPriority w:val="9"/>
    <w:semiHidden/>
    <w:rsid w:val="001C26F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C26FC"/>
    <w:rPr>
      <w:color w:val="262626" w:themeColor="text1" w:themeTint="D9"/>
      <w:sz w:val="21"/>
      <w:szCs w:val="21"/>
    </w:rPr>
  </w:style>
  <w:style w:type="character" w:customStyle="1" w:styleId="Heading9Char">
    <w:name w:val="Heading 9 Char"/>
    <w:basedOn w:val="DefaultParagraphFont"/>
    <w:link w:val="Heading9"/>
    <w:uiPriority w:val="9"/>
    <w:semiHidden/>
    <w:rsid w:val="001C26F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C26F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C26F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C26F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C26F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C26FC"/>
    <w:rPr>
      <w:color w:val="5A5A5A" w:themeColor="text1" w:themeTint="A5"/>
      <w:spacing w:val="15"/>
    </w:rPr>
  </w:style>
  <w:style w:type="character" w:styleId="Strong">
    <w:name w:val="Strong"/>
    <w:basedOn w:val="DefaultParagraphFont"/>
    <w:uiPriority w:val="22"/>
    <w:qFormat/>
    <w:rsid w:val="001C26FC"/>
    <w:rPr>
      <w:b/>
      <w:bCs/>
      <w:color w:val="auto"/>
    </w:rPr>
  </w:style>
  <w:style w:type="character" w:styleId="Emphasis">
    <w:name w:val="Emphasis"/>
    <w:basedOn w:val="DefaultParagraphFont"/>
    <w:uiPriority w:val="20"/>
    <w:qFormat/>
    <w:rsid w:val="001C26FC"/>
    <w:rPr>
      <w:i/>
      <w:iCs/>
      <w:color w:val="auto"/>
    </w:rPr>
  </w:style>
  <w:style w:type="paragraph" w:styleId="NoSpacing">
    <w:name w:val="No Spacing"/>
    <w:uiPriority w:val="1"/>
    <w:qFormat/>
    <w:rsid w:val="001C26F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C26F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C26FC"/>
    <w:rPr>
      <w:i/>
      <w:iCs/>
      <w:color w:val="404040" w:themeColor="text1" w:themeTint="BF"/>
    </w:rPr>
  </w:style>
  <w:style w:type="paragraph" w:styleId="IntenseQuote">
    <w:name w:val="Intense Quote"/>
    <w:basedOn w:val="Normal"/>
    <w:next w:val="Normal"/>
    <w:link w:val="IntenseQuoteChar"/>
    <w:uiPriority w:val="30"/>
    <w:qFormat/>
    <w:rsid w:val="001C26F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C26FC"/>
    <w:rPr>
      <w:i/>
      <w:iCs/>
      <w:color w:val="404040" w:themeColor="text1" w:themeTint="BF"/>
    </w:rPr>
  </w:style>
  <w:style w:type="character" w:styleId="SubtleEmphasis">
    <w:name w:val="Subtle Emphasis"/>
    <w:basedOn w:val="DefaultParagraphFont"/>
    <w:uiPriority w:val="19"/>
    <w:qFormat/>
    <w:rsid w:val="001C26FC"/>
    <w:rPr>
      <w:i/>
      <w:iCs/>
      <w:color w:val="404040" w:themeColor="text1" w:themeTint="BF"/>
    </w:rPr>
  </w:style>
  <w:style w:type="character" w:styleId="IntenseEmphasis">
    <w:name w:val="Intense Emphasis"/>
    <w:basedOn w:val="DefaultParagraphFont"/>
    <w:uiPriority w:val="21"/>
    <w:qFormat/>
    <w:rsid w:val="001C26FC"/>
    <w:rPr>
      <w:b/>
      <w:bCs/>
      <w:i/>
      <w:iCs/>
      <w:color w:val="auto"/>
    </w:rPr>
  </w:style>
  <w:style w:type="character" w:styleId="SubtleReference">
    <w:name w:val="Subtle Reference"/>
    <w:basedOn w:val="DefaultParagraphFont"/>
    <w:uiPriority w:val="31"/>
    <w:qFormat/>
    <w:rsid w:val="001C26FC"/>
    <w:rPr>
      <w:smallCaps/>
      <w:color w:val="404040" w:themeColor="text1" w:themeTint="BF"/>
    </w:rPr>
  </w:style>
  <w:style w:type="character" w:styleId="IntenseReference">
    <w:name w:val="Intense Reference"/>
    <w:basedOn w:val="DefaultParagraphFont"/>
    <w:uiPriority w:val="32"/>
    <w:qFormat/>
    <w:rsid w:val="001C26FC"/>
    <w:rPr>
      <w:b/>
      <w:bCs/>
      <w:smallCaps/>
      <w:color w:val="404040" w:themeColor="text1" w:themeTint="BF"/>
      <w:spacing w:val="5"/>
    </w:rPr>
  </w:style>
  <w:style w:type="character" w:styleId="BookTitle">
    <w:name w:val="Book Title"/>
    <w:basedOn w:val="DefaultParagraphFont"/>
    <w:uiPriority w:val="33"/>
    <w:qFormat/>
    <w:rsid w:val="001C26FC"/>
    <w:rPr>
      <w:b/>
      <w:bCs/>
      <w:i/>
      <w:iCs/>
      <w:spacing w:val="5"/>
    </w:rPr>
  </w:style>
  <w:style w:type="paragraph" w:styleId="TOCHeading">
    <w:name w:val="TOC Heading"/>
    <w:basedOn w:val="Heading1"/>
    <w:next w:val="Normal"/>
    <w:uiPriority w:val="39"/>
    <w:semiHidden/>
    <w:unhideWhenUsed/>
    <w:qFormat/>
    <w:rsid w:val="001C26F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style">
    <w:name w:val="caption-style"/>
    <w:basedOn w:val="Normal"/>
    <w:rsid w:val="00073B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17CA7"/>
  </w:style>
  <w:style w:type="character" w:customStyle="1" w:styleId="author">
    <w:name w:val="author"/>
    <w:basedOn w:val="DefaultParagraphFont"/>
    <w:rsid w:val="00917CA7"/>
  </w:style>
  <w:style w:type="character" w:customStyle="1" w:styleId="pubyear">
    <w:name w:val="pubyear"/>
    <w:basedOn w:val="DefaultParagraphFont"/>
    <w:rsid w:val="00917CA7"/>
  </w:style>
  <w:style w:type="character" w:customStyle="1" w:styleId="vol">
    <w:name w:val="vol"/>
    <w:basedOn w:val="DefaultParagraphFont"/>
    <w:rsid w:val="00917CA7"/>
  </w:style>
  <w:style w:type="character" w:customStyle="1" w:styleId="pagefirst">
    <w:name w:val="pagefirst"/>
    <w:basedOn w:val="DefaultParagraphFont"/>
    <w:rsid w:val="00917CA7"/>
  </w:style>
  <w:style w:type="character" w:customStyle="1" w:styleId="pagelast">
    <w:name w:val="pagelast"/>
    <w:basedOn w:val="DefaultParagraphFont"/>
    <w:rsid w:val="00917CA7"/>
  </w:style>
  <w:style w:type="paragraph" w:customStyle="1" w:styleId="getftritem">
    <w:name w:val="getftr__item"/>
    <w:basedOn w:val="Normal"/>
    <w:rsid w:val="00917C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41428">
      <w:bodyDiv w:val="1"/>
      <w:marLeft w:val="0"/>
      <w:marRight w:val="0"/>
      <w:marTop w:val="0"/>
      <w:marBottom w:val="0"/>
      <w:divBdr>
        <w:top w:val="none" w:sz="0" w:space="0" w:color="auto"/>
        <w:left w:val="none" w:sz="0" w:space="0" w:color="auto"/>
        <w:bottom w:val="none" w:sz="0" w:space="0" w:color="auto"/>
        <w:right w:val="none" w:sz="0" w:space="0" w:color="auto"/>
      </w:divBdr>
      <w:divsChild>
        <w:div w:id="1917090667">
          <w:marLeft w:val="0"/>
          <w:marRight w:val="0"/>
          <w:marTop w:val="0"/>
          <w:marBottom w:val="0"/>
          <w:divBdr>
            <w:top w:val="none" w:sz="0" w:space="0" w:color="auto"/>
            <w:left w:val="none" w:sz="0" w:space="0" w:color="auto"/>
            <w:bottom w:val="none" w:sz="0" w:space="0" w:color="auto"/>
            <w:right w:val="none" w:sz="0" w:space="0" w:color="auto"/>
          </w:divBdr>
        </w:div>
        <w:div w:id="1849129372">
          <w:marLeft w:val="0"/>
          <w:marRight w:val="0"/>
          <w:marTop w:val="0"/>
          <w:marBottom w:val="0"/>
          <w:divBdr>
            <w:top w:val="none" w:sz="0" w:space="0" w:color="auto"/>
            <w:left w:val="none" w:sz="0" w:space="0" w:color="auto"/>
            <w:bottom w:val="none" w:sz="0" w:space="0" w:color="auto"/>
            <w:right w:val="none" w:sz="0" w:space="0" w:color="auto"/>
          </w:divBdr>
        </w:div>
        <w:div w:id="1999382164">
          <w:marLeft w:val="0"/>
          <w:marRight w:val="0"/>
          <w:marTop w:val="0"/>
          <w:marBottom w:val="0"/>
          <w:divBdr>
            <w:top w:val="none" w:sz="0" w:space="0" w:color="auto"/>
            <w:left w:val="none" w:sz="0" w:space="0" w:color="auto"/>
            <w:bottom w:val="none" w:sz="0" w:space="0" w:color="auto"/>
            <w:right w:val="none" w:sz="0" w:space="0" w:color="auto"/>
          </w:divBdr>
        </w:div>
        <w:div w:id="29496629">
          <w:marLeft w:val="0"/>
          <w:marRight w:val="0"/>
          <w:marTop w:val="0"/>
          <w:marBottom w:val="0"/>
          <w:divBdr>
            <w:top w:val="none" w:sz="0" w:space="0" w:color="auto"/>
            <w:left w:val="none" w:sz="0" w:space="0" w:color="auto"/>
            <w:bottom w:val="none" w:sz="0" w:space="0" w:color="auto"/>
            <w:right w:val="none" w:sz="0" w:space="0" w:color="auto"/>
          </w:divBdr>
        </w:div>
        <w:div w:id="742794324">
          <w:marLeft w:val="0"/>
          <w:marRight w:val="0"/>
          <w:marTop w:val="0"/>
          <w:marBottom w:val="0"/>
          <w:divBdr>
            <w:top w:val="none" w:sz="0" w:space="0" w:color="auto"/>
            <w:left w:val="none" w:sz="0" w:space="0" w:color="auto"/>
            <w:bottom w:val="none" w:sz="0" w:space="0" w:color="auto"/>
            <w:right w:val="none" w:sz="0" w:space="0" w:color="auto"/>
          </w:divBdr>
        </w:div>
        <w:div w:id="782580770">
          <w:marLeft w:val="0"/>
          <w:marRight w:val="0"/>
          <w:marTop w:val="0"/>
          <w:marBottom w:val="0"/>
          <w:divBdr>
            <w:top w:val="none" w:sz="0" w:space="0" w:color="auto"/>
            <w:left w:val="none" w:sz="0" w:space="0" w:color="auto"/>
            <w:bottom w:val="none" w:sz="0" w:space="0" w:color="auto"/>
            <w:right w:val="none" w:sz="0" w:space="0" w:color="auto"/>
          </w:divBdr>
        </w:div>
        <w:div w:id="97792791">
          <w:marLeft w:val="0"/>
          <w:marRight w:val="0"/>
          <w:marTop w:val="0"/>
          <w:marBottom w:val="0"/>
          <w:divBdr>
            <w:top w:val="none" w:sz="0" w:space="0" w:color="auto"/>
            <w:left w:val="none" w:sz="0" w:space="0" w:color="auto"/>
            <w:bottom w:val="none" w:sz="0" w:space="0" w:color="auto"/>
            <w:right w:val="none" w:sz="0" w:space="0" w:color="auto"/>
          </w:divBdr>
        </w:div>
        <w:div w:id="107165958">
          <w:marLeft w:val="0"/>
          <w:marRight w:val="0"/>
          <w:marTop w:val="0"/>
          <w:marBottom w:val="0"/>
          <w:divBdr>
            <w:top w:val="none" w:sz="0" w:space="0" w:color="auto"/>
            <w:left w:val="none" w:sz="0" w:space="0" w:color="auto"/>
            <w:bottom w:val="none" w:sz="0" w:space="0" w:color="auto"/>
            <w:right w:val="none" w:sz="0" w:space="0" w:color="auto"/>
          </w:divBdr>
        </w:div>
        <w:div w:id="1015959863">
          <w:marLeft w:val="0"/>
          <w:marRight w:val="0"/>
          <w:marTop w:val="0"/>
          <w:marBottom w:val="0"/>
          <w:divBdr>
            <w:top w:val="none" w:sz="0" w:space="0" w:color="auto"/>
            <w:left w:val="none" w:sz="0" w:space="0" w:color="auto"/>
            <w:bottom w:val="none" w:sz="0" w:space="0" w:color="auto"/>
            <w:right w:val="none" w:sz="0" w:space="0" w:color="auto"/>
          </w:divBdr>
        </w:div>
        <w:div w:id="1526093552">
          <w:marLeft w:val="0"/>
          <w:marRight w:val="0"/>
          <w:marTop w:val="0"/>
          <w:marBottom w:val="0"/>
          <w:divBdr>
            <w:top w:val="none" w:sz="0" w:space="0" w:color="auto"/>
            <w:left w:val="none" w:sz="0" w:space="0" w:color="auto"/>
            <w:bottom w:val="none" w:sz="0" w:space="0" w:color="auto"/>
            <w:right w:val="none" w:sz="0" w:space="0" w:color="auto"/>
          </w:divBdr>
        </w:div>
        <w:div w:id="1572621625">
          <w:marLeft w:val="0"/>
          <w:marRight w:val="0"/>
          <w:marTop w:val="0"/>
          <w:marBottom w:val="0"/>
          <w:divBdr>
            <w:top w:val="none" w:sz="0" w:space="0" w:color="auto"/>
            <w:left w:val="none" w:sz="0" w:space="0" w:color="auto"/>
            <w:bottom w:val="none" w:sz="0" w:space="0" w:color="auto"/>
            <w:right w:val="none" w:sz="0" w:space="0" w:color="auto"/>
          </w:divBdr>
        </w:div>
        <w:div w:id="474370179">
          <w:marLeft w:val="0"/>
          <w:marRight w:val="0"/>
          <w:marTop w:val="0"/>
          <w:marBottom w:val="0"/>
          <w:divBdr>
            <w:top w:val="none" w:sz="0" w:space="0" w:color="auto"/>
            <w:left w:val="none" w:sz="0" w:space="0" w:color="auto"/>
            <w:bottom w:val="none" w:sz="0" w:space="0" w:color="auto"/>
            <w:right w:val="none" w:sz="0" w:space="0" w:color="auto"/>
          </w:divBdr>
        </w:div>
        <w:div w:id="1240480380">
          <w:marLeft w:val="0"/>
          <w:marRight w:val="0"/>
          <w:marTop w:val="0"/>
          <w:marBottom w:val="0"/>
          <w:divBdr>
            <w:top w:val="none" w:sz="0" w:space="0" w:color="auto"/>
            <w:left w:val="none" w:sz="0" w:space="0" w:color="auto"/>
            <w:bottom w:val="none" w:sz="0" w:space="0" w:color="auto"/>
            <w:right w:val="none" w:sz="0" w:space="0" w:color="auto"/>
          </w:divBdr>
        </w:div>
        <w:div w:id="1296065312">
          <w:marLeft w:val="0"/>
          <w:marRight w:val="0"/>
          <w:marTop w:val="0"/>
          <w:marBottom w:val="0"/>
          <w:divBdr>
            <w:top w:val="none" w:sz="0" w:space="0" w:color="auto"/>
            <w:left w:val="none" w:sz="0" w:space="0" w:color="auto"/>
            <w:bottom w:val="none" w:sz="0" w:space="0" w:color="auto"/>
            <w:right w:val="none" w:sz="0" w:space="0" w:color="auto"/>
          </w:divBdr>
        </w:div>
        <w:div w:id="1577784078">
          <w:marLeft w:val="0"/>
          <w:marRight w:val="0"/>
          <w:marTop w:val="0"/>
          <w:marBottom w:val="0"/>
          <w:divBdr>
            <w:top w:val="none" w:sz="0" w:space="0" w:color="auto"/>
            <w:left w:val="none" w:sz="0" w:space="0" w:color="auto"/>
            <w:bottom w:val="none" w:sz="0" w:space="0" w:color="auto"/>
            <w:right w:val="none" w:sz="0" w:space="0" w:color="auto"/>
          </w:divBdr>
        </w:div>
        <w:div w:id="303658402">
          <w:marLeft w:val="0"/>
          <w:marRight w:val="0"/>
          <w:marTop w:val="0"/>
          <w:marBottom w:val="0"/>
          <w:divBdr>
            <w:top w:val="none" w:sz="0" w:space="0" w:color="auto"/>
            <w:left w:val="none" w:sz="0" w:space="0" w:color="auto"/>
            <w:bottom w:val="none" w:sz="0" w:space="0" w:color="auto"/>
            <w:right w:val="none" w:sz="0" w:space="0" w:color="auto"/>
          </w:divBdr>
        </w:div>
        <w:div w:id="93331650">
          <w:marLeft w:val="0"/>
          <w:marRight w:val="0"/>
          <w:marTop w:val="0"/>
          <w:marBottom w:val="0"/>
          <w:divBdr>
            <w:top w:val="none" w:sz="0" w:space="0" w:color="auto"/>
            <w:left w:val="none" w:sz="0" w:space="0" w:color="auto"/>
            <w:bottom w:val="none" w:sz="0" w:space="0" w:color="auto"/>
            <w:right w:val="none" w:sz="0" w:space="0" w:color="auto"/>
          </w:divBdr>
        </w:div>
        <w:div w:id="833421932">
          <w:marLeft w:val="0"/>
          <w:marRight w:val="0"/>
          <w:marTop w:val="0"/>
          <w:marBottom w:val="0"/>
          <w:divBdr>
            <w:top w:val="none" w:sz="0" w:space="0" w:color="auto"/>
            <w:left w:val="none" w:sz="0" w:space="0" w:color="auto"/>
            <w:bottom w:val="none" w:sz="0" w:space="0" w:color="auto"/>
            <w:right w:val="none" w:sz="0" w:space="0" w:color="auto"/>
          </w:divBdr>
        </w:div>
        <w:div w:id="1920942955">
          <w:marLeft w:val="0"/>
          <w:marRight w:val="0"/>
          <w:marTop w:val="0"/>
          <w:marBottom w:val="0"/>
          <w:divBdr>
            <w:top w:val="none" w:sz="0" w:space="0" w:color="auto"/>
            <w:left w:val="none" w:sz="0" w:space="0" w:color="auto"/>
            <w:bottom w:val="none" w:sz="0" w:space="0" w:color="auto"/>
            <w:right w:val="none" w:sz="0" w:space="0" w:color="auto"/>
          </w:divBdr>
        </w:div>
        <w:div w:id="1888880073">
          <w:marLeft w:val="0"/>
          <w:marRight w:val="0"/>
          <w:marTop w:val="0"/>
          <w:marBottom w:val="0"/>
          <w:divBdr>
            <w:top w:val="none" w:sz="0" w:space="0" w:color="auto"/>
            <w:left w:val="none" w:sz="0" w:space="0" w:color="auto"/>
            <w:bottom w:val="none" w:sz="0" w:space="0" w:color="auto"/>
            <w:right w:val="none" w:sz="0" w:space="0" w:color="auto"/>
          </w:divBdr>
        </w:div>
        <w:div w:id="1983191200">
          <w:marLeft w:val="0"/>
          <w:marRight w:val="0"/>
          <w:marTop w:val="0"/>
          <w:marBottom w:val="0"/>
          <w:divBdr>
            <w:top w:val="none" w:sz="0" w:space="0" w:color="auto"/>
            <w:left w:val="none" w:sz="0" w:space="0" w:color="auto"/>
            <w:bottom w:val="none" w:sz="0" w:space="0" w:color="auto"/>
            <w:right w:val="none" w:sz="0" w:space="0" w:color="auto"/>
          </w:divBdr>
        </w:div>
        <w:div w:id="1017998336">
          <w:marLeft w:val="0"/>
          <w:marRight w:val="0"/>
          <w:marTop w:val="0"/>
          <w:marBottom w:val="0"/>
          <w:divBdr>
            <w:top w:val="none" w:sz="0" w:space="0" w:color="auto"/>
            <w:left w:val="none" w:sz="0" w:space="0" w:color="auto"/>
            <w:bottom w:val="none" w:sz="0" w:space="0" w:color="auto"/>
            <w:right w:val="none" w:sz="0" w:space="0" w:color="auto"/>
          </w:divBdr>
        </w:div>
        <w:div w:id="1545798612">
          <w:marLeft w:val="0"/>
          <w:marRight w:val="0"/>
          <w:marTop w:val="0"/>
          <w:marBottom w:val="0"/>
          <w:divBdr>
            <w:top w:val="none" w:sz="0" w:space="0" w:color="auto"/>
            <w:left w:val="none" w:sz="0" w:space="0" w:color="auto"/>
            <w:bottom w:val="none" w:sz="0" w:space="0" w:color="auto"/>
            <w:right w:val="none" w:sz="0" w:space="0" w:color="auto"/>
          </w:divBdr>
        </w:div>
        <w:div w:id="1563177545">
          <w:marLeft w:val="0"/>
          <w:marRight w:val="0"/>
          <w:marTop w:val="0"/>
          <w:marBottom w:val="0"/>
          <w:divBdr>
            <w:top w:val="none" w:sz="0" w:space="0" w:color="auto"/>
            <w:left w:val="none" w:sz="0" w:space="0" w:color="auto"/>
            <w:bottom w:val="none" w:sz="0" w:space="0" w:color="auto"/>
            <w:right w:val="none" w:sz="0" w:space="0" w:color="auto"/>
          </w:divBdr>
        </w:div>
        <w:div w:id="686442883">
          <w:marLeft w:val="0"/>
          <w:marRight w:val="0"/>
          <w:marTop w:val="0"/>
          <w:marBottom w:val="0"/>
          <w:divBdr>
            <w:top w:val="none" w:sz="0" w:space="0" w:color="auto"/>
            <w:left w:val="none" w:sz="0" w:space="0" w:color="auto"/>
            <w:bottom w:val="none" w:sz="0" w:space="0" w:color="auto"/>
            <w:right w:val="none" w:sz="0" w:space="0" w:color="auto"/>
          </w:divBdr>
        </w:div>
        <w:div w:id="1421370682">
          <w:marLeft w:val="0"/>
          <w:marRight w:val="0"/>
          <w:marTop w:val="0"/>
          <w:marBottom w:val="0"/>
          <w:divBdr>
            <w:top w:val="none" w:sz="0" w:space="0" w:color="auto"/>
            <w:left w:val="none" w:sz="0" w:space="0" w:color="auto"/>
            <w:bottom w:val="none" w:sz="0" w:space="0" w:color="auto"/>
            <w:right w:val="none" w:sz="0" w:space="0" w:color="auto"/>
          </w:divBdr>
        </w:div>
        <w:div w:id="2045868148">
          <w:marLeft w:val="0"/>
          <w:marRight w:val="0"/>
          <w:marTop w:val="0"/>
          <w:marBottom w:val="0"/>
          <w:divBdr>
            <w:top w:val="none" w:sz="0" w:space="0" w:color="auto"/>
            <w:left w:val="none" w:sz="0" w:space="0" w:color="auto"/>
            <w:bottom w:val="none" w:sz="0" w:space="0" w:color="auto"/>
            <w:right w:val="none" w:sz="0" w:space="0" w:color="auto"/>
          </w:divBdr>
        </w:div>
        <w:div w:id="568153063">
          <w:marLeft w:val="0"/>
          <w:marRight w:val="0"/>
          <w:marTop w:val="0"/>
          <w:marBottom w:val="0"/>
          <w:divBdr>
            <w:top w:val="none" w:sz="0" w:space="0" w:color="auto"/>
            <w:left w:val="none" w:sz="0" w:space="0" w:color="auto"/>
            <w:bottom w:val="none" w:sz="0" w:space="0" w:color="auto"/>
            <w:right w:val="none" w:sz="0" w:space="0" w:color="auto"/>
          </w:divBdr>
        </w:div>
        <w:div w:id="1548370723">
          <w:marLeft w:val="0"/>
          <w:marRight w:val="0"/>
          <w:marTop w:val="0"/>
          <w:marBottom w:val="0"/>
          <w:divBdr>
            <w:top w:val="none" w:sz="0" w:space="0" w:color="auto"/>
            <w:left w:val="none" w:sz="0" w:space="0" w:color="auto"/>
            <w:bottom w:val="none" w:sz="0" w:space="0" w:color="auto"/>
            <w:right w:val="none" w:sz="0" w:space="0" w:color="auto"/>
          </w:divBdr>
        </w:div>
        <w:div w:id="626160268">
          <w:marLeft w:val="0"/>
          <w:marRight w:val="0"/>
          <w:marTop w:val="0"/>
          <w:marBottom w:val="0"/>
          <w:divBdr>
            <w:top w:val="none" w:sz="0" w:space="0" w:color="auto"/>
            <w:left w:val="none" w:sz="0" w:space="0" w:color="auto"/>
            <w:bottom w:val="none" w:sz="0" w:space="0" w:color="auto"/>
            <w:right w:val="none" w:sz="0" w:space="0" w:color="auto"/>
          </w:divBdr>
        </w:div>
        <w:div w:id="70934508">
          <w:marLeft w:val="0"/>
          <w:marRight w:val="0"/>
          <w:marTop w:val="0"/>
          <w:marBottom w:val="0"/>
          <w:divBdr>
            <w:top w:val="none" w:sz="0" w:space="0" w:color="auto"/>
            <w:left w:val="none" w:sz="0" w:space="0" w:color="auto"/>
            <w:bottom w:val="none" w:sz="0" w:space="0" w:color="auto"/>
            <w:right w:val="none" w:sz="0" w:space="0" w:color="auto"/>
          </w:divBdr>
        </w:div>
        <w:div w:id="143158418">
          <w:marLeft w:val="0"/>
          <w:marRight w:val="0"/>
          <w:marTop w:val="0"/>
          <w:marBottom w:val="0"/>
          <w:divBdr>
            <w:top w:val="none" w:sz="0" w:space="0" w:color="auto"/>
            <w:left w:val="none" w:sz="0" w:space="0" w:color="auto"/>
            <w:bottom w:val="none" w:sz="0" w:space="0" w:color="auto"/>
            <w:right w:val="none" w:sz="0" w:space="0" w:color="auto"/>
          </w:divBdr>
        </w:div>
        <w:div w:id="1230654091">
          <w:marLeft w:val="0"/>
          <w:marRight w:val="0"/>
          <w:marTop w:val="0"/>
          <w:marBottom w:val="0"/>
          <w:divBdr>
            <w:top w:val="none" w:sz="0" w:space="0" w:color="auto"/>
            <w:left w:val="none" w:sz="0" w:space="0" w:color="auto"/>
            <w:bottom w:val="none" w:sz="0" w:space="0" w:color="auto"/>
            <w:right w:val="none" w:sz="0" w:space="0" w:color="auto"/>
          </w:divBdr>
        </w:div>
        <w:div w:id="1531608707">
          <w:marLeft w:val="0"/>
          <w:marRight w:val="0"/>
          <w:marTop w:val="0"/>
          <w:marBottom w:val="0"/>
          <w:divBdr>
            <w:top w:val="none" w:sz="0" w:space="0" w:color="auto"/>
            <w:left w:val="none" w:sz="0" w:space="0" w:color="auto"/>
            <w:bottom w:val="none" w:sz="0" w:space="0" w:color="auto"/>
            <w:right w:val="none" w:sz="0" w:space="0" w:color="auto"/>
          </w:divBdr>
        </w:div>
        <w:div w:id="581716033">
          <w:marLeft w:val="0"/>
          <w:marRight w:val="0"/>
          <w:marTop w:val="0"/>
          <w:marBottom w:val="0"/>
          <w:divBdr>
            <w:top w:val="none" w:sz="0" w:space="0" w:color="auto"/>
            <w:left w:val="none" w:sz="0" w:space="0" w:color="auto"/>
            <w:bottom w:val="none" w:sz="0" w:space="0" w:color="auto"/>
            <w:right w:val="none" w:sz="0" w:space="0" w:color="auto"/>
          </w:divBdr>
        </w:div>
        <w:div w:id="174617296">
          <w:marLeft w:val="0"/>
          <w:marRight w:val="0"/>
          <w:marTop w:val="0"/>
          <w:marBottom w:val="0"/>
          <w:divBdr>
            <w:top w:val="none" w:sz="0" w:space="0" w:color="auto"/>
            <w:left w:val="none" w:sz="0" w:space="0" w:color="auto"/>
            <w:bottom w:val="none" w:sz="0" w:space="0" w:color="auto"/>
            <w:right w:val="none" w:sz="0" w:space="0" w:color="auto"/>
          </w:divBdr>
        </w:div>
        <w:div w:id="1244605966">
          <w:marLeft w:val="0"/>
          <w:marRight w:val="0"/>
          <w:marTop w:val="0"/>
          <w:marBottom w:val="0"/>
          <w:divBdr>
            <w:top w:val="none" w:sz="0" w:space="0" w:color="auto"/>
            <w:left w:val="none" w:sz="0" w:space="0" w:color="auto"/>
            <w:bottom w:val="none" w:sz="0" w:space="0" w:color="auto"/>
            <w:right w:val="none" w:sz="0" w:space="0" w:color="auto"/>
          </w:divBdr>
        </w:div>
        <w:div w:id="1404837022">
          <w:marLeft w:val="0"/>
          <w:marRight w:val="0"/>
          <w:marTop w:val="0"/>
          <w:marBottom w:val="0"/>
          <w:divBdr>
            <w:top w:val="none" w:sz="0" w:space="0" w:color="auto"/>
            <w:left w:val="none" w:sz="0" w:space="0" w:color="auto"/>
            <w:bottom w:val="none" w:sz="0" w:space="0" w:color="auto"/>
            <w:right w:val="none" w:sz="0" w:space="0" w:color="auto"/>
          </w:divBdr>
        </w:div>
        <w:div w:id="1785882651">
          <w:marLeft w:val="0"/>
          <w:marRight w:val="0"/>
          <w:marTop w:val="0"/>
          <w:marBottom w:val="0"/>
          <w:divBdr>
            <w:top w:val="none" w:sz="0" w:space="0" w:color="auto"/>
            <w:left w:val="none" w:sz="0" w:space="0" w:color="auto"/>
            <w:bottom w:val="none" w:sz="0" w:space="0" w:color="auto"/>
            <w:right w:val="none" w:sz="0" w:space="0" w:color="auto"/>
          </w:divBdr>
        </w:div>
        <w:div w:id="1762407174">
          <w:marLeft w:val="0"/>
          <w:marRight w:val="0"/>
          <w:marTop w:val="0"/>
          <w:marBottom w:val="0"/>
          <w:divBdr>
            <w:top w:val="none" w:sz="0" w:space="0" w:color="auto"/>
            <w:left w:val="none" w:sz="0" w:space="0" w:color="auto"/>
            <w:bottom w:val="none" w:sz="0" w:space="0" w:color="auto"/>
            <w:right w:val="none" w:sz="0" w:space="0" w:color="auto"/>
          </w:divBdr>
        </w:div>
        <w:div w:id="319313916">
          <w:marLeft w:val="0"/>
          <w:marRight w:val="0"/>
          <w:marTop w:val="0"/>
          <w:marBottom w:val="0"/>
          <w:divBdr>
            <w:top w:val="none" w:sz="0" w:space="0" w:color="auto"/>
            <w:left w:val="none" w:sz="0" w:space="0" w:color="auto"/>
            <w:bottom w:val="none" w:sz="0" w:space="0" w:color="auto"/>
            <w:right w:val="none" w:sz="0" w:space="0" w:color="auto"/>
          </w:divBdr>
        </w:div>
        <w:div w:id="236790796">
          <w:marLeft w:val="0"/>
          <w:marRight w:val="0"/>
          <w:marTop w:val="0"/>
          <w:marBottom w:val="0"/>
          <w:divBdr>
            <w:top w:val="none" w:sz="0" w:space="0" w:color="auto"/>
            <w:left w:val="none" w:sz="0" w:space="0" w:color="auto"/>
            <w:bottom w:val="none" w:sz="0" w:space="0" w:color="auto"/>
            <w:right w:val="none" w:sz="0" w:space="0" w:color="auto"/>
          </w:divBdr>
        </w:div>
        <w:div w:id="202817">
          <w:marLeft w:val="0"/>
          <w:marRight w:val="0"/>
          <w:marTop w:val="0"/>
          <w:marBottom w:val="0"/>
          <w:divBdr>
            <w:top w:val="none" w:sz="0" w:space="0" w:color="auto"/>
            <w:left w:val="none" w:sz="0" w:space="0" w:color="auto"/>
            <w:bottom w:val="none" w:sz="0" w:space="0" w:color="auto"/>
            <w:right w:val="none" w:sz="0" w:space="0" w:color="auto"/>
          </w:divBdr>
        </w:div>
        <w:div w:id="1983196048">
          <w:marLeft w:val="0"/>
          <w:marRight w:val="0"/>
          <w:marTop w:val="0"/>
          <w:marBottom w:val="0"/>
          <w:divBdr>
            <w:top w:val="none" w:sz="0" w:space="0" w:color="auto"/>
            <w:left w:val="none" w:sz="0" w:space="0" w:color="auto"/>
            <w:bottom w:val="none" w:sz="0" w:space="0" w:color="auto"/>
            <w:right w:val="none" w:sz="0" w:space="0" w:color="auto"/>
          </w:divBdr>
        </w:div>
        <w:div w:id="1328939972">
          <w:marLeft w:val="0"/>
          <w:marRight w:val="0"/>
          <w:marTop w:val="0"/>
          <w:marBottom w:val="0"/>
          <w:divBdr>
            <w:top w:val="none" w:sz="0" w:space="0" w:color="auto"/>
            <w:left w:val="none" w:sz="0" w:space="0" w:color="auto"/>
            <w:bottom w:val="none" w:sz="0" w:space="0" w:color="auto"/>
            <w:right w:val="none" w:sz="0" w:space="0" w:color="auto"/>
          </w:divBdr>
        </w:div>
        <w:div w:id="107823709">
          <w:marLeft w:val="0"/>
          <w:marRight w:val="0"/>
          <w:marTop w:val="0"/>
          <w:marBottom w:val="0"/>
          <w:divBdr>
            <w:top w:val="none" w:sz="0" w:space="0" w:color="auto"/>
            <w:left w:val="none" w:sz="0" w:space="0" w:color="auto"/>
            <w:bottom w:val="none" w:sz="0" w:space="0" w:color="auto"/>
            <w:right w:val="none" w:sz="0" w:space="0" w:color="auto"/>
          </w:divBdr>
        </w:div>
        <w:div w:id="219486711">
          <w:marLeft w:val="0"/>
          <w:marRight w:val="0"/>
          <w:marTop w:val="0"/>
          <w:marBottom w:val="0"/>
          <w:divBdr>
            <w:top w:val="none" w:sz="0" w:space="0" w:color="auto"/>
            <w:left w:val="none" w:sz="0" w:space="0" w:color="auto"/>
            <w:bottom w:val="none" w:sz="0" w:space="0" w:color="auto"/>
            <w:right w:val="none" w:sz="0" w:space="0" w:color="auto"/>
          </w:divBdr>
        </w:div>
        <w:div w:id="922882661">
          <w:marLeft w:val="0"/>
          <w:marRight w:val="0"/>
          <w:marTop w:val="0"/>
          <w:marBottom w:val="0"/>
          <w:divBdr>
            <w:top w:val="none" w:sz="0" w:space="0" w:color="auto"/>
            <w:left w:val="none" w:sz="0" w:space="0" w:color="auto"/>
            <w:bottom w:val="none" w:sz="0" w:space="0" w:color="auto"/>
            <w:right w:val="none" w:sz="0" w:space="0" w:color="auto"/>
          </w:divBdr>
        </w:div>
        <w:div w:id="1234706851">
          <w:marLeft w:val="0"/>
          <w:marRight w:val="0"/>
          <w:marTop w:val="0"/>
          <w:marBottom w:val="0"/>
          <w:divBdr>
            <w:top w:val="none" w:sz="0" w:space="0" w:color="auto"/>
            <w:left w:val="none" w:sz="0" w:space="0" w:color="auto"/>
            <w:bottom w:val="none" w:sz="0" w:space="0" w:color="auto"/>
            <w:right w:val="none" w:sz="0" w:space="0" w:color="auto"/>
          </w:divBdr>
        </w:div>
        <w:div w:id="1517130">
          <w:marLeft w:val="0"/>
          <w:marRight w:val="0"/>
          <w:marTop w:val="0"/>
          <w:marBottom w:val="0"/>
          <w:divBdr>
            <w:top w:val="none" w:sz="0" w:space="0" w:color="auto"/>
            <w:left w:val="none" w:sz="0" w:space="0" w:color="auto"/>
            <w:bottom w:val="none" w:sz="0" w:space="0" w:color="auto"/>
            <w:right w:val="none" w:sz="0" w:space="0" w:color="auto"/>
          </w:divBdr>
        </w:div>
      </w:divsChild>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850804257">
      <w:bodyDiv w:val="1"/>
      <w:marLeft w:val="0"/>
      <w:marRight w:val="0"/>
      <w:marTop w:val="0"/>
      <w:marBottom w:val="0"/>
      <w:divBdr>
        <w:top w:val="none" w:sz="0" w:space="0" w:color="auto"/>
        <w:left w:val="none" w:sz="0" w:space="0" w:color="auto"/>
        <w:bottom w:val="none" w:sz="0" w:space="0" w:color="auto"/>
        <w:right w:val="none" w:sz="0" w:space="0" w:color="auto"/>
      </w:divBdr>
      <w:divsChild>
        <w:div w:id="1008630554">
          <w:marLeft w:val="0"/>
          <w:marRight w:val="0"/>
          <w:marTop w:val="0"/>
          <w:marBottom w:val="0"/>
          <w:divBdr>
            <w:top w:val="none" w:sz="0" w:space="0" w:color="auto"/>
            <w:left w:val="none" w:sz="0" w:space="0" w:color="auto"/>
            <w:bottom w:val="none" w:sz="0" w:space="0" w:color="auto"/>
            <w:right w:val="none" w:sz="0" w:space="0" w:color="auto"/>
          </w:divBdr>
          <w:divsChild>
            <w:div w:id="305549773">
              <w:marLeft w:val="0"/>
              <w:marRight w:val="0"/>
              <w:marTop w:val="0"/>
              <w:marBottom w:val="0"/>
              <w:divBdr>
                <w:top w:val="none" w:sz="0" w:space="0" w:color="auto"/>
                <w:left w:val="none" w:sz="0" w:space="0" w:color="auto"/>
                <w:bottom w:val="none" w:sz="0" w:space="0" w:color="auto"/>
                <w:right w:val="none" w:sz="0" w:space="0" w:color="auto"/>
              </w:divBdr>
              <w:divsChild>
                <w:div w:id="944843462">
                  <w:marLeft w:val="0"/>
                  <w:marRight w:val="0"/>
                  <w:marTop w:val="0"/>
                  <w:marBottom w:val="0"/>
                  <w:divBdr>
                    <w:top w:val="none" w:sz="0" w:space="0" w:color="auto"/>
                    <w:left w:val="none" w:sz="0" w:space="0" w:color="auto"/>
                    <w:bottom w:val="none" w:sz="0" w:space="0" w:color="auto"/>
                    <w:right w:val="none" w:sz="0" w:space="0" w:color="auto"/>
                  </w:divBdr>
                  <w:divsChild>
                    <w:div w:id="207369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7301">
      <w:bodyDiv w:val="1"/>
      <w:marLeft w:val="0"/>
      <w:marRight w:val="0"/>
      <w:marTop w:val="0"/>
      <w:marBottom w:val="0"/>
      <w:divBdr>
        <w:top w:val="none" w:sz="0" w:space="0" w:color="auto"/>
        <w:left w:val="none" w:sz="0" w:space="0" w:color="auto"/>
        <w:bottom w:val="none" w:sz="0" w:space="0" w:color="auto"/>
        <w:right w:val="none" w:sz="0" w:space="0" w:color="auto"/>
      </w:divBdr>
      <w:divsChild>
        <w:div w:id="1291127247">
          <w:marLeft w:val="0"/>
          <w:marRight w:val="0"/>
          <w:marTop w:val="0"/>
          <w:marBottom w:val="0"/>
          <w:divBdr>
            <w:top w:val="none" w:sz="0" w:space="0" w:color="auto"/>
            <w:left w:val="none" w:sz="0" w:space="0" w:color="auto"/>
            <w:bottom w:val="none" w:sz="0" w:space="0" w:color="auto"/>
            <w:right w:val="none" w:sz="0" w:space="0" w:color="auto"/>
          </w:divBdr>
          <w:divsChild>
            <w:div w:id="1063217191">
              <w:marLeft w:val="0"/>
              <w:marRight w:val="0"/>
              <w:marTop w:val="0"/>
              <w:marBottom w:val="0"/>
              <w:divBdr>
                <w:top w:val="none" w:sz="0" w:space="0" w:color="auto"/>
                <w:left w:val="none" w:sz="0" w:space="0" w:color="auto"/>
                <w:bottom w:val="none" w:sz="0" w:space="0" w:color="auto"/>
                <w:right w:val="none" w:sz="0" w:space="0" w:color="auto"/>
              </w:divBdr>
              <w:divsChild>
                <w:div w:id="1467772680">
                  <w:marLeft w:val="0"/>
                  <w:marRight w:val="0"/>
                  <w:marTop w:val="0"/>
                  <w:marBottom w:val="0"/>
                  <w:divBdr>
                    <w:top w:val="none" w:sz="0" w:space="0" w:color="auto"/>
                    <w:left w:val="none" w:sz="0" w:space="0" w:color="auto"/>
                    <w:bottom w:val="none" w:sz="0" w:space="0" w:color="auto"/>
                    <w:right w:val="none" w:sz="0" w:space="0" w:color="auto"/>
                  </w:divBdr>
                  <w:divsChild>
                    <w:div w:id="14568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15064717">
      <w:bodyDiv w:val="1"/>
      <w:marLeft w:val="0"/>
      <w:marRight w:val="0"/>
      <w:marTop w:val="0"/>
      <w:marBottom w:val="0"/>
      <w:divBdr>
        <w:top w:val="none" w:sz="0" w:space="0" w:color="auto"/>
        <w:left w:val="none" w:sz="0" w:space="0" w:color="auto"/>
        <w:bottom w:val="none" w:sz="0" w:space="0" w:color="auto"/>
        <w:right w:val="none" w:sz="0" w:space="0" w:color="auto"/>
      </w:divBdr>
      <w:divsChild>
        <w:div w:id="1903825728">
          <w:marLeft w:val="0"/>
          <w:marRight w:val="0"/>
          <w:marTop w:val="0"/>
          <w:marBottom w:val="0"/>
          <w:divBdr>
            <w:top w:val="none" w:sz="0" w:space="0" w:color="auto"/>
            <w:left w:val="none" w:sz="0" w:space="0" w:color="auto"/>
            <w:bottom w:val="none" w:sz="0" w:space="0" w:color="auto"/>
            <w:right w:val="none" w:sz="0" w:space="0" w:color="auto"/>
          </w:divBdr>
          <w:divsChild>
            <w:div w:id="901910692">
              <w:marLeft w:val="0"/>
              <w:marRight w:val="0"/>
              <w:marTop w:val="0"/>
              <w:marBottom w:val="0"/>
              <w:divBdr>
                <w:top w:val="none" w:sz="0" w:space="0" w:color="auto"/>
                <w:left w:val="none" w:sz="0" w:space="0" w:color="auto"/>
                <w:bottom w:val="none" w:sz="0" w:space="0" w:color="auto"/>
                <w:right w:val="none" w:sz="0" w:space="0" w:color="auto"/>
              </w:divBdr>
            </w:div>
            <w:div w:id="1623075913">
              <w:marLeft w:val="0"/>
              <w:marRight w:val="0"/>
              <w:marTop w:val="0"/>
              <w:marBottom w:val="0"/>
              <w:divBdr>
                <w:top w:val="none" w:sz="0" w:space="0" w:color="auto"/>
                <w:left w:val="none" w:sz="0" w:space="0" w:color="auto"/>
                <w:bottom w:val="none" w:sz="0" w:space="0" w:color="auto"/>
                <w:right w:val="none" w:sz="0" w:space="0" w:color="auto"/>
              </w:divBdr>
            </w:div>
          </w:divsChild>
        </w:div>
        <w:div w:id="746805901">
          <w:marLeft w:val="0"/>
          <w:marRight w:val="0"/>
          <w:marTop w:val="0"/>
          <w:marBottom w:val="0"/>
          <w:divBdr>
            <w:top w:val="none" w:sz="0" w:space="0" w:color="auto"/>
            <w:left w:val="none" w:sz="0" w:space="0" w:color="auto"/>
            <w:bottom w:val="none" w:sz="0" w:space="0" w:color="auto"/>
            <w:right w:val="none" w:sz="0" w:space="0" w:color="auto"/>
          </w:divBdr>
          <w:divsChild>
            <w:div w:id="278492202">
              <w:marLeft w:val="0"/>
              <w:marRight w:val="0"/>
              <w:marTop w:val="0"/>
              <w:marBottom w:val="0"/>
              <w:divBdr>
                <w:top w:val="none" w:sz="0" w:space="0" w:color="auto"/>
                <w:left w:val="none" w:sz="0" w:space="0" w:color="auto"/>
                <w:bottom w:val="none" w:sz="0" w:space="0" w:color="auto"/>
                <w:right w:val="none" w:sz="0" w:space="0" w:color="auto"/>
              </w:divBdr>
            </w:div>
          </w:divsChild>
        </w:div>
        <w:div w:id="1864515164">
          <w:marLeft w:val="0"/>
          <w:marRight w:val="0"/>
          <w:marTop w:val="0"/>
          <w:marBottom w:val="0"/>
          <w:divBdr>
            <w:top w:val="none" w:sz="0" w:space="0" w:color="auto"/>
            <w:left w:val="none" w:sz="0" w:space="0" w:color="auto"/>
            <w:bottom w:val="none" w:sz="0" w:space="0" w:color="auto"/>
            <w:right w:val="none" w:sz="0" w:space="0" w:color="auto"/>
          </w:divBdr>
        </w:div>
        <w:div w:id="1282761317">
          <w:marLeft w:val="0"/>
          <w:marRight w:val="0"/>
          <w:marTop w:val="0"/>
          <w:marBottom w:val="0"/>
          <w:divBdr>
            <w:top w:val="none" w:sz="0" w:space="0" w:color="auto"/>
            <w:left w:val="none" w:sz="0" w:space="0" w:color="auto"/>
            <w:bottom w:val="none" w:sz="0" w:space="0" w:color="auto"/>
            <w:right w:val="none" w:sz="0" w:space="0" w:color="auto"/>
          </w:divBdr>
          <w:divsChild>
            <w:div w:id="1948001014">
              <w:marLeft w:val="0"/>
              <w:marRight w:val="0"/>
              <w:marTop w:val="0"/>
              <w:marBottom w:val="0"/>
              <w:divBdr>
                <w:top w:val="none" w:sz="0" w:space="0" w:color="auto"/>
                <w:left w:val="none" w:sz="0" w:space="0" w:color="auto"/>
                <w:bottom w:val="none" w:sz="0" w:space="0" w:color="auto"/>
                <w:right w:val="none" w:sz="0" w:space="0" w:color="auto"/>
              </w:divBdr>
            </w:div>
          </w:divsChild>
        </w:div>
        <w:div w:id="1416825384">
          <w:marLeft w:val="0"/>
          <w:marRight w:val="0"/>
          <w:marTop w:val="0"/>
          <w:marBottom w:val="0"/>
          <w:divBdr>
            <w:top w:val="none" w:sz="0" w:space="0" w:color="auto"/>
            <w:left w:val="none" w:sz="0" w:space="0" w:color="auto"/>
            <w:bottom w:val="none" w:sz="0" w:space="0" w:color="auto"/>
            <w:right w:val="none" w:sz="0" w:space="0" w:color="auto"/>
          </w:divBdr>
        </w:div>
        <w:div w:id="2068912631">
          <w:marLeft w:val="0"/>
          <w:marRight w:val="0"/>
          <w:marTop w:val="0"/>
          <w:marBottom w:val="0"/>
          <w:divBdr>
            <w:top w:val="none" w:sz="0" w:space="0" w:color="auto"/>
            <w:left w:val="none" w:sz="0" w:space="0" w:color="auto"/>
            <w:bottom w:val="none" w:sz="0" w:space="0" w:color="auto"/>
            <w:right w:val="none" w:sz="0" w:space="0" w:color="auto"/>
          </w:divBdr>
          <w:divsChild>
            <w:div w:id="814227504">
              <w:marLeft w:val="0"/>
              <w:marRight w:val="0"/>
              <w:marTop w:val="0"/>
              <w:marBottom w:val="0"/>
              <w:divBdr>
                <w:top w:val="none" w:sz="0" w:space="0" w:color="auto"/>
                <w:left w:val="none" w:sz="0" w:space="0" w:color="auto"/>
                <w:bottom w:val="none" w:sz="0" w:space="0" w:color="auto"/>
                <w:right w:val="none" w:sz="0" w:space="0" w:color="auto"/>
              </w:divBdr>
            </w:div>
            <w:div w:id="470247618">
              <w:marLeft w:val="0"/>
              <w:marRight w:val="0"/>
              <w:marTop w:val="0"/>
              <w:marBottom w:val="0"/>
              <w:divBdr>
                <w:top w:val="none" w:sz="0" w:space="0" w:color="auto"/>
                <w:left w:val="none" w:sz="0" w:space="0" w:color="auto"/>
                <w:bottom w:val="none" w:sz="0" w:space="0" w:color="auto"/>
                <w:right w:val="none" w:sz="0" w:space="0" w:color="auto"/>
              </w:divBdr>
            </w:div>
          </w:divsChild>
        </w:div>
        <w:div w:id="582908443">
          <w:marLeft w:val="0"/>
          <w:marRight w:val="0"/>
          <w:marTop w:val="0"/>
          <w:marBottom w:val="0"/>
          <w:divBdr>
            <w:top w:val="none" w:sz="0" w:space="0" w:color="auto"/>
            <w:left w:val="none" w:sz="0" w:space="0" w:color="auto"/>
            <w:bottom w:val="none" w:sz="0" w:space="0" w:color="auto"/>
            <w:right w:val="none" w:sz="0" w:space="0" w:color="auto"/>
          </w:divBdr>
          <w:divsChild>
            <w:div w:id="586352144">
              <w:marLeft w:val="0"/>
              <w:marRight w:val="0"/>
              <w:marTop w:val="0"/>
              <w:marBottom w:val="0"/>
              <w:divBdr>
                <w:top w:val="none" w:sz="0" w:space="0" w:color="auto"/>
                <w:left w:val="none" w:sz="0" w:space="0" w:color="auto"/>
                <w:bottom w:val="none" w:sz="0" w:space="0" w:color="auto"/>
                <w:right w:val="none" w:sz="0" w:space="0" w:color="auto"/>
              </w:divBdr>
            </w:div>
          </w:divsChild>
        </w:div>
        <w:div w:id="2082363106">
          <w:marLeft w:val="0"/>
          <w:marRight w:val="0"/>
          <w:marTop w:val="0"/>
          <w:marBottom w:val="0"/>
          <w:divBdr>
            <w:top w:val="none" w:sz="0" w:space="0" w:color="auto"/>
            <w:left w:val="none" w:sz="0" w:space="0" w:color="auto"/>
            <w:bottom w:val="none" w:sz="0" w:space="0" w:color="auto"/>
            <w:right w:val="none" w:sz="0" w:space="0" w:color="auto"/>
          </w:divBdr>
        </w:div>
        <w:div w:id="881208864">
          <w:marLeft w:val="0"/>
          <w:marRight w:val="0"/>
          <w:marTop w:val="0"/>
          <w:marBottom w:val="0"/>
          <w:divBdr>
            <w:top w:val="none" w:sz="0" w:space="0" w:color="auto"/>
            <w:left w:val="none" w:sz="0" w:space="0" w:color="auto"/>
            <w:bottom w:val="none" w:sz="0" w:space="0" w:color="auto"/>
            <w:right w:val="none" w:sz="0" w:space="0" w:color="auto"/>
          </w:divBdr>
        </w:div>
        <w:div w:id="494106845">
          <w:marLeft w:val="0"/>
          <w:marRight w:val="0"/>
          <w:marTop w:val="0"/>
          <w:marBottom w:val="0"/>
          <w:divBdr>
            <w:top w:val="none" w:sz="0" w:space="0" w:color="auto"/>
            <w:left w:val="none" w:sz="0" w:space="0" w:color="auto"/>
            <w:bottom w:val="none" w:sz="0" w:space="0" w:color="auto"/>
            <w:right w:val="none" w:sz="0" w:space="0" w:color="auto"/>
          </w:divBdr>
        </w:div>
        <w:div w:id="1679501927">
          <w:marLeft w:val="0"/>
          <w:marRight w:val="0"/>
          <w:marTop w:val="0"/>
          <w:marBottom w:val="0"/>
          <w:divBdr>
            <w:top w:val="none" w:sz="0" w:space="0" w:color="auto"/>
            <w:left w:val="none" w:sz="0" w:space="0" w:color="auto"/>
            <w:bottom w:val="none" w:sz="0" w:space="0" w:color="auto"/>
            <w:right w:val="none" w:sz="0" w:space="0" w:color="auto"/>
          </w:divBdr>
        </w:div>
        <w:div w:id="1539203346">
          <w:marLeft w:val="0"/>
          <w:marRight w:val="0"/>
          <w:marTop w:val="0"/>
          <w:marBottom w:val="0"/>
          <w:divBdr>
            <w:top w:val="none" w:sz="0" w:space="0" w:color="auto"/>
            <w:left w:val="none" w:sz="0" w:space="0" w:color="auto"/>
            <w:bottom w:val="none" w:sz="0" w:space="0" w:color="auto"/>
            <w:right w:val="none" w:sz="0" w:space="0" w:color="auto"/>
          </w:divBdr>
          <w:divsChild>
            <w:div w:id="1004017998">
              <w:marLeft w:val="0"/>
              <w:marRight w:val="0"/>
              <w:marTop w:val="0"/>
              <w:marBottom w:val="0"/>
              <w:divBdr>
                <w:top w:val="none" w:sz="0" w:space="0" w:color="auto"/>
                <w:left w:val="none" w:sz="0" w:space="0" w:color="auto"/>
                <w:bottom w:val="none" w:sz="0" w:space="0" w:color="auto"/>
                <w:right w:val="none" w:sz="0" w:space="0" w:color="auto"/>
              </w:divBdr>
            </w:div>
          </w:divsChild>
        </w:div>
        <w:div w:id="439573827">
          <w:marLeft w:val="0"/>
          <w:marRight w:val="0"/>
          <w:marTop w:val="0"/>
          <w:marBottom w:val="0"/>
          <w:divBdr>
            <w:top w:val="none" w:sz="0" w:space="0" w:color="auto"/>
            <w:left w:val="none" w:sz="0" w:space="0" w:color="auto"/>
            <w:bottom w:val="none" w:sz="0" w:space="0" w:color="auto"/>
            <w:right w:val="none" w:sz="0" w:space="0" w:color="auto"/>
          </w:divBdr>
        </w:div>
        <w:div w:id="6953155">
          <w:marLeft w:val="0"/>
          <w:marRight w:val="0"/>
          <w:marTop w:val="0"/>
          <w:marBottom w:val="0"/>
          <w:divBdr>
            <w:top w:val="none" w:sz="0" w:space="0" w:color="auto"/>
            <w:left w:val="none" w:sz="0" w:space="0" w:color="auto"/>
            <w:bottom w:val="none" w:sz="0" w:space="0" w:color="auto"/>
            <w:right w:val="none" w:sz="0" w:space="0" w:color="auto"/>
          </w:divBdr>
          <w:divsChild>
            <w:div w:id="473570232">
              <w:marLeft w:val="0"/>
              <w:marRight w:val="0"/>
              <w:marTop w:val="0"/>
              <w:marBottom w:val="0"/>
              <w:divBdr>
                <w:top w:val="none" w:sz="0" w:space="0" w:color="auto"/>
                <w:left w:val="none" w:sz="0" w:space="0" w:color="auto"/>
                <w:bottom w:val="none" w:sz="0" w:space="0" w:color="auto"/>
                <w:right w:val="none" w:sz="0" w:space="0" w:color="auto"/>
              </w:divBdr>
            </w:div>
          </w:divsChild>
        </w:div>
        <w:div w:id="2077387980">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57d8d655-3095-4a82-9bcb-1819bbf80998/anie202207275-fig-0001-m.jpg"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onlinelibrary.wiley.com/cms/asset/7e4e730f-7785-4b73-be1c-177c6ecf38dd/anie202207275-gra-0004.pn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559bd592-63ef-4342-8273-74415658bd00/anie202207275-fig-0003-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4221542d-3bd5-4774-8d72-0e057260555f/anie202207275-toc-0001-m.jp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nlinelibrary.wiley.com/cms/asset/d85f545c-9ec5-459b-9016-8974a18453d1/anie202207275-fig-0002-m.jpg" TargetMode="External"/><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2877d6e2-3101-4752-b1f6-5e8e74c9d150/anie202207275-fig-0004-m.jpg" TargetMode="External"/><Relationship Id="rId4" Type="http://schemas.openxmlformats.org/officeDocument/2006/relationships/customXml" Target="../customXml/item4.xml"/><Relationship Id="rId9" Type="http://schemas.openxmlformats.org/officeDocument/2006/relationships/hyperlink" Target="https://doi.org/10.1002/chem.202104340" TargetMode="External"/><Relationship Id="rId14" Type="http://schemas.openxmlformats.org/officeDocument/2006/relationships/image" Target="media/image2.png"/><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5989</Words>
  <Characters>34142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2023-09-06T16:01:00Z</dcterms:created>
  <dcterms:modified xsi:type="dcterms:W3CDTF">2023-09-14T16:16:00Z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