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62752B7" w:rsidR="000A7622" w:rsidRPr="00C04F25" w:rsidRDefault="00121E50" w:rsidP="00D14423">
      <w:pPr>
        <w:autoSpaceDE w:val="0"/>
        <w:autoSpaceDN w:val="0"/>
        <w:adjustRightInd w:val="0"/>
        <w:rPr>
          <w:rFonts w:cstheme="minorHAnsi"/>
          <w:b/>
          <w:bCs/>
          <w:i/>
          <w:iCs/>
          <w:sz w:val="32"/>
          <w:szCs w:val="32"/>
        </w:rPr>
      </w:pPr>
      <w:r>
        <w:rPr>
          <w:rFonts w:cstheme="minorHAnsi"/>
          <w:b/>
          <w:bCs/>
          <w:i/>
          <w:iCs/>
          <w:sz w:val="32"/>
          <w:szCs w:val="32"/>
        </w:rPr>
        <w:t xml:space="preserve">Chemistry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22353B">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731BE6F" w:rsidR="000A7622" w:rsidRDefault="00517FEF" w:rsidP="00D14423">
      <w:pPr>
        <w:rPr>
          <w:rFonts w:cstheme="minorHAnsi"/>
          <w:sz w:val="24"/>
          <w:szCs w:val="24"/>
        </w:rPr>
      </w:pPr>
      <w:r>
        <w:rPr>
          <w:rFonts w:cstheme="minorHAnsi"/>
          <w:i/>
          <w:sz w:val="24"/>
          <w:szCs w:val="24"/>
          <w:lang w:val="fr-FR"/>
        </w:rPr>
        <w:t>Education Sciences</w:t>
      </w:r>
      <w:r w:rsidR="000A7622" w:rsidRPr="00C04F25">
        <w:rPr>
          <w:rFonts w:cstheme="minorHAnsi"/>
          <w:sz w:val="24"/>
          <w:szCs w:val="24"/>
          <w:lang w:val="fr-FR"/>
        </w:rPr>
        <w:t xml:space="preserve">, Vol. </w:t>
      </w:r>
      <w:r>
        <w:rPr>
          <w:rFonts w:cstheme="minorHAnsi"/>
          <w:sz w:val="24"/>
          <w:szCs w:val="24"/>
          <w:lang w:val="fr-FR"/>
        </w:rPr>
        <w:t>13</w:t>
      </w:r>
      <w:r w:rsidR="000A7622" w:rsidRPr="00C04F25">
        <w:rPr>
          <w:rFonts w:cstheme="minorHAnsi"/>
          <w:sz w:val="24"/>
          <w:szCs w:val="24"/>
          <w:lang w:val="fr-FR"/>
        </w:rPr>
        <w:t xml:space="preserve">, No. </w:t>
      </w:r>
      <w:r>
        <w:rPr>
          <w:rFonts w:cstheme="minorHAnsi"/>
          <w:sz w:val="24"/>
          <w:szCs w:val="24"/>
          <w:lang w:val="fr-FR"/>
        </w:rPr>
        <w:t>9</w:t>
      </w:r>
      <w:r w:rsidR="000A7622" w:rsidRPr="00C04F25">
        <w:rPr>
          <w:rFonts w:cstheme="minorHAnsi"/>
          <w:sz w:val="24"/>
          <w:szCs w:val="24"/>
          <w:lang w:val="fr-FR"/>
        </w:rPr>
        <w:t xml:space="preserve"> (</w:t>
      </w:r>
      <w:r>
        <w:rPr>
          <w:rFonts w:cstheme="minorHAnsi"/>
          <w:sz w:val="24"/>
          <w:szCs w:val="24"/>
          <w:lang w:val="fr-FR"/>
        </w:rPr>
        <w:t>2023</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891</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MDPI</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MDPI</w:t>
      </w:r>
      <w:r w:rsidR="000A7622" w:rsidRPr="00C04F25">
        <w:rPr>
          <w:rFonts w:cstheme="minorHAnsi"/>
          <w:sz w:val="24"/>
          <w:szCs w:val="24"/>
        </w:rPr>
        <w:t xml:space="preserve"> does not grant permission for this article to be further copied/distributed or hosted elsewhere without the express permission from </w:t>
      </w:r>
      <w:r>
        <w:rPr>
          <w:rFonts w:cstheme="minorHAnsi"/>
          <w:sz w:val="24"/>
          <w:szCs w:val="24"/>
        </w:rPr>
        <w:t>MDPI.</w:t>
      </w:r>
      <w:r w:rsidR="000A7622" w:rsidRPr="00C04F25">
        <w:rPr>
          <w:rFonts w:cstheme="minorHAnsi"/>
          <w:sz w:val="24"/>
          <w:szCs w:val="24"/>
        </w:rPr>
        <w:t xml:space="preserve"> </w:t>
      </w:r>
      <w:bookmarkEnd w:id="1"/>
    </w:p>
    <w:p w14:paraId="49A85088" w14:textId="616B8A8F" w:rsidR="002C0714" w:rsidRPr="00414823" w:rsidRDefault="00524D9F" w:rsidP="00414823">
      <w:pPr>
        <w:pStyle w:val="Title"/>
      </w:pPr>
      <w:r>
        <w:t>Design, Evolution, and Evaluation of a General Chemistry-Bridging Course</w:t>
      </w:r>
    </w:p>
    <w:p w14:paraId="7D78A68F" w14:textId="77777777" w:rsidR="0096137D" w:rsidRDefault="0096137D" w:rsidP="00524D9F">
      <w:pPr>
        <w:pStyle w:val="NoSpacing"/>
        <w:rPr>
          <w:sz w:val="24"/>
          <w:szCs w:val="24"/>
        </w:rPr>
      </w:pPr>
    </w:p>
    <w:p w14:paraId="157725D8" w14:textId="290D4765" w:rsidR="00524D9F" w:rsidRPr="0096137D" w:rsidRDefault="00524D9F" w:rsidP="00524D9F">
      <w:pPr>
        <w:pStyle w:val="NoSpacing"/>
        <w:rPr>
          <w:sz w:val="32"/>
          <w:szCs w:val="32"/>
        </w:rPr>
      </w:pPr>
      <w:r w:rsidRPr="0096137D">
        <w:rPr>
          <w:sz w:val="32"/>
          <w:szCs w:val="32"/>
        </w:rPr>
        <w:t>Scott A. Reid</w:t>
      </w:r>
    </w:p>
    <w:p w14:paraId="607EA131" w14:textId="15C4A290" w:rsidR="00524D9F" w:rsidRDefault="0096137D" w:rsidP="00524D9F">
      <w:pPr>
        <w:pStyle w:val="NoSpacing"/>
      </w:pPr>
      <w:r>
        <w:t xml:space="preserve">Department of Chemistry, </w:t>
      </w:r>
      <w:r w:rsidR="00524D9F">
        <w:t>Marquette University</w:t>
      </w:r>
      <w:r>
        <w:t>, Milwaukee, WI</w:t>
      </w:r>
    </w:p>
    <w:p w14:paraId="2BA332C3" w14:textId="77777777" w:rsidR="002C0714" w:rsidRPr="00524D9F" w:rsidRDefault="002C0714" w:rsidP="00524D9F">
      <w:pPr>
        <w:pStyle w:val="NoSpacing"/>
      </w:pPr>
    </w:p>
    <w:p w14:paraId="161800C6" w14:textId="77777777" w:rsidR="00524D9F" w:rsidRPr="00524D9F" w:rsidRDefault="00524D9F" w:rsidP="002C0714">
      <w:pPr>
        <w:pStyle w:val="Heading1"/>
      </w:pPr>
      <w:r w:rsidRPr="00524D9F">
        <w:t>Abstract</w:t>
      </w:r>
    </w:p>
    <w:p w14:paraId="31E26194" w14:textId="77777777" w:rsidR="00524D9F" w:rsidRPr="00524D9F" w:rsidRDefault="00524D9F" w:rsidP="00524D9F">
      <w:pPr>
        <w:rPr>
          <w:rFonts w:cstheme="minorHAnsi"/>
          <w:sz w:val="24"/>
          <w:szCs w:val="24"/>
        </w:rPr>
      </w:pPr>
      <w:r w:rsidRPr="00524D9F">
        <w:rPr>
          <w:rFonts w:cstheme="minorHAnsi"/>
          <w:sz w:val="24"/>
          <w:szCs w:val="24"/>
        </w:rPr>
        <w:t>General chemistry I/II courses are important gateway courses for a variety of STEM majors, as poor performance in these courses is often associated with lower rates of student success and retention. Much research has explored preparatory or remedial strategies to improve student outcomes. In this article, we report a different approach, which involved the development of a bridging or intervention course designed to capture students who are not or have not succeeded in general chemistry I and prepare them to retake the course in the following semester or summer. The course was initially developed as an eight-week module in the second half of the fall semester, where students were required to withdraw from general chemistry I prior to enrolling. After three years of this offering modality, with the inception of a winter J-term, the course was redesigned and moved online, where it was taught for another three years. We describe here in detail the design, evolution, and evaluation of this course over the six-year period.</w:t>
      </w:r>
    </w:p>
    <w:p w14:paraId="54C646B4" w14:textId="77777777" w:rsidR="00524D9F" w:rsidRPr="00524D9F" w:rsidRDefault="00524D9F" w:rsidP="002C3968">
      <w:pPr>
        <w:pStyle w:val="Heading1"/>
      </w:pPr>
      <w:r w:rsidRPr="00524D9F">
        <w:t>Keywords: </w:t>
      </w:r>
    </w:p>
    <w:p w14:paraId="55933C5C" w14:textId="2512D99A" w:rsidR="00524D9F" w:rsidRPr="002C3968" w:rsidRDefault="00524D9F" w:rsidP="00524D9F">
      <w:pPr>
        <w:rPr>
          <w:rFonts w:cstheme="minorHAnsi"/>
          <w:sz w:val="24"/>
          <w:szCs w:val="24"/>
        </w:rPr>
      </w:pPr>
      <w:r w:rsidRPr="002C3968">
        <w:rPr>
          <w:rFonts w:cstheme="minorHAnsi"/>
          <w:sz w:val="24"/>
          <w:szCs w:val="24"/>
        </w:rPr>
        <w:t>first-year undergraduate</w:t>
      </w:r>
      <w:r w:rsidR="0096137D">
        <w:rPr>
          <w:rFonts w:cstheme="minorHAnsi"/>
          <w:sz w:val="24"/>
          <w:szCs w:val="24"/>
        </w:rPr>
        <w:t>,</w:t>
      </w:r>
      <w:r w:rsidRPr="002C3968">
        <w:rPr>
          <w:rFonts w:cstheme="minorHAnsi"/>
          <w:sz w:val="24"/>
          <w:szCs w:val="24"/>
        </w:rPr>
        <w:t> retention</w:t>
      </w:r>
      <w:r w:rsidR="0096137D">
        <w:rPr>
          <w:rFonts w:cstheme="minorHAnsi"/>
          <w:sz w:val="24"/>
          <w:szCs w:val="24"/>
        </w:rPr>
        <w:t>,</w:t>
      </w:r>
      <w:r w:rsidRPr="002C3968">
        <w:rPr>
          <w:rFonts w:cstheme="minorHAnsi"/>
          <w:sz w:val="24"/>
          <w:szCs w:val="24"/>
        </w:rPr>
        <w:t> self-instruction</w:t>
      </w:r>
      <w:r w:rsidR="0096137D">
        <w:rPr>
          <w:rFonts w:cstheme="minorHAnsi"/>
          <w:sz w:val="24"/>
          <w:szCs w:val="24"/>
        </w:rPr>
        <w:t>,</w:t>
      </w:r>
      <w:r w:rsidRPr="002C3968">
        <w:rPr>
          <w:rFonts w:cstheme="minorHAnsi"/>
          <w:sz w:val="24"/>
          <w:szCs w:val="24"/>
        </w:rPr>
        <w:t> Internet</w:t>
      </w:r>
      <w:r w:rsidR="0096137D">
        <w:rPr>
          <w:rFonts w:cstheme="minorHAnsi"/>
          <w:sz w:val="24"/>
          <w:szCs w:val="24"/>
        </w:rPr>
        <w:t>,</w:t>
      </w:r>
      <w:r w:rsidRPr="002C3968">
        <w:rPr>
          <w:rFonts w:cstheme="minorHAnsi"/>
          <w:sz w:val="24"/>
          <w:szCs w:val="24"/>
        </w:rPr>
        <w:t> web-based learning</w:t>
      </w:r>
    </w:p>
    <w:p w14:paraId="0C7F6E84" w14:textId="77777777" w:rsidR="00524D9F" w:rsidRPr="00524D9F" w:rsidRDefault="00524D9F" w:rsidP="002C3968">
      <w:pPr>
        <w:pStyle w:val="Heading1"/>
      </w:pPr>
      <w:r w:rsidRPr="00524D9F">
        <w:lastRenderedPageBreak/>
        <w:t>1. Introduction</w:t>
      </w:r>
    </w:p>
    <w:p w14:paraId="0FBF704F" w14:textId="45FB195C" w:rsidR="00524D9F" w:rsidRPr="00524D9F" w:rsidRDefault="00524D9F" w:rsidP="00524D9F">
      <w:pPr>
        <w:rPr>
          <w:rFonts w:cstheme="minorHAnsi"/>
          <w:sz w:val="24"/>
          <w:szCs w:val="24"/>
        </w:rPr>
      </w:pPr>
      <w:r w:rsidRPr="00524D9F">
        <w:rPr>
          <w:rFonts w:cstheme="minorHAnsi"/>
          <w:sz w:val="24"/>
          <w:szCs w:val="24"/>
        </w:rPr>
        <w:t>General chemistry I/II are critical gateway courses for students enrolled in a variety of Science, Technology, Engineering, and Mathematics (i.e., STEM) disciplines. Lack of success in these courses can lead students to change majors, a problem that is part of the “leaky pipeline”</w:t>
      </w:r>
      <w:r w:rsidRPr="003D5C42">
        <w:rPr>
          <w:rFonts w:cstheme="minorHAnsi"/>
          <w:b/>
          <w:bCs/>
          <w:sz w:val="24"/>
          <w:szCs w:val="24"/>
          <w:vertAlign w:val="superscript"/>
        </w:rPr>
        <w:t>1</w:t>
      </w:r>
      <w:r w:rsidRPr="0096137D">
        <w:rPr>
          <w:rFonts w:cstheme="minorHAnsi"/>
          <w:sz w:val="24"/>
          <w:szCs w:val="24"/>
          <w:vertAlign w:val="superscript"/>
        </w:rPr>
        <w:t>,</w:t>
      </w:r>
      <w:r w:rsidRPr="003D5C42">
        <w:rPr>
          <w:rFonts w:cstheme="minorHAnsi"/>
          <w:b/>
          <w:bCs/>
          <w:sz w:val="24"/>
          <w:szCs w:val="24"/>
          <w:vertAlign w:val="superscript"/>
        </w:rPr>
        <w:t>2</w:t>
      </w:r>
      <w:r w:rsidRPr="0096137D">
        <w:rPr>
          <w:rFonts w:cstheme="minorHAnsi"/>
          <w:sz w:val="24"/>
          <w:szCs w:val="24"/>
          <w:vertAlign w:val="superscript"/>
        </w:rPr>
        <w:t>,</w:t>
      </w:r>
      <w:r w:rsidRPr="003D5C42">
        <w:rPr>
          <w:rFonts w:cstheme="minorHAnsi"/>
          <w:b/>
          <w:bCs/>
          <w:sz w:val="24"/>
          <w:szCs w:val="24"/>
          <w:vertAlign w:val="superscript"/>
        </w:rPr>
        <w:t>3</w:t>
      </w:r>
      <w:r w:rsidRPr="0096137D">
        <w:rPr>
          <w:rFonts w:cstheme="minorHAnsi"/>
          <w:sz w:val="24"/>
          <w:szCs w:val="24"/>
          <w:vertAlign w:val="superscript"/>
        </w:rPr>
        <w:t>,</w:t>
      </w:r>
      <w:r w:rsidRPr="003D5C42">
        <w:rPr>
          <w:rFonts w:cstheme="minorHAnsi"/>
          <w:b/>
          <w:bCs/>
          <w:sz w:val="24"/>
          <w:szCs w:val="24"/>
          <w:vertAlign w:val="superscript"/>
        </w:rPr>
        <w:t>4</w:t>
      </w:r>
      <w:r w:rsidRPr="0096137D">
        <w:rPr>
          <w:rFonts w:cstheme="minorHAnsi"/>
          <w:sz w:val="24"/>
          <w:szCs w:val="24"/>
          <w:vertAlign w:val="superscript"/>
        </w:rPr>
        <w:t>,</w:t>
      </w:r>
      <w:r w:rsidRPr="003D5C42">
        <w:rPr>
          <w:rFonts w:cstheme="minorHAnsi"/>
          <w:b/>
          <w:bCs/>
          <w:sz w:val="24"/>
          <w:szCs w:val="24"/>
          <w:vertAlign w:val="superscript"/>
        </w:rPr>
        <w:t>5</w:t>
      </w:r>
      <w:r w:rsidRPr="0096137D">
        <w:rPr>
          <w:rFonts w:cstheme="minorHAnsi"/>
          <w:sz w:val="24"/>
          <w:szCs w:val="24"/>
          <w:vertAlign w:val="superscript"/>
        </w:rPr>
        <w:t>,</w:t>
      </w:r>
      <w:r w:rsidRPr="003D5C42">
        <w:rPr>
          <w:rFonts w:cstheme="minorHAnsi"/>
          <w:b/>
          <w:bCs/>
          <w:sz w:val="24"/>
          <w:szCs w:val="24"/>
          <w:vertAlign w:val="superscript"/>
        </w:rPr>
        <w:t>6</w:t>
      </w:r>
      <w:r w:rsidRPr="0096137D">
        <w:rPr>
          <w:rFonts w:cstheme="minorHAnsi"/>
          <w:sz w:val="24"/>
          <w:szCs w:val="24"/>
          <w:vertAlign w:val="superscript"/>
        </w:rPr>
        <w:t>,</w:t>
      </w:r>
      <w:r w:rsidRPr="003D5C42">
        <w:rPr>
          <w:rFonts w:cstheme="minorHAnsi"/>
          <w:b/>
          <w:bCs/>
          <w:sz w:val="24"/>
          <w:szCs w:val="24"/>
          <w:vertAlign w:val="superscript"/>
        </w:rPr>
        <w:t>7</w:t>
      </w:r>
      <w:r w:rsidRPr="0096137D">
        <w:rPr>
          <w:rFonts w:cstheme="minorHAnsi"/>
          <w:sz w:val="24"/>
          <w:szCs w:val="24"/>
          <w:vertAlign w:val="superscript"/>
        </w:rPr>
        <w:t>,</w:t>
      </w:r>
      <w:r w:rsidRPr="003D5C42">
        <w:rPr>
          <w:rFonts w:cstheme="minorHAnsi"/>
          <w:b/>
          <w:bCs/>
          <w:sz w:val="24"/>
          <w:szCs w:val="24"/>
          <w:vertAlign w:val="superscript"/>
        </w:rPr>
        <w:t>8</w:t>
      </w:r>
      <w:r w:rsidRPr="0096137D">
        <w:rPr>
          <w:rFonts w:cstheme="minorHAnsi"/>
          <w:sz w:val="24"/>
          <w:szCs w:val="24"/>
          <w:vertAlign w:val="superscript"/>
        </w:rPr>
        <w:t>,</w:t>
      </w:r>
      <w:r w:rsidRPr="003D5C42">
        <w:rPr>
          <w:rFonts w:cstheme="minorHAnsi"/>
          <w:b/>
          <w:bCs/>
          <w:sz w:val="24"/>
          <w:szCs w:val="24"/>
          <w:vertAlign w:val="superscript"/>
        </w:rPr>
        <w:t>9</w:t>
      </w:r>
      <w:r w:rsidRPr="0096137D">
        <w:rPr>
          <w:rFonts w:cstheme="minorHAnsi"/>
          <w:sz w:val="24"/>
          <w:szCs w:val="24"/>
          <w:vertAlign w:val="superscript"/>
        </w:rPr>
        <w:t>,</w:t>
      </w:r>
      <w:r w:rsidRPr="003D5C42">
        <w:rPr>
          <w:rFonts w:cstheme="minorHAnsi"/>
          <w:b/>
          <w:bCs/>
          <w:sz w:val="24"/>
          <w:szCs w:val="24"/>
          <w:vertAlign w:val="superscript"/>
        </w:rPr>
        <w:t>10</w:t>
      </w:r>
      <w:r w:rsidRPr="0096137D">
        <w:rPr>
          <w:rFonts w:cstheme="minorHAnsi"/>
          <w:sz w:val="24"/>
          <w:szCs w:val="24"/>
          <w:vertAlign w:val="superscript"/>
        </w:rPr>
        <w:t>,</w:t>
      </w:r>
      <w:r w:rsidRPr="003D5C42">
        <w:rPr>
          <w:rFonts w:cstheme="minorHAnsi"/>
          <w:b/>
          <w:bCs/>
          <w:sz w:val="24"/>
          <w:szCs w:val="24"/>
          <w:vertAlign w:val="superscript"/>
        </w:rPr>
        <w:t>11</w:t>
      </w:r>
      <w:r w:rsidRPr="0096137D">
        <w:rPr>
          <w:rFonts w:cstheme="minorHAnsi"/>
          <w:sz w:val="24"/>
          <w:szCs w:val="24"/>
          <w:vertAlign w:val="superscript"/>
        </w:rPr>
        <w:t>,</w:t>
      </w:r>
      <w:r w:rsidRPr="003D5C42">
        <w:rPr>
          <w:rFonts w:cstheme="minorHAnsi"/>
          <w:b/>
          <w:bCs/>
          <w:sz w:val="24"/>
          <w:szCs w:val="24"/>
          <w:vertAlign w:val="superscript"/>
        </w:rPr>
        <w:t>12</w:t>
      </w:r>
      <w:r w:rsidRPr="0096137D">
        <w:rPr>
          <w:rFonts w:cstheme="minorHAnsi"/>
          <w:sz w:val="24"/>
          <w:szCs w:val="24"/>
          <w:vertAlign w:val="superscript"/>
        </w:rPr>
        <w:t>,</w:t>
      </w:r>
      <w:r w:rsidRPr="003D5C42">
        <w:rPr>
          <w:rFonts w:cstheme="minorHAnsi"/>
          <w:b/>
          <w:bCs/>
          <w:sz w:val="24"/>
          <w:szCs w:val="24"/>
          <w:vertAlign w:val="superscript"/>
        </w:rPr>
        <w:t>13</w:t>
      </w:r>
      <w:r w:rsidRPr="0096137D">
        <w:rPr>
          <w:rFonts w:cstheme="minorHAnsi"/>
          <w:sz w:val="24"/>
          <w:szCs w:val="24"/>
          <w:vertAlign w:val="superscript"/>
        </w:rPr>
        <w:t>,</w:t>
      </w:r>
      <w:r w:rsidRPr="003D5C42">
        <w:rPr>
          <w:rFonts w:cstheme="minorHAnsi"/>
          <w:b/>
          <w:bCs/>
          <w:sz w:val="24"/>
          <w:szCs w:val="24"/>
          <w:vertAlign w:val="superscript"/>
        </w:rPr>
        <w:t>14</w:t>
      </w:r>
      <w:r w:rsidRPr="0096137D">
        <w:rPr>
          <w:rFonts w:cstheme="minorHAnsi"/>
          <w:sz w:val="24"/>
          <w:szCs w:val="24"/>
          <w:vertAlign w:val="superscript"/>
        </w:rPr>
        <w:t>,</w:t>
      </w:r>
      <w:r w:rsidRPr="003D5C42">
        <w:rPr>
          <w:rFonts w:cstheme="minorHAnsi"/>
          <w:b/>
          <w:bCs/>
          <w:sz w:val="24"/>
          <w:szCs w:val="24"/>
          <w:vertAlign w:val="superscript"/>
        </w:rPr>
        <w:t>15</w:t>
      </w:r>
      <w:r w:rsidRPr="0096137D">
        <w:rPr>
          <w:rFonts w:cstheme="minorHAnsi"/>
          <w:sz w:val="24"/>
          <w:szCs w:val="24"/>
          <w:vertAlign w:val="superscript"/>
        </w:rPr>
        <w:t>,</w:t>
      </w:r>
      <w:r w:rsidRPr="003D5C42">
        <w:rPr>
          <w:rFonts w:cstheme="minorHAnsi"/>
          <w:b/>
          <w:bCs/>
          <w:sz w:val="24"/>
          <w:szCs w:val="24"/>
          <w:vertAlign w:val="superscript"/>
        </w:rPr>
        <w:t>16</w:t>
      </w:r>
      <w:r w:rsidRPr="0096137D">
        <w:rPr>
          <w:rFonts w:cstheme="minorHAnsi"/>
          <w:sz w:val="24"/>
          <w:szCs w:val="24"/>
          <w:vertAlign w:val="superscript"/>
        </w:rPr>
        <w:t>,</w:t>
      </w:r>
      <w:r w:rsidRPr="003D5C42">
        <w:rPr>
          <w:rFonts w:cstheme="minorHAnsi"/>
          <w:b/>
          <w:bCs/>
          <w:sz w:val="24"/>
          <w:szCs w:val="24"/>
          <w:vertAlign w:val="superscript"/>
        </w:rPr>
        <w:t>17</w:t>
      </w:r>
      <w:r w:rsidRPr="0096137D">
        <w:rPr>
          <w:rFonts w:cstheme="minorHAnsi"/>
          <w:sz w:val="24"/>
          <w:szCs w:val="24"/>
          <w:vertAlign w:val="superscript"/>
        </w:rPr>
        <w:t>,</w:t>
      </w:r>
      <w:r w:rsidRPr="003D5C42">
        <w:rPr>
          <w:rFonts w:cstheme="minorHAnsi"/>
          <w:b/>
          <w:bCs/>
          <w:sz w:val="24"/>
          <w:szCs w:val="24"/>
          <w:vertAlign w:val="superscript"/>
        </w:rPr>
        <w:t>18</w:t>
      </w:r>
      <w:r w:rsidRPr="0096137D">
        <w:rPr>
          <w:rFonts w:cstheme="minorHAnsi"/>
          <w:sz w:val="24"/>
          <w:szCs w:val="24"/>
          <w:vertAlign w:val="superscript"/>
        </w:rPr>
        <w:t>,</w:t>
      </w:r>
      <w:r w:rsidRPr="003D5C42">
        <w:rPr>
          <w:rFonts w:cstheme="minorHAnsi"/>
          <w:b/>
          <w:bCs/>
          <w:sz w:val="24"/>
          <w:szCs w:val="24"/>
          <w:vertAlign w:val="superscript"/>
        </w:rPr>
        <w:t>19</w:t>
      </w:r>
      <w:r w:rsidRPr="0096137D">
        <w:rPr>
          <w:rFonts w:cstheme="minorHAnsi"/>
          <w:sz w:val="24"/>
          <w:szCs w:val="24"/>
          <w:vertAlign w:val="superscript"/>
        </w:rPr>
        <w:t>,</w:t>
      </w:r>
      <w:r w:rsidRPr="003D5C42">
        <w:rPr>
          <w:rFonts w:cstheme="minorHAnsi"/>
          <w:b/>
          <w:bCs/>
          <w:sz w:val="24"/>
          <w:szCs w:val="24"/>
          <w:vertAlign w:val="superscript"/>
        </w:rPr>
        <w:t>20</w:t>
      </w:r>
      <w:r w:rsidRPr="0096137D">
        <w:rPr>
          <w:rFonts w:cstheme="minorHAnsi"/>
          <w:sz w:val="24"/>
          <w:szCs w:val="24"/>
          <w:vertAlign w:val="superscript"/>
        </w:rPr>
        <w:t>,</w:t>
      </w:r>
      <w:r w:rsidRPr="003D5C42">
        <w:rPr>
          <w:rFonts w:cstheme="minorHAnsi"/>
          <w:b/>
          <w:bCs/>
          <w:sz w:val="24"/>
          <w:szCs w:val="24"/>
          <w:vertAlign w:val="superscript"/>
        </w:rPr>
        <w:t>21</w:t>
      </w:r>
      <w:r w:rsidRPr="0096137D">
        <w:rPr>
          <w:rFonts w:cstheme="minorHAnsi"/>
          <w:sz w:val="24"/>
          <w:szCs w:val="24"/>
          <w:vertAlign w:val="superscript"/>
        </w:rPr>
        <w:t>,</w:t>
      </w:r>
      <w:r w:rsidRPr="003D5C42">
        <w:rPr>
          <w:rFonts w:cstheme="minorHAnsi"/>
          <w:b/>
          <w:bCs/>
          <w:sz w:val="24"/>
          <w:szCs w:val="24"/>
          <w:vertAlign w:val="superscript"/>
        </w:rPr>
        <w:t>22</w:t>
      </w:r>
      <w:r w:rsidRPr="0096137D">
        <w:rPr>
          <w:rFonts w:cstheme="minorHAnsi"/>
          <w:sz w:val="24"/>
          <w:szCs w:val="24"/>
          <w:vertAlign w:val="superscript"/>
        </w:rPr>
        <w:t>,</w:t>
      </w:r>
      <w:r w:rsidRPr="003D5C42">
        <w:rPr>
          <w:rFonts w:cstheme="minorHAnsi"/>
          <w:b/>
          <w:bCs/>
          <w:sz w:val="24"/>
          <w:szCs w:val="24"/>
          <w:vertAlign w:val="superscript"/>
        </w:rPr>
        <w:t>23</w:t>
      </w:r>
      <w:r w:rsidRPr="00524D9F">
        <w:rPr>
          <w:rFonts w:cstheme="minorHAnsi"/>
          <w:sz w:val="24"/>
          <w:szCs w:val="24"/>
        </w:rPr>
        <w:t>. There is much evidence that women</w:t>
      </w:r>
      <w:r w:rsidRPr="003D5C42">
        <w:rPr>
          <w:rFonts w:cstheme="minorHAnsi"/>
          <w:b/>
          <w:bCs/>
          <w:sz w:val="24"/>
          <w:szCs w:val="24"/>
          <w:vertAlign w:val="superscript"/>
        </w:rPr>
        <w:t>24</w:t>
      </w:r>
      <w:r w:rsidRPr="0096137D">
        <w:rPr>
          <w:rFonts w:cstheme="minorHAnsi"/>
          <w:sz w:val="24"/>
          <w:szCs w:val="24"/>
          <w:vertAlign w:val="superscript"/>
        </w:rPr>
        <w:t>,</w:t>
      </w:r>
      <w:r w:rsidRPr="003D5C42">
        <w:rPr>
          <w:rFonts w:cstheme="minorHAnsi"/>
          <w:b/>
          <w:bCs/>
          <w:sz w:val="24"/>
          <w:szCs w:val="24"/>
          <w:vertAlign w:val="superscript"/>
        </w:rPr>
        <w:t>25</w:t>
      </w:r>
      <w:r w:rsidRPr="00524D9F">
        <w:rPr>
          <w:rFonts w:cstheme="minorHAnsi"/>
          <w:sz w:val="24"/>
          <w:szCs w:val="24"/>
        </w:rPr>
        <w:t>, under-represented minorities</w:t>
      </w:r>
      <w:r w:rsidRPr="003D5C42">
        <w:rPr>
          <w:rFonts w:cstheme="minorHAnsi"/>
          <w:b/>
          <w:bCs/>
          <w:sz w:val="24"/>
          <w:szCs w:val="24"/>
          <w:vertAlign w:val="superscript"/>
        </w:rPr>
        <w:t>25</w:t>
      </w:r>
      <w:r w:rsidRPr="0096137D">
        <w:rPr>
          <w:rFonts w:cstheme="minorHAnsi"/>
          <w:sz w:val="24"/>
          <w:szCs w:val="24"/>
          <w:vertAlign w:val="superscript"/>
        </w:rPr>
        <w:t>,</w:t>
      </w:r>
      <w:r w:rsidRPr="003D5C42">
        <w:rPr>
          <w:rFonts w:cstheme="minorHAnsi"/>
          <w:b/>
          <w:bCs/>
          <w:sz w:val="24"/>
          <w:szCs w:val="24"/>
          <w:vertAlign w:val="superscript"/>
        </w:rPr>
        <w:t>26</w:t>
      </w:r>
      <w:r w:rsidRPr="0096137D">
        <w:rPr>
          <w:rFonts w:cstheme="minorHAnsi"/>
          <w:sz w:val="24"/>
          <w:szCs w:val="24"/>
          <w:vertAlign w:val="superscript"/>
        </w:rPr>
        <w:t>,</w:t>
      </w:r>
      <w:r w:rsidRPr="003D5C42">
        <w:rPr>
          <w:rFonts w:cstheme="minorHAnsi"/>
          <w:b/>
          <w:bCs/>
          <w:sz w:val="24"/>
          <w:szCs w:val="24"/>
          <w:vertAlign w:val="superscript"/>
        </w:rPr>
        <w:t>27</w:t>
      </w:r>
      <w:r w:rsidRPr="00524D9F">
        <w:rPr>
          <w:rFonts w:cstheme="minorHAnsi"/>
          <w:sz w:val="24"/>
          <w:szCs w:val="24"/>
        </w:rPr>
        <w:t>, first-generation students</w:t>
      </w:r>
      <w:r w:rsidRPr="003D5C42">
        <w:rPr>
          <w:rFonts w:cstheme="minorHAnsi"/>
          <w:b/>
          <w:bCs/>
          <w:sz w:val="24"/>
          <w:szCs w:val="24"/>
          <w:vertAlign w:val="superscript"/>
        </w:rPr>
        <w:t>28</w:t>
      </w:r>
      <w:r w:rsidRPr="00524D9F">
        <w:rPr>
          <w:rFonts w:cstheme="minorHAnsi"/>
          <w:sz w:val="24"/>
          <w:szCs w:val="24"/>
        </w:rPr>
        <w:t>, less well-prepared students, and those from low-income backgrounds</w:t>
      </w:r>
      <w:r w:rsidRPr="003D5C42">
        <w:rPr>
          <w:rFonts w:cstheme="minorHAnsi"/>
          <w:b/>
          <w:bCs/>
          <w:sz w:val="24"/>
          <w:szCs w:val="24"/>
          <w:vertAlign w:val="superscript"/>
        </w:rPr>
        <w:t>25</w:t>
      </w:r>
      <w:r w:rsidRPr="0096137D">
        <w:rPr>
          <w:rFonts w:cstheme="minorHAnsi"/>
          <w:sz w:val="24"/>
          <w:szCs w:val="24"/>
          <w:vertAlign w:val="superscript"/>
        </w:rPr>
        <w:t>,</w:t>
      </w:r>
      <w:r w:rsidRPr="003D5C42">
        <w:rPr>
          <w:rFonts w:cstheme="minorHAnsi"/>
          <w:b/>
          <w:bCs/>
          <w:sz w:val="24"/>
          <w:szCs w:val="24"/>
          <w:vertAlign w:val="superscript"/>
        </w:rPr>
        <w:t>28</w:t>
      </w:r>
      <w:r w:rsidRPr="00524D9F">
        <w:rPr>
          <w:rFonts w:cstheme="minorHAnsi"/>
          <w:sz w:val="24"/>
          <w:szCs w:val="24"/>
        </w:rPr>
        <w:t xml:space="preserve"> leave STEM majors at higher rates than their counterparts, with a key difference between STEM “leavers” and STEM “</w:t>
      </w:r>
      <w:proofErr w:type="spellStart"/>
      <w:r w:rsidRPr="00524D9F">
        <w:rPr>
          <w:rFonts w:cstheme="minorHAnsi"/>
          <w:sz w:val="24"/>
          <w:szCs w:val="24"/>
        </w:rPr>
        <w:t>persisters</w:t>
      </w:r>
      <w:proofErr w:type="spellEnd"/>
      <w:r w:rsidRPr="00524D9F">
        <w:rPr>
          <w:rFonts w:cstheme="minorHAnsi"/>
          <w:sz w:val="24"/>
          <w:szCs w:val="24"/>
        </w:rPr>
        <w:t>” being the number of STEM credits obtained in the first year</w:t>
      </w:r>
      <w:r w:rsidRPr="003D5C42">
        <w:rPr>
          <w:rFonts w:cstheme="minorHAnsi"/>
          <w:b/>
          <w:bCs/>
          <w:sz w:val="24"/>
          <w:szCs w:val="24"/>
          <w:vertAlign w:val="superscript"/>
        </w:rPr>
        <w:t>29</w:t>
      </w:r>
      <w:r w:rsidRPr="00524D9F">
        <w:rPr>
          <w:rFonts w:cstheme="minorHAnsi"/>
          <w:sz w:val="24"/>
          <w:szCs w:val="24"/>
        </w:rPr>
        <w:t>. This is a “push-pull” effect—i.e., students are pushed out of STEM majors by poor performance in introductory STEM courses while simultaneously being pulled into non-STEM majors by their higher course grades in those subjects</w:t>
      </w:r>
      <w:r w:rsidRPr="003D5C42">
        <w:rPr>
          <w:rFonts w:cstheme="minorHAnsi"/>
          <w:b/>
          <w:bCs/>
          <w:sz w:val="24"/>
          <w:szCs w:val="24"/>
          <w:vertAlign w:val="superscript"/>
        </w:rPr>
        <w:t>30</w:t>
      </w:r>
      <w:r w:rsidRPr="00524D9F">
        <w:rPr>
          <w:rFonts w:cstheme="minorHAnsi"/>
          <w:sz w:val="24"/>
          <w:szCs w:val="24"/>
        </w:rPr>
        <w:t>. A longitudinal study of attrition in STEM majors found that two root causes were dissatisfaction with the curriculum and student loss (or lack) of self-confidence</w:t>
      </w:r>
      <w:r w:rsidRPr="003D5C42">
        <w:rPr>
          <w:rFonts w:cstheme="minorHAnsi"/>
          <w:b/>
          <w:bCs/>
          <w:sz w:val="24"/>
          <w:szCs w:val="24"/>
          <w:vertAlign w:val="superscript"/>
        </w:rPr>
        <w:t>31</w:t>
      </w:r>
      <w:r w:rsidRPr="00524D9F">
        <w:rPr>
          <w:rFonts w:cstheme="minorHAnsi"/>
          <w:sz w:val="24"/>
          <w:szCs w:val="24"/>
        </w:rPr>
        <w:t>. A subsequent study of talented students showed that those who dropped out of STEM did so early, prior to declaring a major, with both their academic experiences and STEM self-efficacy found as important predictors</w:t>
      </w:r>
      <w:r w:rsidRPr="003D5C42">
        <w:rPr>
          <w:rFonts w:cstheme="minorHAnsi"/>
          <w:b/>
          <w:bCs/>
          <w:sz w:val="24"/>
          <w:szCs w:val="24"/>
          <w:vertAlign w:val="superscript"/>
        </w:rPr>
        <w:t>32</w:t>
      </w:r>
      <w:r w:rsidRPr="00524D9F">
        <w:rPr>
          <w:rFonts w:cstheme="minorHAnsi"/>
          <w:sz w:val="24"/>
          <w:szCs w:val="24"/>
        </w:rPr>
        <w:t>. Higher incidences of withdrawn or failed STEM courses are also associated with an increased probability of leaving college</w:t>
      </w:r>
      <w:r w:rsidRPr="003D5C42">
        <w:rPr>
          <w:rFonts w:cstheme="minorHAnsi"/>
          <w:b/>
          <w:bCs/>
          <w:sz w:val="24"/>
          <w:szCs w:val="24"/>
          <w:vertAlign w:val="superscript"/>
        </w:rPr>
        <w:t>29</w:t>
      </w:r>
      <w:r w:rsidRPr="00524D9F">
        <w:rPr>
          <w:rFonts w:cstheme="minorHAnsi"/>
          <w:sz w:val="24"/>
          <w:szCs w:val="24"/>
        </w:rPr>
        <w:t>.</w:t>
      </w:r>
    </w:p>
    <w:p w14:paraId="3E443C93" w14:textId="70B760BA" w:rsidR="00524D9F" w:rsidRPr="00524D9F" w:rsidRDefault="00524D9F" w:rsidP="00524D9F">
      <w:pPr>
        <w:rPr>
          <w:rFonts w:cstheme="minorHAnsi"/>
          <w:sz w:val="24"/>
          <w:szCs w:val="24"/>
        </w:rPr>
      </w:pPr>
      <w:r w:rsidRPr="00524D9F">
        <w:rPr>
          <w:rFonts w:cstheme="minorHAnsi"/>
          <w:sz w:val="24"/>
          <w:szCs w:val="24"/>
        </w:rPr>
        <w:t>Many solutions to this problem have been explored. In introductory chemistry and biology, much work over the past forty years has focused on the delivery of college-preparatory or remedial courses</w:t>
      </w:r>
      <w:r w:rsidRPr="003D5C42">
        <w:rPr>
          <w:rFonts w:cstheme="minorHAnsi"/>
          <w:b/>
          <w:bCs/>
          <w:sz w:val="24"/>
          <w:szCs w:val="24"/>
          <w:vertAlign w:val="superscript"/>
        </w:rPr>
        <w:t>33</w:t>
      </w:r>
      <w:r w:rsidRPr="0096137D">
        <w:rPr>
          <w:rFonts w:cstheme="minorHAnsi"/>
          <w:sz w:val="24"/>
          <w:szCs w:val="24"/>
          <w:vertAlign w:val="superscript"/>
        </w:rPr>
        <w:t>,</w:t>
      </w:r>
      <w:r w:rsidRPr="003D5C42">
        <w:rPr>
          <w:rFonts w:cstheme="minorHAnsi"/>
          <w:b/>
          <w:bCs/>
          <w:sz w:val="24"/>
          <w:szCs w:val="24"/>
          <w:vertAlign w:val="superscript"/>
        </w:rPr>
        <w:t>34</w:t>
      </w:r>
      <w:r w:rsidRPr="0096137D">
        <w:rPr>
          <w:rFonts w:cstheme="minorHAnsi"/>
          <w:sz w:val="24"/>
          <w:szCs w:val="24"/>
          <w:vertAlign w:val="superscript"/>
        </w:rPr>
        <w:t>,</w:t>
      </w:r>
      <w:r w:rsidRPr="003D5C42">
        <w:rPr>
          <w:rFonts w:cstheme="minorHAnsi"/>
          <w:b/>
          <w:bCs/>
          <w:sz w:val="24"/>
          <w:szCs w:val="24"/>
          <w:vertAlign w:val="superscript"/>
        </w:rPr>
        <w:t>35</w:t>
      </w:r>
      <w:r w:rsidRPr="0096137D">
        <w:rPr>
          <w:rFonts w:cstheme="minorHAnsi"/>
          <w:sz w:val="24"/>
          <w:szCs w:val="24"/>
          <w:vertAlign w:val="superscript"/>
        </w:rPr>
        <w:t>,</w:t>
      </w:r>
      <w:r w:rsidRPr="003D5C42">
        <w:rPr>
          <w:rFonts w:cstheme="minorHAnsi"/>
          <w:b/>
          <w:bCs/>
          <w:sz w:val="24"/>
          <w:szCs w:val="24"/>
          <w:vertAlign w:val="superscript"/>
        </w:rPr>
        <w:t>36</w:t>
      </w:r>
      <w:r w:rsidRPr="0096137D">
        <w:rPr>
          <w:rFonts w:cstheme="minorHAnsi"/>
          <w:sz w:val="24"/>
          <w:szCs w:val="24"/>
          <w:vertAlign w:val="superscript"/>
        </w:rPr>
        <w:t>,</w:t>
      </w:r>
      <w:r w:rsidRPr="003D5C42">
        <w:rPr>
          <w:rFonts w:cstheme="minorHAnsi"/>
          <w:b/>
          <w:bCs/>
          <w:sz w:val="24"/>
          <w:szCs w:val="24"/>
          <w:vertAlign w:val="superscript"/>
        </w:rPr>
        <w:t>37</w:t>
      </w:r>
      <w:r w:rsidRPr="0096137D">
        <w:rPr>
          <w:rFonts w:cstheme="minorHAnsi"/>
          <w:sz w:val="24"/>
          <w:szCs w:val="24"/>
          <w:vertAlign w:val="superscript"/>
        </w:rPr>
        <w:t>,</w:t>
      </w:r>
      <w:r w:rsidRPr="003D5C42">
        <w:rPr>
          <w:rFonts w:cstheme="minorHAnsi"/>
          <w:b/>
          <w:bCs/>
          <w:sz w:val="24"/>
          <w:szCs w:val="24"/>
          <w:vertAlign w:val="superscript"/>
        </w:rPr>
        <w:t>38</w:t>
      </w:r>
      <w:r w:rsidRPr="0096137D">
        <w:rPr>
          <w:rFonts w:cstheme="minorHAnsi"/>
          <w:sz w:val="24"/>
          <w:szCs w:val="24"/>
          <w:vertAlign w:val="superscript"/>
        </w:rPr>
        <w:t>,</w:t>
      </w:r>
      <w:r w:rsidRPr="003D5C42">
        <w:rPr>
          <w:rFonts w:cstheme="minorHAnsi"/>
          <w:b/>
          <w:bCs/>
          <w:sz w:val="24"/>
          <w:szCs w:val="24"/>
          <w:vertAlign w:val="superscript"/>
        </w:rPr>
        <w:t>39</w:t>
      </w:r>
      <w:r w:rsidRPr="0096137D">
        <w:rPr>
          <w:rFonts w:cstheme="minorHAnsi"/>
          <w:sz w:val="24"/>
          <w:szCs w:val="24"/>
          <w:vertAlign w:val="superscript"/>
        </w:rPr>
        <w:t>,</w:t>
      </w:r>
      <w:r w:rsidRPr="003D5C42">
        <w:rPr>
          <w:rFonts w:cstheme="minorHAnsi"/>
          <w:b/>
          <w:bCs/>
          <w:sz w:val="24"/>
          <w:szCs w:val="24"/>
          <w:vertAlign w:val="superscript"/>
        </w:rPr>
        <w:t>40</w:t>
      </w:r>
      <w:r w:rsidRPr="0096137D">
        <w:rPr>
          <w:rFonts w:cstheme="minorHAnsi"/>
          <w:sz w:val="24"/>
          <w:szCs w:val="24"/>
          <w:vertAlign w:val="superscript"/>
        </w:rPr>
        <w:t>,</w:t>
      </w:r>
      <w:r w:rsidRPr="003D5C42">
        <w:rPr>
          <w:rFonts w:cstheme="minorHAnsi"/>
          <w:b/>
          <w:bCs/>
          <w:sz w:val="24"/>
          <w:szCs w:val="24"/>
          <w:vertAlign w:val="superscript"/>
        </w:rPr>
        <w:t>41</w:t>
      </w:r>
      <w:r w:rsidRPr="0096137D">
        <w:rPr>
          <w:rFonts w:cstheme="minorHAnsi"/>
          <w:sz w:val="24"/>
          <w:szCs w:val="24"/>
          <w:vertAlign w:val="superscript"/>
        </w:rPr>
        <w:t>,</w:t>
      </w:r>
      <w:r w:rsidRPr="003D5C42">
        <w:rPr>
          <w:rFonts w:cstheme="minorHAnsi"/>
          <w:b/>
          <w:bCs/>
          <w:sz w:val="24"/>
          <w:szCs w:val="24"/>
          <w:vertAlign w:val="superscript"/>
        </w:rPr>
        <w:t>42</w:t>
      </w:r>
      <w:r w:rsidRPr="0096137D">
        <w:rPr>
          <w:rFonts w:cstheme="minorHAnsi"/>
          <w:sz w:val="24"/>
          <w:szCs w:val="24"/>
          <w:vertAlign w:val="superscript"/>
        </w:rPr>
        <w:t>,</w:t>
      </w:r>
      <w:r w:rsidRPr="003D5C42">
        <w:rPr>
          <w:rFonts w:cstheme="minorHAnsi"/>
          <w:b/>
          <w:bCs/>
          <w:sz w:val="24"/>
          <w:szCs w:val="24"/>
          <w:vertAlign w:val="superscript"/>
        </w:rPr>
        <w:t>43</w:t>
      </w:r>
      <w:r w:rsidRPr="0096137D">
        <w:rPr>
          <w:rFonts w:cstheme="minorHAnsi"/>
          <w:sz w:val="24"/>
          <w:szCs w:val="24"/>
          <w:vertAlign w:val="superscript"/>
        </w:rPr>
        <w:t>,</w:t>
      </w:r>
      <w:r w:rsidRPr="003D5C42">
        <w:rPr>
          <w:rFonts w:cstheme="minorHAnsi"/>
          <w:b/>
          <w:bCs/>
          <w:sz w:val="24"/>
          <w:szCs w:val="24"/>
          <w:vertAlign w:val="superscript"/>
        </w:rPr>
        <w:t>44</w:t>
      </w:r>
      <w:r w:rsidRPr="00524D9F">
        <w:rPr>
          <w:rFonts w:cstheme="minorHAnsi"/>
          <w:sz w:val="24"/>
          <w:szCs w:val="24"/>
        </w:rPr>
        <w:t>; however, the literature shows a record of mixed success</w:t>
      </w:r>
      <w:r w:rsidR="007E31A6">
        <w:rPr>
          <w:rFonts w:cstheme="minorHAnsi"/>
          <w:sz w:val="24"/>
          <w:szCs w:val="24"/>
        </w:rPr>
        <w:t xml:space="preserve"> </w:t>
      </w:r>
      <w:r w:rsidRPr="003D5C42">
        <w:rPr>
          <w:rFonts w:cstheme="minorHAnsi"/>
          <w:b/>
          <w:bCs/>
          <w:sz w:val="24"/>
          <w:szCs w:val="24"/>
          <w:vertAlign w:val="superscript"/>
        </w:rPr>
        <w:t>35</w:t>
      </w:r>
      <w:r w:rsidRPr="0096137D">
        <w:rPr>
          <w:rFonts w:cstheme="minorHAnsi"/>
          <w:sz w:val="24"/>
          <w:szCs w:val="24"/>
          <w:vertAlign w:val="superscript"/>
        </w:rPr>
        <w:t>,</w:t>
      </w:r>
      <w:r w:rsidRPr="003D5C42">
        <w:rPr>
          <w:rFonts w:cstheme="minorHAnsi"/>
          <w:b/>
          <w:bCs/>
          <w:sz w:val="24"/>
          <w:szCs w:val="24"/>
          <w:vertAlign w:val="superscript"/>
        </w:rPr>
        <w:t>45</w:t>
      </w:r>
      <w:r w:rsidRPr="00524D9F">
        <w:rPr>
          <w:rFonts w:cstheme="minorHAnsi"/>
          <w:sz w:val="24"/>
          <w:szCs w:val="24"/>
        </w:rPr>
        <w:t>. For example, a longitudinal study of a voluntary, online summer preparatory course found that less than 50% of students who registered into the prep course completed it, and while there was a significant increase in the first-term ACS final exam percentile for students who completed more than 50% of the course, this reflected self-selection by more highly motivated students</w:t>
      </w:r>
      <w:r w:rsidRPr="003D5C42">
        <w:rPr>
          <w:rFonts w:cstheme="minorHAnsi"/>
          <w:b/>
          <w:bCs/>
          <w:sz w:val="24"/>
          <w:szCs w:val="24"/>
          <w:vertAlign w:val="superscript"/>
        </w:rPr>
        <w:t>46</w:t>
      </w:r>
      <w:r w:rsidRPr="00524D9F">
        <w:rPr>
          <w:rFonts w:cstheme="minorHAnsi"/>
          <w:sz w:val="24"/>
          <w:szCs w:val="24"/>
        </w:rPr>
        <w:t>. As another example of this effect, a voluntary, online, self-paced “</w:t>
      </w:r>
      <w:proofErr w:type="spellStart"/>
      <w:r w:rsidRPr="00524D9F">
        <w:rPr>
          <w:rFonts w:cstheme="minorHAnsi"/>
          <w:sz w:val="24"/>
          <w:szCs w:val="24"/>
        </w:rPr>
        <w:t>ChemPrep</w:t>
      </w:r>
      <w:proofErr w:type="spellEnd"/>
      <w:r w:rsidRPr="00524D9F">
        <w:rPr>
          <w:rFonts w:cstheme="minorHAnsi"/>
          <w:sz w:val="24"/>
          <w:szCs w:val="24"/>
        </w:rPr>
        <w:t>” program at University of Massachusetts–Amherst showed significant gains for participating students</w:t>
      </w:r>
      <w:r w:rsidRPr="003D5C42">
        <w:rPr>
          <w:rFonts w:cstheme="minorHAnsi"/>
          <w:b/>
          <w:bCs/>
          <w:sz w:val="24"/>
          <w:szCs w:val="24"/>
          <w:vertAlign w:val="superscript"/>
        </w:rPr>
        <w:t>34</w:t>
      </w:r>
      <w:r w:rsidRPr="00524D9F">
        <w:rPr>
          <w:rFonts w:cstheme="minorHAnsi"/>
          <w:sz w:val="24"/>
          <w:szCs w:val="24"/>
        </w:rPr>
        <w:t xml:space="preserve">; however, users were primarily classified as either “students likely to do well but lacking confidence” or “students who will do well and utilize every </w:t>
      </w:r>
      <w:proofErr w:type="gramStart"/>
      <w:r w:rsidRPr="00524D9F">
        <w:rPr>
          <w:rFonts w:cstheme="minorHAnsi"/>
          <w:sz w:val="24"/>
          <w:szCs w:val="24"/>
        </w:rPr>
        <w:t>resource“</w:t>
      </w:r>
      <w:proofErr w:type="gramEnd"/>
      <w:r w:rsidRPr="00524D9F">
        <w:rPr>
          <w:rFonts w:cstheme="minorHAnsi"/>
          <w:sz w:val="24"/>
          <w:szCs w:val="24"/>
        </w:rPr>
        <w:t>. This illustrates a key problem—such interventions can completely miss the primary group of targeted students, those “underprepared and likely to do poorly without additional help”</w:t>
      </w:r>
      <w:r w:rsidR="00757016" w:rsidRPr="0096137D">
        <w:rPr>
          <w:vertAlign w:val="superscript"/>
        </w:rPr>
        <w:t xml:space="preserve"> </w:t>
      </w:r>
      <w:r w:rsidRPr="003D5C42">
        <w:rPr>
          <w:rFonts w:cstheme="minorHAnsi"/>
          <w:b/>
          <w:bCs/>
          <w:sz w:val="24"/>
          <w:szCs w:val="24"/>
          <w:vertAlign w:val="superscript"/>
        </w:rPr>
        <w:t>34</w:t>
      </w:r>
      <w:r w:rsidRPr="00524D9F">
        <w:rPr>
          <w:rFonts w:cstheme="minorHAnsi"/>
          <w:sz w:val="24"/>
          <w:szCs w:val="24"/>
        </w:rPr>
        <w:t>.</w:t>
      </w:r>
    </w:p>
    <w:p w14:paraId="5AD49DE1" w14:textId="3CD3D3A8" w:rsidR="00524D9F" w:rsidRPr="00524D9F" w:rsidRDefault="00524D9F" w:rsidP="00524D9F">
      <w:pPr>
        <w:rPr>
          <w:rFonts w:cstheme="minorHAnsi"/>
          <w:sz w:val="24"/>
          <w:szCs w:val="24"/>
        </w:rPr>
      </w:pPr>
      <w:r w:rsidRPr="00524D9F">
        <w:rPr>
          <w:rFonts w:cstheme="minorHAnsi"/>
          <w:sz w:val="24"/>
          <w:szCs w:val="24"/>
        </w:rPr>
        <w:t>A significant body of literature exists on the development of predictive criteria for performance in introductory science courses</w:t>
      </w:r>
      <w:r w:rsidRPr="003D5C42">
        <w:rPr>
          <w:rFonts w:cstheme="minorHAnsi"/>
          <w:b/>
          <w:bCs/>
          <w:sz w:val="24"/>
          <w:szCs w:val="24"/>
          <w:vertAlign w:val="superscript"/>
        </w:rPr>
        <w:t>33</w:t>
      </w:r>
      <w:r w:rsidRPr="0096137D">
        <w:rPr>
          <w:rFonts w:cstheme="minorHAnsi"/>
          <w:sz w:val="24"/>
          <w:szCs w:val="24"/>
          <w:vertAlign w:val="superscript"/>
        </w:rPr>
        <w:t>,</w:t>
      </w:r>
      <w:r w:rsidRPr="003D5C42">
        <w:rPr>
          <w:rFonts w:cstheme="minorHAnsi"/>
          <w:b/>
          <w:bCs/>
          <w:sz w:val="24"/>
          <w:szCs w:val="24"/>
          <w:vertAlign w:val="superscript"/>
        </w:rPr>
        <w:t>38</w:t>
      </w:r>
      <w:r w:rsidRPr="0096137D">
        <w:rPr>
          <w:rFonts w:cstheme="minorHAnsi"/>
          <w:sz w:val="24"/>
          <w:szCs w:val="24"/>
          <w:vertAlign w:val="superscript"/>
        </w:rPr>
        <w:t>,</w:t>
      </w:r>
      <w:r w:rsidRPr="003D5C42">
        <w:rPr>
          <w:rFonts w:cstheme="minorHAnsi"/>
          <w:b/>
          <w:bCs/>
          <w:sz w:val="24"/>
          <w:szCs w:val="24"/>
          <w:vertAlign w:val="superscript"/>
        </w:rPr>
        <w:t>40</w:t>
      </w:r>
      <w:r w:rsidRPr="0096137D">
        <w:rPr>
          <w:rFonts w:cstheme="minorHAnsi"/>
          <w:sz w:val="24"/>
          <w:szCs w:val="24"/>
          <w:vertAlign w:val="superscript"/>
        </w:rPr>
        <w:t>,</w:t>
      </w:r>
      <w:r w:rsidRPr="003D5C42">
        <w:rPr>
          <w:rFonts w:cstheme="minorHAnsi"/>
          <w:b/>
          <w:bCs/>
          <w:sz w:val="24"/>
          <w:szCs w:val="24"/>
          <w:vertAlign w:val="superscript"/>
        </w:rPr>
        <w:t>41</w:t>
      </w:r>
      <w:r w:rsidRPr="0096137D">
        <w:rPr>
          <w:rFonts w:cstheme="minorHAnsi"/>
          <w:sz w:val="24"/>
          <w:szCs w:val="24"/>
          <w:vertAlign w:val="superscript"/>
        </w:rPr>
        <w:t>,</w:t>
      </w:r>
      <w:r w:rsidRPr="003D5C42">
        <w:rPr>
          <w:rFonts w:cstheme="minorHAnsi"/>
          <w:b/>
          <w:bCs/>
          <w:sz w:val="24"/>
          <w:szCs w:val="24"/>
          <w:vertAlign w:val="superscript"/>
        </w:rPr>
        <w:t>42</w:t>
      </w:r>
      <w:r w:rsidRPr="0096137D">
        <w:rPr>
          <w:rFonts w:cstheme="minorHAnsi"/>
          <w:sz w:val="24"/>
          <w:szCs w:val="24"/>
          <w:vertAlign w:val="superscript"/>
        </w:rPr>
        <w:t>,</w:t>
      </w:r>
      <w:r w:rsidRPr="003D5C42">
        <w:rPr>
          <w:rFonts w:cstheme="minorHAnsi"/>
          <w:b/>
          <w:bCs/>
          <w:sz w:val="24"/>
          <w:szCs w:val="24"/>
          <w:vertAlign w:val="superscript"/>
        </w:rPr>
        <w:t>47</w:t>
      </w:r>
      <w:r w:rsidRPr="00524D9F">
        <w:rPr>
          <w:rFonts w:cstheme="minorHAnsi"/>
          <w:sz w:val="24"/>
          <w:szCs w:val="24"/>
        </w:rPr>
        <w:t>. A recent study evaluated demographic characteristics and early-course cognitive measures in predicting student outcomes in first-term general chemistry</w:t>
      </w:r>
      <w:r w:rsidRPr="003D5C42">
        <w:rPr>
          <w:rFonts w:cstheme="minorHAnsi"/>
          <w:b/>
          <w:bCs/>
          <w:sz w:val="24"/>
          <w:szCs w:val="24"/>
          <w:vertAlign w:val="superscript"/>
        </w:rPr>
        <w:t>48</w:t>
      </w:r>
      <w:r w:rsidRPr="00524D9F">
        <w:rPr>
          <w:rFonts w:cstheme="minorHAnsi"/>
          <w:sz w:val="24"/>
          <w:szCs w:val="24"/>
        </w:rPr>
        <w:t>. Utilizing a diagnostic exam and adaptive learning pre-assessment, it was found that roughly ~57% of variance in ACS final exam scores and ~60% of variance in final course grades was related to the diagnostic exam score, initial pre-assessment, and predicted first-year quality point average (</w:t>
      </w:r>
      <w:proofErr w:type="gramStart"/>
      <w:r w:rsidRPr="00524D9F">
        <w:rPr>
          <w:rFonts w:cstheme="minorHAnsi"/>
          <w:sz w:val="24"/>
          <w:szCs w:val="24"/>
        </w:rPr>
        <w:t>4 point</w:t>
      </w:r>
      <w:proofErr w:type="gramEnd"/>
      <w:r w:rsidRPr="00524D9F">
        <w:rPr>
          <w:rFonts w:cstheme="minorHAnsi"/>
          <w:sz w:val="24"/>
          <w:szCs w:val="24"/>
        </w:rPr>
        <w:t xml:space="preserve"> scale). When these metrics were used in combination, a sizable percentage (~80%) of students with DFW (i.e., grades of D or F and withdrawal) outcomes in the course could be identified, which supports the use of early-term interventions. Such interventions are grounded in the educational literature, as recent work has shown that critical thinking and scientific reasoning ability are perhaps foremost amongst factors correlated with student success in general chemistry</w:t>
      </w:r>
      <w:r w:rsidRPr="003D5C42">
        <w:rPr>
          <w:rFonts w:cstheme="minorHAnsi"/>
          <w:b/>
          <w:bCs/>
          <w:sz w:val="24"/>
          <w:szCs w:val="24"/>
          <w:vertAlign w:val="superscript"/>
        </w:rPr>
        <w:t>36</w:t>
      </w:r>
      <w:r w:rsidRPr="0096137D">
        <w:rPr>
          <w:rFonts w:cstheme="minorHAnsi"/>
          <w:sz w:val="24"/>
          <w:szCs w:val="24"/>
          <w:vertAlign w:val="superscript"/>
        </w:rPr>
        <w:t>,</w:t>
      </w:r>
      <w:r w:rsidRPr="003D5C42">
        <w:rPr>
          <w:rFonts w:cstheme="minorHAnsi"/>
          <w:b/>
          <w:bCs/>
          <w:sz w:val="24"/>
          <w:szCs w:val="24"/>
          <w:vertAlign w:val="superscript"/>
        </w:rPr>
        <w:t>37</w:t>
      </w:r>
      <w:r w:rsidRPr="00524D9F">
        <w:rPr>
          <w:rFonts w:cstheme="minorHAnsi"/>
          <w:sz w:val="24"/>
          <w:szCs w:val="24"/>
        </w:rPr>
        <w:t>. However, ultimately, any intervention strategy based upon voluntary student participation will fall prey to the deficiencies identified above.</w:t>
      </w:r>
    </w:p>
    <w:p w14:paraId="29B9AFB5" w14:textId="13D029B9" w:rsidR="00524D9F" w:rsidRPr="00524D9F" w:rsidRDefault="00524D9F" w:rsidP="00524D9F">
      <w:pPr>
        <w:rPr>
          <w:rFonts w:cstheme="minorHAnsi"/>
          <w:sz w:val="24"/>
          <w:szCs w:val="24"/>
        </w:rPr>
      </w:pPr>
      <w:r w:rsidRPr="00524D9F">
        <w:rPr>
          <w:rFonts w:cstheme="minorHAnsi"/>
          <w:sz w:val="24"/>
          <w:szCs w:val="24"/>
        </w:rPr>
        <w:lastRenderedPageBreak/>
        <w:t xml:space="preserve">In this work, we describe a different intervention approach, which attempted to capture students who were at risk of failing general chemistry I and prepare them to retake the course in the following semester. We began these efforts with the thesis that initial assessment (exam, quiz) scores are the best predictor of student success in </w:t>
      </w:r>
      <w:proofErr w:type="gramStart"/>
      <w:r w:rsidRPr="00524D9F">
        <w:rPr>
          <w:rFonts w:cstheme="minorHAnsi"/>
          <w:sz w:val="24"/>
          <w:szCs w:val="24"/>
        </w:rPr>
        <w:t>the course</w:t>
      </w:r>
      <w:r w:rsidRPr="003D5C42">
        <w:rPr>
          <w:rFonts w:cstheme="minorHAnsi"/>
          <w:b/>
          <w:bCs/>
          <w:sz w:val="24"/>
          <w:szCs w:val="24"/>
          <w:vertAlign w:val="superscript"/>
        </w:rPr>
        <w:t>49</w:t>
      </w:r>
      <w:proofErr w:type="gramEnd"/>
      <w:r w:rsidRPr="00524D9F">
        <w:rPr>
          <w:rFonts w:cstheme="minorHAnsi"/>
          <w:sz w:val="24"/>
          <w:szCs w:val="24"/>
        </w:rPr>
        <w:t>. While this claim may seem self-evident, it is supported by a recent study in general chemistry that found a strong correlation of initial assessment scores with course success, which persisted across multiple institutions, instructors, and course designs</w:t>
      </w:r>
      <w:r w:rsidRPr="003D5C42">
        <w:rPr>
          <w:rFonts w:cstheme="minorHAnsi"/>
          <w:b/>
          <w:bCs/>
          <w:sz w:val="24"/>
          <w:szCs w:val="24"/>
          <w:vertAlign w:val="superscript"/>
        </w:rPr>
        <w:t>50</w:t>
      </w:r>
      <w:r w:rsidRPr="00524D9F">
        <w:rPr>
          <w:rFonts w:cstheme="minorHAnsi"/>
          <w:sz w:val="24"/>
          <w:szCs w:val="24"/>
        </w:rPr>
        <w:t>. Poor performance in early assessments in introductory courses can lead to feelings of “learned helplessness”</w:t>
      </w:r>
      <w:r w:rsidR="00757016" w:rsidRPr="0096137D">
        <w:rPr>
          <w:vertAlign w:val="superscript"/>
        </w:rPr>
        <w:t xml:space="preserve"> </w:t>
      </w:r>
      <w:r w:rsidRPr="003D5C42">
        <w:rPr>
          <w:rFonts w:cstheme="minorHAnsi"/>
          <w:b/>
          <w:bCs/>
          <w:sz w:val="24"/>
          <w:szCs w:val="24"/>
          <w:vertAlign w:val="superscript"/>
        </w:rPr>
        <w:t>51</w:t>
      </w:r>
      <w:r w:rsidRPr="00524D9F">
        <w:rPr>
          <w:rFonts w:cstheme="minorHAnsi"/>
          <w:sz w:val="24"/>
          <w:szCs w:val="24"/>
        </w:rPr>
        <w:t xml:space="preserve"> and is therefore arguably the best time to intervene. Thus, our initial approach involved, at midterm, voluntarily transferring at-risk students in general chemistry I into a one-credit, eight-week transitional course. As a requirement, students had to withdraw from general chemistry I but were not charged additional tuition. The course design emphasized scientific reasoning and critical thinking, using a variety of active learning and inquiry-based strategies, which have been shown to reduce the achievement gap, lower DFW (i.e., grades of D or F and withdrawal) rates, and improve outcomes for lower-achieving students in both introductory chemistry and biology</w:t>
      </w:r>
      <w:r w:rsidRPr="003D5C42">
        <w:rPr>
          <w:rFonts w:cstheme="minorHAnsi"/>
          <w:b/>
          <w:bCs/>
          <w:sz w:val="24"/>
          <w:szCs w:val="24"/>
          <w:vertAlign w:val="superscript"/>
        </w:rPr>
        <w:t>52</w:t>
      </w:r>
      <w:r w:rsidRPr="0096137D">
        <w:rPr>
          <w:rFonts w:cstheme="minorHAnsi"/>
          <w:sz w:val="24"/>
          <w:szCs w:val="24"/>
          <w:vertAlign w:val="superscript"/>
        </w:rPr>
        <w:t>,</w:t>
      </w:r>
      <w:r w:rsidRPr="003D5C42">
        <w:rPr>
          <w:rFonts w:cstheme="minorHAnsi"/>
          <w:b/>
          <w:bCs/>
          <w:sz w:val="24"/>
          <w:szCs w:val="24"/>
          <w:vertAlign w:val="superscript"/>
        </w:rPr>
        <w:t>53</w:t>
      </w:r>
      <w:r w:rsidRPr="0096137D">
        <w:rPr>
          <w:rFonts w:cstheme="minorHAnsi"/>
          <w:sz w:val="24"/>
          <w:szCs w:val="24"/>
          <w:vertAlign w:val="superscript"/>
        </w:rPr>
        <w:t>,</w:t>
      </w:r>
      <w:r w:rsidRPr="003D5C42">
        <w:rPr>
          <w:rFonts w:cstheme="minorHAnsi"/>
          <w:b/>
          <w:bCs/>
          <w:sz w:val="24"/>
          <w:szCs w:val="24"/>
          <w:vertAlign w:val="superscript"/>
        </w:rPr>
        <w:t>54</w:t>
      </w:r>
      <w:r w:rsidRPr="0096137D">
        <w:rPr>
          <w:rFonts w:cstheme="minorHAnsi"/>
          <w:sz w:val="24"/>
          <w:szCs w:val="24"/>
          <w:vertAlign w:val="superscript"/>
        </w:rPr>
        <w:t>,</w:t>
      </w:r>
      <w:r w:rsidRPr="003D5C42">
        <w:rPr>
          <w:rFonts w:cstheme="minorHAnsi"/>
          <w:b/>
          <w:bCs/>
          <w:sz w:val="24"/>
          <w:szCs w:val="24"/>
          <w:vertAlign w:val="superscript"/>
        </w:rPr>
        <w:t>55</w:t>
      </w:r>
      <w:r w:rsidRPr="0096137D">
        <w:rPr>
          <w:rFonts w:cstheme="minorHAnsi"/>
          <w:sz w:val="24"/>
          <w:szCs w:val="24"/>
          <w:vertAlign w:val="superscript"/>
        </w:rPr>
        <w:t>,</w:t>
      </w:r>
      <w:r w:rsidRPr="003D5C42">
        <w:rPr>
          <w:rFonts w:cstheme="minorHAnsi"/>
          <w:b/>
          <w:bCs/>
          <w:sz w:val="24"/>
          <w:szCs w:val="24"/>
          <w:vertAlign w:val="superscript"/>
        </w:rPr>
        <w:t>56</w:t>
      </w:r>
      <w:r w:rsidRPr="0096137D">
        <w:rPr>
          <w:rFonts w:cstheme="minorHAnsi"/>
          <w:sz w:val="24"/>
          <w:szCs w:val="24"/>
          <w:vertAlign w:val="superscript"/>
        </w:rPr>
        <w:t>,</w:t>
      </w:r>
      <w:r w:rsidRPr="003D5C42">
        <w:rPr>
          <w:rFonts w:cstheme="minorHAnsi"/>
          <w:b/>
          <w:bCs/>
          <w:sz w:val="24"/>
          <w:szCs w:val="24"/>
          <w:vertAlign w:val="superscript"/>
        </w:rPr>
        <w:t>57</w:t>
      </w:r>
      <w:r w:rsidRPr="0096137D">
        <w:rPr>
          <w:rFonts w:cstheme="minorHAnsi"/>
          <w:sz w:val="24"/>
          <w:szCs w:val="24"/>
          <w:vertAlign w:val="superscript"/>
        </w:rPr>
        <w:t>,</w:t>
      </w:r>
      <w:r w:rsidRPr="003D5C42">
        <w:rPr>
          <w:rFonts w:cstheme="minorHAnsi"/>
          <w:b/>
          <w:bCs/>
          <w:sz w:val="24"/>
          <w:szCs w:val="24"/>
          <w:vertAlign w:val="superscript"/>
        </w:rPr>
        <w:t>58</w:t>
      </w:r>
      <w:r w:rsidRPr="0096137D">
        <w:rPr>
          <w:rFonts w:cstheme="minorHAnsi"/>
          <w:sz w:val="24"/>
          <w:szCs w:val="24"/>
          <w:vertAlign w:val="superscript"/>
        </w:rPr>
        <w:t>,</w:t>
      </w:r>
      <w:r w:rsidRPr="003D5C42">
        <w:rPr>
          <w:rFonts w:cstheme="minorHAnsi"/>
          <w:b/>
          <w:bCs/>
          <w:sz w:val="24"/>
          <w:szCs w:val="24"/>
          <w:vertAlign w:val="superscript"/>
        </w:rPr>
        <w:t>59</w:t>
      </w:r>
      <w:r w:rsidRPr="0096137D">
        <w:rPr>
          <w:rFonts w:cstheme="minorHAnsi"/>
          <w:sz w:val="24"/>
          <w:szCs w:val="24"/>
          <w:vertAlign w:val="superscript"/>
        </w:rPr>
        <w:t>,</w:t>
      </w:r>
      <w:r w:rsidRPr="003D5C42">
        <w:rPr>
          <w:rFonts w:cstheme="minorHAnsi"/>
          <w:b/>
          <w:bCs/>
          <w:sz w:val="24"/>
          <w:szCs w:val="24"/>
          <w:vertAlign w:val="superscript"/>
        </w:rPr>
        <w:t>60</w:t>
      </w:r>
      <w:r w:rsidRPr="0096137D">
        <w:rPr>
          <w:rFonts w:cstheme="minorHAnsi"/>
          <w:sz w:val="24"/>
          <w:szCs w:val="24"/>
          <w:vertAlign w:val="superscript"/>
        </w:rPr>
        <w:t>,</w:t>
      </w:r>
      <w:r w:rsidRPr="003D5C42">
        <w:rPr>
          <w:rFonts w:cstheme="minorHAnsi"/>
          <w:b/>
          <w:bCs/>
          <w:sz w:val="24"/>
          <w:szCs w:val="24"/>
          <w:vertAlign w:val="superscript"/>
        </w:rPr>
        <w:t>61</w:t>
      </w:r>
      <w:r w:rsidRPr="0096137D">
        <w:rPr>
          <w:rFonts w:cstheme="minorHAnsi"/>
          <w:sz w:val="24"/>
          <w:szCs w:val="24"/>
          <w:vertAlign w:val="superscript"/>
        </w:rPr>
        <w:t>,</w:t>
      </w:r>
      <w:r w:rsidRPr="003D5C42">
        <w:rPr>
          <w:rFonts w:cstheme="minorHAnsi"/>
          <w:b/>
          <w:bCs/>
          <w:sz w:val="24"/>
          <w:szCs w:val="24"/>
          <w:vertAlign w:val="superscript"/>
        </w:rPr>
        <w:t>62</w:t>
      </w:r>
      <w:r w:rsidRPr="0096137D">
        <w:rPr>
          <w:rFonts w:cstheme="minorHAnsi"/>
          <w:sz w:val="24"/>
          <w:szCs w:val="24"/>
          <w:vertAlign w:val="superscript"/>
        </w:rPr>
        <w:t>,</w:t>
      </w:r>
      <w:r w:rsidRPr="003D5C42">
        <w:rPr>
          <w:rFonts w:cstheme="minorHAnsi"/>
          <w:b/>
          <w:bCs/>
          <w:sz w:val="24"/>
          <w:szCs w:val="24"/>
          <w:vertAlign w:val="superscript"/>
        </w:rPr>
        <w:t>63</w:t>
      </w:r>
      <w:r w:rsidRPr="00524D9F">
        <w:rPr>
          <w:rFonts w:cstheme="minorHAnsi"/>
          <w:sz w:val="24"/>
          <w:szCs w:val="24"/>
        </w:rPr>
        <w:t>.</w:t>
      </w:r>
    </w:p>
    <w:p w14:paraId="53968CF7" w14:textId="77777777" w:rsidR="00524D9F" w:rsidRPr="00524D9F" w:rsidRDefault="00524D9F" w:rsidP="00524D9F">
      <w:pPr>
        <w:rPr>
          <w:rFonts w:cstheme="minorHAnsi"/>
          <w:sz w:val="24"/>
          <w:szCs w:val="24"/>
        </w:rPr>
      </w:pPr>
      <w:r w:rsidRPr="00524D9F">
        <w:rPr>
          <w:rFonts w:cstheme="minorHAnsi"/>
          <w:sz w:val="24"/>
          <w:szCs w:val="24"/>
        </w:rPr>
        <w:t xml:space="preserve">After three years of running the intervention course in this fashion, the university began a 4-week winter J-term, where all courses were taught online. </w:t>
      </w:r>
      <w:proofErr w:type="gramStart"/>
      <w:r w:rsidRPr="00524D9F">
        <w:rPr>
          <w:rFonts w:cstheme="minorHAnsi"/>
          <w:sz w:val="24"/>
          <w:szCs w:val="24"/>
        </w:rPr>
        <w:t>In an effort to</w:t>
      </w:r>
      <w:proofErr w:type="gramEnd"/>
      <w:r w:rsidRPr="00524D9F">
        <w:rPr>
          <w:rFonts w:cstheme="minorHAnsi"/>
          <w:sz w:val="24"/>
          <w:szCs w:val="24"/>
        </w:rPr>
        <w:t xml:space="preserve"> increase the number of students served by including all students with a DFW in fall general chemistry I, we transitioned the bridge course into a fully online J-term course. The course was thus cast into four one-week modules, using the elements of earth, air, fire, and water to examine fundamental chemical principles that are critical for success in general chemistry and beyond. In this article, we describe in detail the in-person and online implementations of the course and examine data on student outcomes.</w:t>
      </w:r>
    </w:p>
    <w:p w14:paraId="51AAD43E" w14:textId="77777777" w:rsidR="00524D9F" w:rsidRPr="00524D9F" w:rsidRDefault="00524D9F" w:rsidP="00AD1009">
      <w:pPr>
        <w:pStyle w:val="Heading1"/>
      </w:pPr>
      <w:r w:rsidRPr="00524D9F">
        <w:t>2. Theoretical Framework</w:t>
      </w:r>
    </w:p>
    <w:p w14:paraId="219D39AC" w14:textId="05E543A2" w:rsidR="00524D9F" w:rsidRPr="00524D9F" w:rsidRDefault="00524D9F" w:rsidP="00524D9F">
      <w:pPr>
        <w:rPr>
          <w:rFonts w:cstheme="minorHAnsi"/>
          <w:sz w:val="24"/>
          <w:szCs w:val="24"/>
        </w:rPr>
      </w:pPr>
      <w:r w:rsidRPr="00524D9F">
        <w:rPr>
          <w:rFonts w:cstheme="minorHAnsi"/>
          <w:sz w:val="24"/>
          <w:szCs w:val="24"/>
        </w:rPr>
        <w:t>A key theoretical framework underpinning this effort is Dweck’s growth mindset theory</w:t>
      </w:r>
      <w:r w:rsidRPr="003D5C42">
        <w:rPr>
          <w:rFonts w:cstheme="minorHAnsi"/>
          <w:b/>
          <w:bCs/>
          <w:sz w:val="24"/>
          <w:szCs w:val="24"/>
          <w:vertAlign w:val="superscript"/>
        </w:rPr>
        <w:t>64</w:t>
      </w:r>
      <w:r w:rsidRPr="0096137D">
        <w:rPr>
          <w:rFonts w:cstheme="minorHAnsi"/>
          <w:sz w:val="24"/>
          <w:szCs w:val="24"/>
          <w:vertAlign w:val="superscript"/>
        </w:rPr>
        <w:t>,</w:t>
      </w:r>
      <w:r w:rsidRPr="003D5C42">
        <w:rPr>
          <w:rFonts w:cstheme="minorHAnsi"/>
          <w:b/>
          <w:bCs/>
          <w:sz w:val="24"/>
          <w:szCs w:val="24"/>
          <w:vertAlign w:val="superscript"/>
        </w:rPr>
        <w:t>65</w:t>
      </w:r>
      <w:r w:rsidRPr="0096137D">
        <w:rPr>
          <w:rFonts w:cstheme="minorHAnsi"/>
          <w:sz w:val="24"/>
          <w:szCs w:val="24"/>
          <w:vertAlign w:val="superscript"/>
        </w:rPr>
        <w:t>,</w:t>
      </w:r>
      <w:r w:rsidRPr="003D5C42">
        <w:rPr>
          <w:rFonts w:cstheme="minorHAnsi"/>
          <w:b/>
          <w:bCs/>
          <w:sz w:val="24"/>
          <w:szCs w:val="24"/>
          <w:vertAlign w:val="superscript"/>
        </w:rPr>
        <w:t>66</w:t>
      </w:r>
      <w:r w:rsidRPr="0096137D">
        <w:rPr>
          <w:rFonts w:cstheme="minorHAnsi"/>
          <w:sz w:val="24"/>
          <w:szCs w:val="24"/>
          <w:vertAlign w:val="superscript"/>
        </w:rPr>
        <w:t>,</w:t>
      </w:r>
      <w:r w:rsidRPr="003D5C42">
        <w:rPr>
          <w:rFonts w:cstheme="minorHAnsi"/>
          <w:b/>
          <w:bCs/>
          <w:sz w:val="24"/>
          <w:szCs w:val="24"/>
          <w:vertAlign w:val="superscript"/>
        </w:rPr>
        <w:t>67</w:t>
      </w:r>
      <w:r w:rsidRPr="0096137D">
        <w:rPr>
          <w:rFonts w:cstheme="minorHAnsi"/>
          <w:sz w:val="24"/>
          <w:szCs w:val="24"/>
          <w:vertAlign w:val="superscript"/>
        </w:rPr>
        <w:t>,</w:t>
      </w:r>
      <w:r w:rsidRPr="003D5C42">
        <w:rPr>
          <w:rFonts w:cstheme="minorHAnsi"/>
          <w:b/>
          <w:bCs/>
          <w:sz w:val="24"/>
          <w:szCs w:val="24"/>
          <w:vertAlign w:val="superscript"/>
        </w:rPr>
        <w:t>68</w:t>
      </w:r>
      <w:r w:rsidRPr="0096137D">
        <w:rPr>
          <w:rFonts w:cstheme="minorHAnsi"/>
          <w:sz w:val="24"/>
          <w:szCs w:val="24"/>
          <w:vertAlign w:val="superscript"/>
        </w:rPr>
        <w:t>,</w:t>
      </w:r>
      <w:r w:rsidRPr="003D5C42">
        <w:rPr>
          <w:rFonts w:cstheme="minorHAnsi"/>
          <w:b/>
          <w:bCs/>
          <w:sz w:val="24"/>
          <w:szCs w:val="24"/>
          <w:vertAlign w:val="superscript"/>
        </w:rPr>
        <w:t>69</w:t>
      </w:r>
      <w:r w:rsidRPr="00524D9F">
        <w:rPr>
          <w:rFonts w:cstheme="minorHAnsi"/>
          <w:sz w:val="24"/>
          <w:szCs w:val="24"/>
        </w:rPr>
        <w:t>, which at its core centers on an individual’s response to (here, academic) difficulties and impediments. It is based upon the premise that intellectual ability is not fixed but rather is changeable and can be developed. Significant research to date has demonstrated that a growth mindset can lead to more positive outcomes and resiliency for students faced with academic difficulties</w:t>
      </w:r>
      <w:r w:rsidRPr="003D5C42">
        <w:rPr>
          <w:rFonts w:cstheme="minorHAnsi"/>
          <w:b/>
          <w:bCs/>
          <w:sz w:val="24"/>
          <w:szCs w:val="24"/>
          <w:vertAlign w:val="superscript"/>
        </w:rPr>
        <w:t>70</w:t>
      </w:r>
      <w:r w:rsidRPr="0096137D">
        <w:rPr>
          <w:rFonts w:cstheme="minorHAnsi"/>
          <w:sz w:val="24"/>
          <w:szCs w:val="24"/>
          <w:vertAlign w:val="superscript"/>
        </w:rPr>
        <w:t>,</w:t>
      </w:r>
      <w:r w:rsidRPr="003D5C42">
        <w:rPr>
          <w:rFonts w:cstheme="minorHAnsi"/>
          <w:b/>
          <w:bCs/>
          <w:sz w:val="24"/>
          <w:szCs w:val="24"/>
          <w:vertAlign w:val="superscript"/>
        </w:rPr>
        <w:t>71</w:t>
      </w:r>
      <w:r w:rsidRPr="00524D9F">
        <w:rPr>
          <w:rFonts w:cstheme="minorHAnsi"/>
          <w:sz w:val="24"/>
          <w:szCs w:val="24"/>
        </w:rPr>
        <w:t>. For example, a recent large study of 9th graders in the U.S. that evaluated the use of an online growth mindset intervention demonstrated both increased grades for at-risk students and increased retention in subsequent, more difficult math courses</w:t>
      </w:r>
      <w:r w:rsidRPr="003D5C42">
        <w:rPr>
          <w:rFonts w:cstheme="minorHAnsi"/>
          <w:b/>
          <w:bCs/>
          <w:sz w:val="24"/>
          <w:szCs w:val="24"/>
          <w:vertAlign w:val="superscript"/>
        </w:rPr>
        <w:t>72</w:t>
      </w:r>
      <w:r w:rsidRPr="00524D9F">
        <w:rPr>
          <w:rFonts w:cstheme="minorHAnsi"/>
          <w:sz w:val="24"/>
          <w:szCs w:val="24"/>
        </w:rPr>
        <w:t>. While other studies of mindset have shown mixed</w:t>
      </w:r>
      <w:r w:rsidRPr="003D5C42">
        <w:rPr>
          <w:rFonts w:cstheme="minorHAnsi"/>
          <w:b/>
          <w:bCs/>
          <w:sz w:val="24"/>
          <w:szCs w:val="24"/>
          <w:vertAlign w:val="superscript"/>
        </w:rPr>
        <w:t>73</w:t>
      </w:r>
      <w:r w:rsidRPr="00524D9F">
        <w:rPr>
          <w:rFonts w:cstheme="minorHAnsi"/>
          <w:sz w:val="24"/>
          <w:szCs w:val="24"/>
        </w:rPr>
        <w:t xml:space="preserve"> or even negative results</w:t>
      </w:r>
      <w:r w:rsidRPr="003D5C42">
        <w:rPr>
          <w:rFonts w:cstheme="minorHAnsi"/>
          <w:b/>
          <w:bCs/>
          <w:sz w:val="24"/>
          <w:szCs w:val="24"/>
          <w:vertAlign w:val="superscript"/>
        </w:rPr>
        <w:t>74</w:t>
      </w:r>
      <w:r w:rsidRPr="00524D9F">
        <w:rPr>
          <w:rFonts w:cstheme="minorHAnsi"/>
          <w:sz w:val="24"/>
          <w:szCs w:val="24"/>
        </w:rPr>
        <w:t>, a recent meta-analysis suggested that an association between mindset and achievement is both reproducible and significant</w:t>
      </w:r>
      <w:r w:rsidRPr="003D5C42">
        <w:rPr>
          <w:rFonts w:cstheme="minorHAnsi"/>
          <w:b/>
          <w:bCs/>
          <w:sz w:val="24"/>
          <w:szCs w:val="24"/>
          <w:vertAlign w:val="superscript"/>
        </w:rPr>
        <w:t>75</w:t>
      </w:r>
      <w:r w:rsidRPr="00524D9F">
        <w:rPr>
          <w:rFonts w:cstheme="minorHAnsi"/>
          <w:sz w:val="24"/>
          <w:szCs w:val="24"/>
        </w:rPr>
        <w:t>. Notably, there, it was emphasized that this association will be strongest for students facing academic difficulties, which can introduce a heterogeneity in effect size. With respect to the present effort, we hypothesize that students exhibiting a growth mindset will be more likely to participate in the offered intervention. Viewed through that lens, the entire bridge course can be considered as a type of growth mindset intervention.</w:t>
      </w:r>
    </w:p>
    <w:p w14:paraId="27BA4B96" w14:textId="77777777" w:rsidR="00524D9F" w:rsidRPr="00524D9F" w:rsidRDefault="00524D9F" w:rsidP="00414823">
      <w:pPr>
        <w:pStyle w:val="Heading1"/>
      </w:pPr>
      <w:r w:rsidRPr="00524D9F">
        <w:t>3. Guiding Research Question</w:t>
      </w:r>
    </w:p>
    <w:p w14:paraId="30F273A3" w14:textId="77777777" w:rsidR="00524D9F" w:rsidRPr="00524D9F" w:rsidRDefault="00524D9F" w:rsidP="00524D9F">
      <w:pPr>
        <w:rPr>
          <w:rFonts w:cstheme="minorHAnsi"/>
          <w:sz w:val="24"/>
          <w:szCs w:val="24"/>
        </w:rPr>
      </w:pPr>
      <w:r w:rsidRPr="00524D9F">
        <w:rPr>
          <w:rFonts w:cstheme="minorHAnsi"/>
          <w:sz w:val="24"/>
          <w:szCs w:val="24"/>
        </w:rPr>
        <w:t xml:space="preserve">The central question guiding this effort is the following: To what degree does participation in a voluntary bridging course impact student success in a retake of first-semester general chemistry? </w:t>
      </w:r>
      <w:r w:rsidRPr="00524D9F">
        <w:rPr>
          <w:rFonts w:cstheme="minorHAnsi"/>
          <w:sz w:val="24"/>
          <w:szCs w:val="24"/>
        </w:rPr>
        <w:lastRenderedPageBreak/>
        <w:t>While many other aspects (e.g., retention in STEM majors and performance in subsequent chemistry courses, including general chemistry II and organic chemistry) can be examined, these were not considered as a part of the current study, which examined only the immediate initial impact of the bridging course.</w:t>
      </w:r>
    </w:p>
    <w:p w14:paraId="604B0C41" w14:textId="77777777" w:rsidR="00524D9F" w:rsidRPr="00524D9F" w:rsidRDefault="00524D9F" w:rsidP="00414823">
      <w:pPr>
        <w:pStyle w:val="Heading1"/>
      </w:pPr>
      <w:r w:rsidRPr="00524D9F">
        <w:t>4. Initial Course Design, Student Recruitment Strategy, and Capture Rate</w:t>
      </w:r>
    </w:p>
    <w:p w14:paraId="3A2203DD" w14:textId="38BA7337" w:rsidR="00524D9F" w:rsidRPr="00524D9F" w:rsidRDefault="00524D9F" w:rsidP="00524D9F">
      <w:pPr>
        <w:rPr>
          <w:rFonts w:cstheme="minorHAnsi"/>
          <w:sz w:val="24"/>
          <w:szCs w:val="24"/>
        </w:rPr>
      </w:pPr>
      <w:r w:rsidRPr="00524D9F">
        <w:rPr>
          <w:rFonts w:cstheme="minorHAnsi"/>
          <w:sz w:val="24"/>
          <w:szCs w:val="24"/>
        </w:rPr>
        <w:t>Recognizing that student success in general chemistry goes beyond chemistry content to the fostering of critical academic skills, our initial design of the one-credit intervention course incorporated both specific chemistry content and academic skill development. The course outline, shown in </w:t>
      </w:r>
      <w:r w:rsidRPr="003D5C42">
        <w:rPr>
          <w:rFonts w:cstheme="minorHAnsi"/>
          <w:b/>
          <w:bCs/>
          <w:sz w:val="24"/>
          <w:szCs w:val="24"/>
        </w:rPr>
        <w:t>Table 1</w:t>
      </w:r>
      <w:r w:rsidRPr="00524D9F">
        <w:rPr>
          <w:rFonts w:cstheme="minorHAnsi"/>
          <w:sz w:val="24"/>
          <w:szCs w:val="24"/>
        </w:rPr>
        <w:t>, reflects a course design developed to emphasize important learning outcomes in the first-term course, including dimensional analysis, use of the periodic table, chemical bonding and intermolecular forces, and stoichiometry and limiting reagent. Interspersed with these topics were academic skill development activities, which included concept mapping, note taking, and formulating questions. Detailed examples of these activities are provided in the </w:t>
      </w:r>
      <w:r w:rsidRPr="003D5C42">
        <w:rPr>
          <w:rFonts w:cstheme="minorHAnsi"/>
          <w:b/>
          <w:bCs/>
          <w:sz w:val="24"/>
          <w:szCs w:val="24"/>
        </w:rPr>
        <w:t>supporting information</w:t>
      </w:r>
      <w:r w:rsidRPr="00524D9F">
        <w:rPr>
          <w:rFonts w:cstheme="minorHAnsi"/>
          <w:sz w:val="24"/>
          <w:szCs w:val="24"/>
        </w:rPr>
        <w:t>.</w:t>
      </w:r>
    </w:p>
    <w:p w14:paraId="45FAFE7D" w14:textId="77777777" w:rsidR="00524D9F" w:rsidRPr="0096137D" w:rsidRDefault="00524D9F" w:rsidP="00414823">
      <w:pPr>
        <w:pStyle w:val="NoSpacing"/>
        <w:rPr>
          <w:sz w:val="24"/>
          <w:szCs w:val="24"/>
        </w:rPr>
      </w:pPr>
      <w:r w:rsidRPr="0096137D">
        <w:rPr>
          <w:b/>
          <w:bCs/>
          <w:sz w:val="24"/>
          <w:szCs w:val="24"/>
        </w:rPr>
        <w:t>Table 1.</w:t>
      </w:r>
      <w:r w:rsidRPr="0096137D">
        <w:rPr>
          <w:sz w:val="24"/>
          <w:szCs w:val="24"/>
        </w:rPr>
        <w:t> Initial Course Design.</w:t>
      </w:r>
    </w:p>
    <w:tbl>
      <w:tblPr>
        <w:tblStyle w:val="TableGrid"/>
        <w:tblW w:w="0" w:type="auto"/>
        <w:tblLook w:val="04A0" w:firstRow="1" w:lastRow="0" w:firstColumn="1" w:lastColumn="0" w:noHBand="0" w:noVBand="1"/>
      </w:tblPr>
      <w:tblGrid>
        <w:gridCol w:w="778"/>
        <w:gridCol w:w="6260"/>
      </w:tblGrid>
      <w:tr w:rsidR="00FE7203" w14:paraId="36792EB6" w14:textId="77777777" w:rsidTr="0096137D">
        <w:tc>
          <w:tcPr>
            <w:tcW w:w="0" w:type="auto"/>
          </w:tcPr>
          <w:p w14:paraId="22C78824" w14:textId="6154DD45" w:rsidR="00FE7203" w:rsidRDefault="00FE7203" w:rsidP="00524D9F">
            <w:pPr>
              <w:rPr>
                <w:rFonts w:cstheme="minorHAnsi"/>
                <w:sz w:val="24"/>
                <w:szCs w:val="24"/>
              </w:rPr>
            </w:pPr>
            <w:r>
              <w:rPr>
                <w:rFonts w:cstheme="minorHAnsi"/>
                <w:sz w:val="24"/>
                <w:szCs w:val="24"/>
              </w:rPr>
              <w:t>Week</w:t>
            </w:r>
          </w:p>
        </w:tc>
        <w:tc>
          <w:tcPr>
            <w:tcW w:w="0" w:type="auto"/>
          </w:tcPr>
          <w:p w14:paraId="5BBE8174" w14:textId="20852990" w:rsidR="00FE7203" w:rsidRDefault="00FE7203" w:rsidP="00524D9F">
            <w:pPr>
              <w:rPr>
                <w:rFonts w:cstheme="minorHAnsi"/>
                <w:sz w:val="24"/>
                <w:szCs w:val="24"/>
              </w:rPr>
            </w:pPr>
            <w:r>
              <w:rPr>
                <w:rFonts w:cstheme="minorHAnsi"/>
                <w:sz w:val="24"/>
                <w:szCs w:val="24"/>
              </w:rPr>
              <w:t>Class Topics and Activities</w:t>
            </w:r>
          </w:p>
        </w:tc>
      </w:tr>
      <w:tr w:rsidR="00FE7203" w14:paraId="1962AB4F" w14:textId="77777777" w:rsidTr="0096137D">
        <w:trPr>
          <w:trHeight w:val="195"/>
        </w:trPr>
        <w:tc>
          <w:tcPr>
            <w:tcW w:w="0" w:type="auto"/>
          </w:tcPr>
          <w:p w14:paraId="6201C159" w14:textId="2F982D17" w:rsidR="00FE7203" w:rsidRDefault="00FE7203" w:rsidP="00524D9F">
            <w:pPr>
              <w:rPr>
                <w:rFonts w:cstheme="minorHAnsi"/>
                <w:sz w:val="24"/>
                <w:szCs w:val="24"/>
              </w:rPr>
            </w:pPr>
            <w:r>
              <w:rPr>
                <w:rFonts w:cstheme="minorHAnsi"/>
                <w:sz w:val="24"/>
                <w:szCs w:val="24"/>
              </w:rPr>
              <w:t>1</w:t>
            </w:r>
          </w:p>
        </w:tc>
        <w:tc>
          <w:tcPr>
            <w:tcW w:w="0" w:type="auto"/>
          </w:tcPr>
          <w:p w14:paraId="78636D3D" w14:textId="758C834F" w:rsidR="00FE7203" w:rsidRDefault="00FE7203" w:rsidP="00524D9F">
            <w:pPr>
              <w:rPr>
                <w:rFonts w:cstheme="minorHAnsi"/>
                <w:sz w:val="24"/>
                <w:szCs w:val="24"/>
              </w:rPr>
            </w:pPr>
            <w:r>
              <w:rPr>
                <w:rFonts w:cstheme="minorHAnsi"/>
                <w:sz w:val="24"/>
                <w:szCs w:val="24"/>
              </w:rPr>
              <w:t>Structure of the Atom</w:t>
            </w:r>
          </w:p>
        </w:tc>
      </w:tr>
      <w:tr w:rsidR="00FE7203" w14:paraId="1EBD0979" w14:textId="77777777" w:rsidTr="0096137D">
        <w:trPr>
          <w:trHeight w:val="195"/>
        </w:trPr>
        <w:tc>
          <w:tcPr>
            <w:tcW w:w="0" w:type="auto"/>
          </w:tcPr>
          <w:p w14:paraId="714C8C52" w14:textId="7BA586FE" w:rsidR="00FE7203" w:rsidRDefault="00FE7203" w:rsidP="00524D9F">
            <w:pPr>
              <w:rPr>
                <w:rFonts w:cstheme="minorHAnsi"/>
                <w:sz w:val="24"/>
                <w:szCs w:val="24"/>
              </w:rPr>
            </w:pPr>
            <w:r>
              <w:rPr>
                <w:rFonts w:cstheme="minorHAnsi"/>
                <w:sz w:val="24"/>
                <w:szCs w:val="24"/>
              </w:rPr>
              <w:t>1</w:t>
            </w:r>
          </w:p>
        </w:tc>
        <w:tc>
          <w:tcPr>
            <w:tcW w:w="0" w:type="auto"/>
          </w:tcPr>
          <w:p w14:paraId="20B01908" w14:textId="568AC01A" w:rsidR="00FE7203" w:rsidRDefault="00FE7203" w:rsidP="00524D9F">
            <w:pPr>
              <w:rPr>
                <w:rFonts w:cstheme="minorHAnsi"/>
                <w:sz w:val="24"/>
                <w:szCs w:val="24"/>
              </w:rPr>
            </w:pPr>
            <w:r>
              <w:rPr>
                <w:rFonts w:cstheme="minorHAnsi"/>
                <w:sz w:val="24"/>
                <w:szCs w:val="24"/>
              </w:rPr>
              <w:t>Concept Maps: Construction and Use</w:t>
            </w:r>
          </w:p>
        </w:tc>
      </w:tr>
      <w:tr w:rsidR="00FE7203" w14:paraId="2A67E97C" w14:textId="77777777" w:rsidTr="0096137D">
        <w:trPr>
          <w:trHeight w:val="295"/>
        </w:trPr>
        <w:tc>
          <w:tcPr>
            <w:tcW w:w="0" w:type="auto"/>
          </w:tcPr>
          <w:p w14:paraId="7952A9C5" w14:textId="528C292D" w:rsidR="00FE7203" w:rsidRDefault="00FE7203" w:rsidP="00524D9F">
            <w:pPr>
              <w:rPr>
                <w:rFonts w:cstheme="minorHAnsi"/>
                <w:sz w:val="24"/>
                <w:szCs w:val="24"/>
              </w:rPr>
            </w:pPr>
            <w:r>
              <w:rPr>
                <w:rFonts w:cstheme="minorHAnsi"/>
                <w:sz w:val="24"/>
                <w:szCs w:val="24"/>
              </w:rPr>
              <w:t>2</w:t>
            </w:r>
          </w:p>
        </w:tc>
        <w:tc>
          <w:tcPr>
            <w:tcW w:w="0" w:type="auto"/>
          </w:tcPr>
          <w:p w14:paraId="7347F3FB" w14:textId="2DFDC619" w:rsidR="00FE7203" w:rsidRDefault="00FE7203" w:rsidP="00524D9F">
            <w:pPr>
              <w:rPr>
                <w:rFonts w:cstheme="minorHAnsi"/>
                <w:sz w:val="24"/>
                <w:szCs w:val="24"/>
              </w:rPr>
            </w:pPr>
            <w:r>
              <w:rPr>
                <w:rFonts w:cstheme="minorHAnsi"/>
                <w:sz w:val="24"/>
                <w:szCs w:val="24"/>
              </w:rPr>
              <w:t>Thinking like a Chemist: What Element Am I?</w:t>
            </w:r>
          </w:p>
        </w:tc>
      </w:tr>
      <w:tr w:rsidR="00FE7203" w14:paraId="29F87B48" w14:textId="77777777" w:rsidTr="0096137D">
        <w:trPr>
          <w:trHeight w:val="295"/>
        </w:trPr>
        <w:tc>
          <w:tcPr>
            <w:tcW w:w="0" w:type="auto"/>
          </w:tcPr>
          <w:p w14:paraId="71A98429" w14:textId="1838BD48" w:rsidR="00FE7203" w:rsidRDefault="00FE7203" w:rsidP="00524D9F">
            <w:pPr>
              <w:rPr>
                <w:rFonts w:cstheme="minorHAnsi"/>
                <w:sz w:val="24"/>
                <w:szCs w:val="24"/>
              </w:rPr>
            </w:pPr>
            <w:r>
              <w:rPr>
                <w:rFonts w:cstheme="minorHAnsi"/>
                <w:sz w:val="24"/>
                <w:szCs w:val="24"/>
              </w:rPr>
              <w:t>2</w:t>
            </w:r>
          </w:p>
        </w:tc>
        <w:tc>
          <w:tcPr>
            <w:tcW w:w="0" w:type="auto"/>
          </w:tcPr>
          <w:p w14:paraId="0F401F2B" w14:textId="43156AD8" w:rsidR="00FE7203" w:rsidRDefault="00FE7203" w:rsidP="00524D9F">
            <w:pPr>
              <w:rPr>
                <w:rFonts w:cstheme="minorHAnsi"/>
                <w:sz w:val="24"/>
                <w:szCs w:val="24"/>
              </w:rPr>
            </w:pPr>
            <w:r>
              <w:rPr>
                <w:rFonts w:cstheme="minorHAnsi"/>
                <w:sz w:val="24"/>
                <w:szCs w:val="24"/>
              </w:rPr>
              <w:t>Scientific Reasoning and the Art of Deduction: Periodic Trends</w:t>
            </w:r>
          </w:p>
        </w:tc>
      </w:tr>
      <w:tr w:rsidR="00FE7203" w14:paraId="04C6C15E" w14:textId="77777777" w:rsidTr="0096137D">
        <w:trPr>
          <w:trHeight w:val="100"/>
        </w:trPr>
        <w:tc>
          <w:tcPr>
            <w:tcW w:w="0" w:type="auto"/>
          </w:tcPr>
          <w:p w14:paraId="6F74F2EA" w14:textId="19BDE79F" w:rsidR="00FE7203" w:rsidRDefault="00FE7203" w:rsidP="00524D9F">
            <w:pPr>
              <w:rPr>
                <w:rFonts w:cstheme="minorHAnsi"/>
                <w:sz w:val="24"/>
                <w:szCs w:val="24"/>
              </w:rPr>
            </w:pPr>
            <w:r>
              <w:rPr>
                <w:rFonts w:cstheme="minorHAnsi"/>
                <w:sz w:val="24"/>
                <w:szCs w:val="24"/>
              </w:rPr>
              <w:t>3</w:t>
            </w:r>
          </w:p>
        </w:tc>
        <w:tc>
          <w:tcPr>
            <w:tcW w:w="0" w:type="auto"/>
          </w:tcPr>
          <w:p w14:paraId="7497F60A" w14:textId="33190330" w:rsidR="00FE7203" w:rsidRDefault="00FE7203" w:rsidP="00524D9F">
            <w:pPr>
              <w:rPr>
                <w:rFonts w:cstheme="minorHAnsi"/>
                <w:sz w:val="24"/>
                <w:szCs w:val="24"/>
              </w:rPr>
            </w:pPr>
            <w:r>
              <w:rPr>
                <w:rFonts w:cstheme="minorHAnsi"/>
                <w:sz w:val="24"/>
                <w:szCs w:val="24"/>
              </w:rPr>
              <w:t>Dimensional Analysis</w:t>
            </w:r>
          </w:p>
        </w:tc>
      </w:tr>
      <w:tr w:rsidR="00FE7203" w14:paraId="66EE8CD0" w14:textId="77777777" w:rsidTr="0096137D">
        <w:trPr>
          <w:trHeight w:val="100"/>
        </w:trPr>
        <w:tc>
          <w:tcPr>
            <w:tcW w:w="0" w:type="auto"/>
          </w:tcPr>
          <w:p w14:paraId="1427AAA2" w14:textId="0A017C78" w:rsidR="00FE7203" w:rsidRDefault="00FE7203" w:rsidP="00524D9F">
            <w:pPr>
              <w:rPr>
                <w:rFonts w:cstheme="minorHAnsi"/>
                <w:sz w:val="24"/>
                <w:szCs w:val="24"/>
              </w:rPr>
            </w:pPr>
            <w:r>
              <w:rPr>
                <w:rFonts w:cstheme="minorHAnsi"/>
                <w:sz w:val="24"/>
                <w:szCs w:val="24"/>
              </w:rPr>
              <w:t>3</w:t>
            </w:r>
          </w:p>
        </w:tc>
        <w:tc>
          <w:tcPr>
            <w:tcW w:w="0" w:type="auto"/>
          </w:tcPr>
          <w:p w14:paraId="50C9C099" w14:textId="1E7AB9FF" w:rsidR="00FE7203" w:rsidRDefault="00FE7203" w:rsidP="00524D9F">
            <w:pPr>
              <w:rPr>
                <w:rFonts w:cstheme="minorHAnsi"/>
                <w:sz w:val="24"/>
                <w:szCs w:val="24"/>
              </w:rPr>
            </w:pPr>
            <w:r>
              <w:rPr>
                <w:rFonts w:cstheme="minorHAnsi"/>
                <w:sz w:val="24"/>
                <w:szCs w:val="24"/>
              </w:rPr>
              <w:t>Case Study in Dimensional Analysis</w:t>
            </w:r>
          </w:p>
        </w:tc>
      </w:tr>
      <w:tr w:rsidR="00FE7203" w14:paraId="33C01D9F" w14:textId="77777777" w:rsidTr="0096137D">
        <w:trPr>
          <w:trHeight w:val="100"/>
        </w:trPr>
        <w:tc>
          <w:tcPr>
            <w:tcW w:w="0" w:type="auto"/>
          </w:tcPr>
          <w:p w14:paraId="57F4DDA2" w14:textId="653E1E36" w:rsidR="00FE7203" w:rsidRDefault="00FE7203" w:rsidP="00524D9F">
            <w:pPr>
              <w:rPr>
                <w:rFonts w:cstheme="minorHAnsi"/>
                <w:sz w:val="24"/>
                <w:szCs w:val="24"/>
              </w:rPr>
            </w:pPr>
            <w:r>
              <w:rPr>
                <w:rFonts w:cstheme="minorHAnsi"/>
                <w:sz w:val="24"/>
                <w:szCs w:val="24"/>
              </w:rPr>
              <w:t>4</w:t>
            </w:r>
          </w:p>
        </w:tc>
        <w:tc>
          <w:tcPr>
            <w:tcW w:w="0" w:type="auto"/>
          </w:tcPr>
          <w:p w14:paraId="67E76950" w14:textId="26543F1B" w:rsidR="00FE7203" w:rsidRDefault="00FE7203" w:rsidP="00524D9F">
            <w:pPr>
              <w:rPr>
                <w:rFonts w:cstheme="minorHAnsi"/>
                <w:sz w:val="24"/>
                <w:szCs w:val="24"/>
              </w:rPr>
            </w:pPr>
            <w:r>
              <w:rPr>
                <w:rFonts w:cstheme="minorHAnsi"/>
                <w:sz w:val="24"/>
                <w:szCs w:val="24"/>
              </w:rPr>
              <w:t>Bonding over Questions</w:t>
            </w:r>
          </w:p>
        </w:tc>
      </w:tr>
      <w:tr w:rsidR="00FE7203" w14:paraId="48A0953E" w14:textId="77777777" w:rsidTr="0096137D">
        <w:trPr>
          <w:trHeight w:val="100"/>
        </w:trPr>
        <w:tc>
          <w:tcPr>
            <w:tcW w:w="0" w:type="auto"/>
          </w:tcPr>
          <w:p w14:paraId="7AF9488B" w14:textId="0905C43B" w:rsidR="00FE7203" w:rsidRDefault="00FE7203" w:rsidP="00524D9F">
            <w:pPr>
              <w:rPr>
                <w:rFonts w:cstheme="minorHAnsi"/>
                <w:sz w:val="24"/>
                <w:szCs w:val="24"/>
              </w:rPr>
            </w:pPr>
            <w:r>
              <w:rPr>
                <w:rFonts w:cstheme="minorHAnsi"/>
                <w:sz w:val="24"/>
                <w:szCs w:val="24"/>
              </w:rPr>
              <w:t>4</w:t>
            </w:r>
          </w:p>
        </w:tc>
        <w:tc>
          <w:tcPr>
            <w:tcW w:w="0" w:type="auto"/>
          </w:tcPr>
          <w:p w14:paraId="4860E792" w14:textId="7F186C1E" w:rsidR="00FE7203" w:rsidRDefault="00FE7203" w:rsidP="00524D9F">
            <w:pPr>
              <w:rPr>
                <w:rFonts w:cstheme="minorHAnsi"/>
                <w:sz w:val="24"/>
                <w:szCs w:val="24"/>
              </w:rPr>
            </w:pPr>
            <w:r>
              <w:rPr>
                <w:rFonts w:cstheme="minorHAnsi"/>
                <w:sz w:val="24"/>
                <w:szCs w:val="24"/>
              </w:rPr>
              <w:t>Formulating Good Questions in Science</w:t>
            </w:r>
          </w:p>
        </w:tc>
      </w:tr>
      <w:tr w:rsidR="00FE7203" w14:paraId="15439A6F" w14:textId="77777777" w:rsidTr="0096137D">
        <w:trPr>
          <w:trHeight w:val="100"/>
        </w:trPr>
        <w:tc>
          <w:tcPr>
            <w:tcW w:w="0" w:type="auto"/>
          </w:tcPr>
          <w:p w14:paraId="6C3D2464" w14:textId="66F8B94D" w:rsidR="00FE7203" w:rsidRDefault="00FE7203" w:rsidP="00524D9F">
            <w:pPr>
              <w:rPr>
                <w:rFonts w:cstheme="minorHAnsi"/>
                <w:sz w:val="24"/>
                <w:szCs w:val="24"/>
              </w:rPr>
            </w:pPr>
            <w:r>
              <w:rPr>
                <w:rFonts w:cstheme="minorHAnsi"/>
                <w:sz w:val="24"/>
                <w:szCs w:val="24"/>
              </w:rPr>
              <w:t>5</w:t>
            </w:r>
          </w:p>
        </w:tc>
        <w:tc>
          <w:tcPr>
            <w:tcW w:w="0" w:type="auto"/>
          </w:tcPr>
          <w:p w14:paraId="00AA030C" w14:textId="2379F840" w:rsidR="00FE7203" w:rsidRDefault="00FE7203" w:rsidP="00524D9F">
            <w:pPr>
              <w:rPr>
                <w:rFonts w:cstheme="minorHAnsi"/>
                <w:sz w:val="24"/>
                <w:szCs w:val="24"/>
              </w:rPr>
            </w:pPr>
            <w:r>
              <w:rPr>
                <w:rFonts w:cstheme="minorHAnsi"/>
                <w:sz w:val="24"/>
                <w:szCs w:val="24"/>
              </w:rPr>
              <w:t>Sticking Together in Chemistry</w:t>
            </w:r>
          </w:p>
        </w:tc>
      </w:tr>
      <w:tr w:rsidR="00FE7203" w14:paraId="285431A2" w14:textId="77777777" w:rsidTr="0096137D">
        <w:trPr>
          <w:trHeight w:val="100"/>
        </w:trPr>
        <w:tc>
          <w:tcPr>
            <w:tcW w:w="0" w:type="auto"/>
          </w:tcPr>
          <w:p w14:paraId="6B178506" w14:textId="1935698C" w:rsidR="00FE7203" w:rsidRDefault="00FE7203" w:rsidP="00524D9F">
            <w:pPr>
              <w:rPr>
                <w:rFonts w:cstheme="minorHAnsi"/>
                <w:sz w:val="24"/>
                <w:szCs w:val="24"/>
              </w:rPr>
            </w:pPr>
            <w:r>
              <w:rPr>
                <w:rFonts w:cstheme="minorHAnsi"/>
                <w:sz w:val="24"/>
                <w:szCs w:val="24"/>
              </w:rPr>
              <w:t>5</w:t>
            </w:r>
          </w:p>
        </w:tc>
        <w:tc>
          <w:tcPr>
            <w:tcW w:w="0" w:type="auto"/>
          </w:tcPr>
          <w:p w14:paraId="00571884" w14:textId="416ECE1E" w:rsidR="00FE7203" w:rsidRDefault="00FE7203" w:rsidP="00524D9F">
            <w:pPr>
              <w:rPr>
                <w:rFonts w:cstheme="minorHAnsi"/>
                <w:sz w:val="24"/>
                <w:szCs w:val="24"/>
              </w:rPr>
            </w:pPr>
            <w:r>
              <w:rPr>
                <w:rFonts w:cstheme="minorHAnsi"/>
                <w:sz w:val="24"/>
                <w:szCs w:val="24"/>
              </w:rPr>
              <w:t>Electronegativity and Intermolecular Forces</w:t>
            </w:r>
          </w:p>
        </w:tc>
      </w:tr>
      <w:tr w:rsidR="00FE7203" w14:paraId="5BAF5163" w14:textId="77777777" w:rsidTr="0096137D">
        <w:trPr>
          <w:trHeight w:val="100"/>
        </w:trPr>
        <w:tc>
          <w:tcPr>
            <w:tcW w:w="0" w:type="auto"/>
          </w:tcPr>
          <w:p w14:paraId="39CDEA01" w14:textId="1DBAD67D" w:rsidR="00FE7203" w:rsidRDefault="00FE7203" w:rsidP="00524D9F">
            <w:pPr>
              <w:rPr>
                <w:rFonts w:cstheme="minorHAnsi"/>
                <w:sz w:val="24"/>
                <w:szCs w:val="24"/>
              </w:rPr>
            </w:pPr>
            <w:r>
              <w:rPr>
                <w:rFonts w:cstheme="minorHAnsi"/>
                <w:sz w:val="24"/>
                <w:szCs w:val="24"/>
              </w:rPr>
              <w:t>6</w:t>
            </w:r>
          </w:p>
        </w:tc>
        <w:tc>
          <w:tcPr>
            <w:tcW w:w="0" w:type="auto"/>
          </w:tcPr>
          <w:p w14:paraId="2B970533" w14:textId="4511C4E9" w:rsidR="00FE7203" w:rsidRDefault="00FE7203" w:rsidP="00524D9F">
            <w:pPr>
              <w:rPr>
                <w:rFonts w:cstheme="minorHAnsi"/>
                <w:sz w:val="24"/>
                <w:szCs w:val="24"/>
              </w:rPr>
            </w:pPr>
            <w:r>
              <w:rPr>
                <w:rFonts w:cstheme="minorHAnsi"/>
                <w:sz w:val="24"/>
                <w:szCs w:val="24"/>
              </w:rPr>
              <w:t>Limitations in Chemistry: What is a Limiting Reactant?</w:t>
            </w:r>
          </w:p>
        </w:tc>
      </w:tr>
      <w:tr w:rsidR="00FE7203" w14:paraId="6FA1655F" w14:textId="77777777" w:rsidTr="0096137D">
        <w:trPr>
          <w:trHeight w:val="100"/>
        </w:trPr>
        <w:tc>
          <w:tcPr>
            <w:tcW w:w="0" w:type="auto"/>
          </w:tcPr>
          <w:p w14:paraId="4221ADE9" w14:textId="55BC0406" w:rsidR="00FE7203" w:rsidRDefault="00FE7203" w:rsidP="00524D9F">
            <w:pPr>
              <w:rPr>
                <w:rFonts w:cstheme="minorHAnsi"/>
                <w:sz w:val="24"/>
                <w:szCs w:val="24"/>
              </w:rPr>
            </w:pPr>
            <w:r>
              <w:rPr>
                <w:rFonts w:cstheme="minorHAnsi"/>
                <w:sz w:val="24"/>
                <w:szCs w:val="24"/>
              </w:rPr>
              <w:t>6</w:t>
            </w:r>
          </w:p>
        </w:tc>
        <w:tc>
          <w:tcPr>
            <w:tcW w:w="0" w:type="auto"/>
          </w:tcPr>
          <w:p w14:paraId="2119A37B" w14:textId="55F7F430" w:rsidR="00FE7203" w:rsidRDefault="00FE7203" w:rsidP="00524D9F">
            <w:pPr>
              <w:rPr>
                <w:rFonts w:cstheme="minorHAnsi"/>
                <w:sz w:val="24"/>
                <w:szCs w:val="24"/>
              </w:rPr>
            </w:pPr>
            <w:r>
              <w:rPr>
                <w:rFonts w:cstheme="minorHAnsi"/>
                <w:sz w:val="24"/>
                <w:szCs w:val="24"/>
              </w:rPr>
              <w:t>Strategies for Success in General Chemistry: Taking Notes</w:t>
            </w:r>
          </w:p>
        </w:tc>
      </w:tr>
    </w:tbl>
    <w:p w14:paraId="4901ED02" w14:textId="0490CCDB" w:rsidR="00524D9F" w:rsidRPr="00524D9F" w:rsidRDefault="00524D9F" w:rsidP="00524D9F">
      <w:pPr>
        <w:rPr>
          <w:rFonts w:cstheme="minorHAnsi"/>
          <w:sz w:val="24"/>
          <w:szCs w:val="24"/>
        </w:rPr>
      </w:pPr>
    </w:p>
    <w:p w14:paraId="69EE3945" w14:textId="77777777" w:rsidR="00524D9F" w:rsidRPr="00524D9F" w:rsidRDefault="00524D9F" w:rsidP="00524D9F">
      <w:pPr>
        <w:rPr>
          <w:rFonts w:cstheme="minorHAnsi"/>
          <w:sz w:val="24"/>
          <w:szCs w:val="24"/>
        </w:rPr>
      </w:pPr>
      <w:r w:rsidRPr="00524D9F">
        <w:rPr>
          <w:rFonts w:cstheme="minorHAnsi"/>
          <w:sz w:val="24"/>
          <w:szCs w:val="24"/>
        </w:rPr>
        <w:t>The course met for six weeks, 75 min per week, and was implemented in a “flipped” format, with a video lecture and associated homework set posted each week, which students were asked to complete prior to coming to class. Each class session then focused on interactive activities centered around the weekly topics. Grading was on an S/U (Satisfactory/Unsatisfactory) scale based upon activity completion, attendance, and classroom participation.</w:t>
      </w:r>
    </w:p>
    <w:p w14:paraId="7317FA35" w14:textId="79DC0824" w:rsidR="00524D9F" w:rsidRPr="00524D9F" w:rsidRDefault="00524D9F" w:rsidP="00524D9F">
      <w:pPr>
        <w:rPr>
          <w:rFonts w:cstheme="minorHAnsi"/>
          <w:sz w:val="24"/>
          <w:szCs w:val="24"/>
        </w:rPr>
      </w:pPr>
      <w:r w:rsidRPr="00524D9F">
        <w:rPr>
          <w:rFonts w:cstheme="minorHAnsi"/>
          <w:sz w:val="24"/>
          <w:szCs w:val="24"/>
        </w:rPr>
        <w:t>In the in-semester implementation, students were recruited into the course following the second assessment (exam) in general chemistry I. A flyer (</w:t>
      </w:r>
      <w:r w:rsidRPr="003D5C42">
        <w:rPr>
          <w:rFonts w:cstheme="minorHAnsi"/>
          <w:b/>
          <w:bCs/>
          <w:sz w:val="24"/>
          <w:szCs w:val="24"/>
        </w:rPr>
        <w:t>Figure S1</w:t>
      </w:r>
      <w:r w:rsidRPr="00524D9F">
        <w:rPr>
          <w:rFonts w:cstheme="minorHAnsi"/>
          <w:sz w:val="24"/>
          <w:szCs w:val="24"/>
        </w:rPr>
        <w:t>; note that the prefix S indicates material in the </w:t>
      </w:r>
      <w:r w:rsidRPr="003D5C42">
        <w:rPr>
          <w:rFonts w:cstheme="minorHAnsi"/>
          <w:b/>
          <w:bCs/>
          <w:sz w:val="24"/>
          <w:szCs w:val="24"/>
        </w:rPr>
        <w:t>supporting information</w:t>
      </w:r>
      <w:r w:rsidRPr="00524D9F">
        <w:rPr>
          <w:rFonts w:cstheme="minorHAnsi"/>
          <w:sz w:val="24"/>
          <w:szCs w:val="24"/>
        </w:rPr>
        <w:t xml:space="preserve">) was prepared for publicizing the course, and all general </w:t>
      </w:r>
      <w:proofErr w:type="gramStart"/>
      <w:r w:rsidRPr="00524D9F">
        <w:rPr>
          <w:rFonts w:cstheme="minorHAnsi"/>
          <w:sz w:val="24"/>
          <w:szCs w:val="24"/>
        </w:rPr>
        <w:t>chemistry I</w:t>
      </w:r>
      <w:proofErr w:type="gramEnd"/>
      <w:r w:rsidRPr="00524D9F">
        <w:rPr>
          <w:rFonts w:cstheme="minorHAnsi"/>
          <w:sz w:val="24"/>
          <w:szCs w:val="24"/>
        </w:rPr>
        <w:t xml:space="preserve"> instructors were asked to disseminate information about the course. The course enrollment occurred via permission, but the course was open to any student who began the semester in general chemistry I. To </w:t>
      </w:r>
      <w:proofErr w:type="gramStart"/>
      <w:r w:rsidRPr="00524D9F">
        <w:rPr>
          <w:rFonts w:cstheme="minorHAnsi"/>
          <w:sz w:val="24"/>
          <w:szCs w:val="24"/>
        </w:rPr>
        <w:t>gain entry into</w:t>
      </w:r>
      <w:proofErr w:type="gramEnd"/>
      <w:r w:rsidRPr="00524D9F">
        <w:rPr>
          <w:rFonts w:cstheme="minorHAnsi"/>
          <w:sz w:val="24"/>
          <w:szCs w:val="24"/>
        </w:rPr>
        <w:t xml:space="preserve"> the course, students were required to withdraw from general chemistry I. As this essentially swapped four credits for one credit, additional tuition was not charged.</w:t>
      </w:r>
    </w:p>
    <w:p w14:paraId="79E6C3E7" w14:textId="77777777" w:rsidR="00524D9F" w:rsidRPr="00524D9F" w:rsidRDefault="00524D9F" w:rsidP="00524D9F">
      <w:pPr>
        <w:rPr>
          <w:rFonts w:cstheme="minorHAnsi"/>
          <w:sz w:val="24"/>
          <w:szCs w:val="24"/>
        </w:rPr>
      </w:pPr>
      <w:r w:rsidRPr="00524D9F">
        <w:rPr>
          <w:rFonts w:cstheme="minorHAnsi"/>
          <w:sz w:val="24"/>
          <w:szCs w:val="24"/>
        </w:rPr>
        <w:lastRenderedPageBreak/>
        <w:t>The course was run in this format for three years. Considering the capture rate, during this period, a total of 2193 students enrolled in the fall-semester general chemistry I course across all sections, taught by various instructors. Of these students, a total of 183 (8.3%) withdrew from the course, and 38 of these (20.8%) enrolled in the bridge course.</w:t>
      </w:r>
    </w:p>
    <w:p w14:paraId="24F6707A" w14:textId="77777777" w:rsidR="00524D9F" w:rsidRPr="00524D9F" w:rsidRDefault="00524D9F" w:rsidP="00CC2C8A">
      <w:pPr>
        <w:pStyle w:val="Heading1"/>
      </w:pPr>
      <w:r w:rsidRPr="00524D9F">
        <w:t>5. Online Course Design, Student Recruitment Strategy, and Capture Rate</w:t>
      </w:r>
    </w:p>
    <w:p w14:paraId="1D45C007" w14:textId="60A79A7B" w:rsidR="00524D9F" w:rsidRPr="00524D9F" w:rsidRDefault="00524D9F" w:rsidP="00524D9F">
      <w:pPr>
        <w:rPr>
          <w:rFonts w:cstheme="minorHAnsi"/>
          <w:sz w:val="24"/>
          <w:szCs w:val="24"/>
        </w:rPr>
      </w:pPr>
      <w:r w:rsidRPr="00524D9F">
        <w:rPr>
          <w:rFonts w:cstheme="minorHAnsi"/>
          <w:sz w:val="24"/>
          <w:szCs w:val="24"/>
        </w:rPr>
        <w:t>In 2019, the university instituted an online 4-week J-term during the break between fall and spring semesters. With the goal of capturing a larger fraction of students with DFW outcomes in general chemistry I, the decision was made to switch the course to a J-term course. This involved a restructuring of the course and the development of online content. The decision was made to reorganize the chemistry content along four themes aligned with the four ancient elements of air, earth, fire, and water. The modules and their detailed learning objectives are shown in </w:t>
      </w:r>
      <w:r w:rsidRPr="003D5C42">
        <w:rPr>
          <w:rFonts w:cstheme="minorHAnsi"/>
          <w:b/>
          <w:bCs/>
          <w:sz w:val="24"/>
          <w:szCs w:val="24"/>
        </w:rPr>
        <w:t>Table 2</w:t>
      </w:r>
      <w:r w:rsidRPr="00524D9F">
        <w:rPr>
          <w:rFonts w:cstheme="minorHAnsi"/>
          <w:sz w:val="24"/>
          <w:szCs w:val="24"/>
        </w:rPr>
        <w:t>, while detailed worksheets for each module are provided in the </w:t>
      </w:r>
      <w:r w:rsidRPr="003D5C42">
        <w:rPr>
          <w:rFonts w:cstheme="minorHAnsi"/>
          <w:b/>
          <w:bCs/>
          <w:sz w:val="24"/>
          <w:szCs w:val="24"/>
        </w:rPr>
        <w:t>supporting information</w:t>
      </w:r>
      <w:r w:rsidRPr="00524D9F">
        <w:rPr>
          <w:rFonts w:cstheme="minorHAnsi"/>
          <w:sz w:val="24"/>
          <w:szCs w:val="24"/>
        </w:rPr>
        <w:t>.</w:t>
      </w:r>
    </w:p>
    <w:p w14:paraId="17E49FDE" w14:textId="77777777" w:rsidR="00524D9F" w:rsidRPr="0096137D" w:rsidRDefault="00524D9F" w:rsidP="00CC2C8A">
      <w:pPr>
        <w:pStyle w:val="NoSpacing"/>
        <w:rPr>
          <w:sz w:val="24"/>
          <w:szCs w:val="24"/>
        </w:rPr>
      </w:pPr>
      <w:r w:rsidRPr="0096137D">
        <w:rPr>
          <w:b/>
          <w:bCs/>
          <w:sz w:val="24"/>
          <w:szCs w:val="24"/>
        </w:rPr>
        <w:t>Table 2.</w:t>
      </w:r>
      <w:r w:rsidRPr="0096137D">
        <w:rPr>
          <w:sz w:val="24"/>
          <w:szCs w:val="24"/>
        </w:rPr>
        <w:t> Online Course Modules and Learning Objectives.</w:t>
      </w:r>
    </w:p>
    <w:tbl>
      <w:tblPr>
        <w:tblStyle w:val="TableGrid"/>
        <w:tblW w:w="0" w:type="auto"/>
        <w:tblLook w:val="04A0" w:firstRow="1" w:lastRow="0" w:firstColumn="1" w:lastColumn="0" w:noHBand="0" w:noVBand="1"/>
      </w:tblPr>
      <w:tblGrid>
        <w:gridCol w:w="10070"/>
      </w:tblGrid>
      <w:tr w:rsidR="00CC2C8A" w14:paraId="0B95AD07" w14:textId="77777777" w:rsidTr="00CC2C8A">
        <w:tc>
          <w:tcPr>
            <w:tcW w:w="10070" w:type="dxa"/>
          </w:tcPr>
          <w:p w14:paraId="70B5DABE" w14:textId="6F5F3EBE" w:rsidR="00CC2C8A" w:rsidRPr="00677D05" w:rsidRDefault="00CC2C8A" w:rsidP="0096137D">
            <w:pPr>
              <w:ind w:left="334" w:hanging="334"/>
              <w:rPr>
                <w:rFonts w:cstheme="minorHAnsi"/>
                <w:b/>
                <w:bCs/>
                <w:sz w:val="24"/>
                <w:szCs w:val="24"/>
              </w:rPr>
            </w:pPr>
            <w:r w:rsidRPr="00677D05">
              <w:rPr>
                <w:rFonts w:cstheme="minorHAnsi"/>
                <w:b/>
                <w:bCs/>
                <w:sz w:val="24"/>
                <w:szCs w:val="24"/>
              </w:rPr>
              <w:t>Module 1: The Air that We Breathe</w:t>
            </w:r>
          </w:p>
        </w:tc>
      </w:tr>
      <w:tr w:rsidR="00CC2C8A" w14:paraId="26A49CA9" w14:textId="77777777" w:rsidTr="00CC2C8A">
        <w:tc>
          <w:tcPr>
            <w:tcW w:w="10070" w:type="dxa"/>
          </w:tcPr>
          <w:p w14:paraId="081B9EB8" w14:textId="4138630A" w:rsidR="00CC2C8A" w:rsidRDefault="00CC2C8A" w:rsidP="0096137D">
            <w:pPr>
              <w:ind w:left="334" w:hanging="334"/>
              <w:rPr>
                <w:rFonts w:cstheme="minorHAnsi"/>
                <w:sz w:val="24"/>
                <w:szCs w:val="24"/>
              </w:rPr>
            </w:pPr>
            <w:r>
              <w:rPr>
                <w:rFonts w:cstheme="minorHAnsi"/>
                <w:sz w:val="24"/>
                <w:szCs w:val="24"/>
              </w:rPr>
              <w:t>Define the important classifications of matter, distinguishing between mixtures and pure substances and between physical and chemical properties</w:t>
            </w:r>
          </w:p>
        </w:tc>
      </w:tr>
      <w:tr w:rsidR="00CC2C8A" w14:paraId="6409F01B" w14:textId="77777777" w:rsidTr="00CC2C8A">
        <w:tc>
          <w:tcPr>
            <w:tcW w:w="10070" w:type="dxa"/>
          </w:tcPr>
          <w:p w14:paraId="141AD27E" w14:textId="6CBC4104" w:rsidR="005E5E22" w:rsidRDefault="00CC2C8A" w:rsidP="0096137D">
            <w:pPr>
              <w:ind w:left="334" w:hanging="334"/>
              <w:rPr>
                <w:rFonts w:cstheme="minorHAnsi"/>
                <w:sz w:val="24"/>
                <w:szCs w:val="24"/>
              </w:rPr>
            </w:pPr>
            <w:r>
              <w:rPr>
                <w:rFonts w:cstheme="minorHAnsi"/>
                <w:sz w:val="24"/>
                <w:szCs w:val="24"/>
              </w:rPr>
              <w:t xml:space="preserve">Use developed guidelines </w:t>
            </w:r>
            <w:r w:rsidR="005E5E22">
              <w:rPr>
                <w:rFonts w:cstheme="minorHAnsi"/>
                <w:sz w:val="24"/>
                <w:szCs w:val="24"/>
              </w:rPr>
              <w:t>to determine significant figures in numerical measurement and in calculations</w:t>
            </w:r>
          </w:p>
        </w:tc>
      </w:tr>
      <w:tr w:rsidR="00CC2C8A" w14:paraId="680A2785" w14:textId="77777777" w:rsidTr="00CC2C8A">
        <w:tc>
          <w:tcPr>
            <w:tcW w:w="10070" w:type="dxa"/>
          </w:tcPr>
          <w:p w14:paraId="6C4D2ED2" w14:textId="58D82657" w:rsidR="00CC2C8A" w:rsidRDefault="005E5E22" w:rsidP="0096137D">
            <w:pPr>
              <w:ind w:left="334" w:hanging="334"/>
              <w:rPr>
                <w:rFonts w:cstheme="minorHAnsi"/>
                <w:sz w:val="24"/>
                <w:szCs w:val="24"/>
              </w:rPr>
            </w:pPr>
            <w:r>
              <w:rPr>
                <w:rFonts w:cstheme="minorHAnsi"/>
                <w:sz w:val="24"/>
                <w:szCs w:val="24"/>
              </w:rPr>
              <w:t>Demonstrate use of dimensional analysis to solve problems</w:t>
            </w:r>
          </w:p>
        </w:tc>
      </w:tr>
      <w:tr w:rsidR="00CC2C8A" w14:paraId="20995BB7" w14:textId="77777777" w:rsidTr="00CC2C8A">
        <w:tc>
          <w:tcPr>
            <w:tcW w:w="10070" w:type="dxa"/>
          </w:tcPr>
          <w:p w14:paraId="689B159F" w14:textId="051852EE" w:rsidR="005E5E22" w:rsidRDefault="005E5E22" w:rsidP="0096137D">
            <w:pPr>
              <w:ind w:left="334" w:hanging="334"/>
              <w:rPr>
                <w:rFonts w:cstheme="minorHAnsi"/>
                <w:sz w:val="24"/>
                <w:szCs w:val="24"/>
              </w:rPr>
            </w:pPr>
            <w:r>
              <w:rPr>
                <w:rFonts w:cstheme="minorHAnsi"/>
                <w:sz w:val="24"/>
                <w:szCs w:val="24"/>
              </w:rPr>
              <w:t>Describe Lewis dot symbols, write symbols for main group elements, and draw Lewis structures for simple molecules</w:t>
            </w:r>
          </w:p>
        </w:tc>
      </w:tr>
      <w:tr w:rsidR="00CC2C8A" w14:paraId="264358A8" w14:textId="77777777" w:rsidTr="00CC2C8A">
        <w:tc>
          <w:tcPr>
            <w:tcW w:w="10070" w:type="dxa"/>
          </w:tcPr>
          <w:p w14:paraId="366044FC" w14:textId="40E07AC5" w:rsidR="00CC2C8A" w:rsidRPr="00677D05" w:rsidRDefault="005E5E22" w:rsidP="0096137D">
            <w:pPr>
              <w:ind w:left="334" w:hanging="334"/>
              <w:rPr>
                <w:rFonts w:cstheme="minorHAnsi"/>
                <w:b/>
                <w:bCs/>
                <w:sz w:val="24"/>
                <w:szCs w:val="24"/>
              </w:rPr>
            </w:pPr>
            <w:r w:rsidRPr="00677D05">
              <w:rPr>
                <w:rFonts w:cstheme="minorHAnsi"/>
                <w:b/>
                <w:bCs/>
                <w:sz w:val="24"/>
                <w:szCs w:val="24"/>
              </w:rPr>
              <w:t>Module 2: Of Elements and Earth</w:t>
            </w:r>
          </w:p>
        </w:tc>
      </w:tr>
      <w:tr w:rsidR="00CC2C8A" w14:paraId="0450AA01" w14:textId="77777777" w:rsidTr="00CC2C8A">
        <w:tc>
          <w:tcPr>
            <w:tcW w:w="10070" w:type="dxa"/>
          </w:tcPr>
          <w:p w14:paraId="00ACE819" w14:textId="20E937DB" w:rsidR="00CC2C8A" w:rsidRDefault="005E5E22" w:rsidP="0096137D">
            <w:pPr>
              <w:ind w:left="334" w:hanging="334"/>
              <w:rPr>
                <w:rFonts w:cstheme="minorHAnsi"/>
                <w:sz w:val="24"/>
                <w:szCs w:val="24"/>
              </w:rPr>
            </w:pPr>
            <w:r>
              <w:rPr>
                <w:rFonts w:cstheme="minorHAnsi"/>
                <w:sz w:val="24"/>
                <w:szCs w:val="24"/>
              </w:rPr>
              <w:t xml:space="preserve">Discuss periodic trends in properties among the main group elements and their ions using trends </w:t>
            </w:r>
            <w:r w:rsidR="00677D05">
              <w:rPr>
                <w:rFonts w:cstheme="minorHAnsi"/>
                <w:sz w:val="24"/>
                <w:szCs w:val="24"/>
              </w:rPr>
              <w:t>in atomic radii, ionization energy, and electron affinity</w:t>
            </w:r>
          </w:p>
        </w:tc>
      </w:tr>
      <w:tr w:rsidR="00CC2C8A" w14:paraId="1BDA3BD0" w14:textId="77777777" w:rsidTr="00CC2C8A">
        <w:tc>
          <w:tcPr>
            <w:tcW w:w="10070" w:type="dxa"/>
          </w:tcPr>
          <w:p w14:paraId="25968E35" w14:textId="7183BF1C" w:rsidR="00CC2C8A" w:rsidRDefault="00677D05" w:rsidP="0096137D">
            <w:pPr>
              <w:ind w:left="334" w:hanging="334"/>
              <w:rPr>
                <w:rFonts w:cstheme="minorHAnsi"/>
                <w:sz w:val="24"/>
                <w:szCs w:val="24"/>
              </w:rPr>
            </w:pPr>
            <w:r>
              <w:rPr>
                <w:rFonts w:cstheme="minorHAnsi"/>
                <w:sz w:val="24"/>
                <w:szCs w:val="24"/>
              </w:rPr>
              <w:t>Differentiate between ionic, covalent, and metallic bonding, comparing and contrasting properties of each</w:t>
            </w:r>
          </w:p>
        </w:tc>
      </w:tr>
      <w:tr w:rsidR="00CC2C8A" w14:paraId="0225C786" w14:textId="77777777" w:rsidTr="00CC2C8A">
        <w:tc>
          <w:tcPr>
            <w:tcW w:w="10070" w:type="dxa"/>
          </w:tcPr>
          <w:p w14:paraId="1E3569BA" w14:textId="26BA4F9F" w:rsidR="00CC2C8A" w:rsidRDefault="00677D05" w:rsidP="0096137D">
            <w:pPr>
              <w:ind w:left="334" w:hanging="334"/>
              <w:rPr>
                <w:rFonts w:cstheme="minorHAnsi"/>
                <w:sz w:val="24"/>
                <w:szCs w:val="24"/>
              </w:rPr>
            </w:pPr>
            <w:r>
              <w:rPr>
                <w:rFonts w:cstheme="minorHAnsi"/>
                <w:sz w:val="24"/>
                <w:szCs w:val="24"/>
              </w:rPr>
              <w:t>Describe periodic trends in ionization energy and electron affinity</w:t>
            </w:r>
          </w:p>
        </w:tc>
      </w:tr>
      <w:tr w:rsidR="00CC2C8A" w14:paraId="5F1354B8" w14:textId="77777777" w:rsidTr="00CC2C8A">
        <w:tc>
          <w:tcPr>
            <w:tcW w:w="10070" w:type="dxa"/>
          </w:tcPr>
          <w:p w14:paraId="7E640B52" w14:textId="1D83D35D" w:rsidR="00CC2C8A" w:rsidRDefault="00677D05" w:rsidP="0096137D">
            <w:pPr>
              <w:ind w:left="334" w:hanging="334"/>
              <w:rPr>
                <w:rFonts w:cstheme="minorHAnsi"/>
                <w:sz w:val="24"/>
                <w:szCs w:val="24"/>
              </w:rPr>
            </w:pPr>
            <w:r>
              <w:rPr>
                <w:rFonts w:cstheme="minorHAnsi"/>
                <w:sz w:val="24"/>
                <w:szCs w:val="24"/>
              </w:rPr>
              <w:t>Compare and contrast properties of metals and non-metals</w:t>
            </w:r>
          </w:p>
        </w:tc>
      </w:tr>
      <w:tr w:rsidR="00CC2C8A" w14:paraId="11E0E64C" w14:textId="77777777" w:rsidTr="00677D05">
        <w:trPr>
          <w:trHeight w:val="260"/>
        </w:trPr>
        <w:tc>
          <w:tcPr>
            <w:tcW w:w="10070" w:type="dxa"/>
          </w:tcPr>
          <w:p w14:paraId="03A5FCD3" w14:textId="6ADF3EBC" w:rsidR="00CC2C8A" w:rsidRPr="00677D05" w:rsidRDefault="00677D05" w:rsidP="0096137D">
            <w:pPr>
              <w:ind w:left="334" w:hanging="334"/>
              <w:rPr>
                <w:rFonts w:cstheme="minorHAnsi"/>
                <w:b/>
                <w:bCs/>
                <w:sz w:val="24"/>
                <w:szCs w:val="24"/>
              </w:rPr>
            </w:pPr>
            <w:r w:rsidRPr="00677D05">
              <w:rPr>
                <w:rFonts w:cstheme="minorHAnsi"/>
                <w:b/>
                <w:bCs/>
                <w:sz w:val="24"/>
                <w:szCs w:val="24"/>
              </w:rPr>
              <w:t>Module 3: Fire and Flame</w:t>
            </w:r>
          </w:p>
        </w:tc>
      </w:tr>
      <w:tr w:rsidR="00CC2C8A" w14:paraId="36FB67DE" w14:textId="77777777" w:rsidTr="00CC2C8A">
        <w:tc>
          <w:tcPr>
            <w:tcW w:w="10070" w:type="dxa"/>
          </w:tcPr>
          <w:p w14:paraId="7BEFBB8F" w14:textId="7A379912" w:rsidR="00CC2C8A" w:rsidRDefault="00677D05" w:rsidP="0096137D">
            <w:pPr>
              <w:ind w:left="334" w:hanging="334"/>
              <w:rPr>
                <w:rFonts w:cstheme="minorHAnsi"/>
                <w:sz w:val="24"/>
                <w:szCs w:val="24"/>
              </w:rPr>
            </w:pPr>
            <w:r>
              <w:rPr>
                <w:rFonts w:cstheme="minorHAnsi"/>
                <w:sz w:val="24"/>
                <w:szCs w:val="24"/>
              </w:rPr>
              <w:t>Write and balance equations for simple chemical reactions, including the physical state of reactant and product</w:t>
            </w:r>
          </w:p>
        </w:tc>
      </w:tr>
      <w:tr w:rsidR="00CC2C8A" w14:paraId="716A6199" w14:textId="77777777" w:rsidTr="00CC2C8A">
        <w:tc>
          <w:tcPr>
            <w:tcW w:w="10070" w:type="dxa"/>
          </w:tcPr>
          <w:p w14:paraId="65CC807E" w14:textId="515762FD" w:rsidR="00CC2C8A" w:rsidRDefault="00677D05" w:rsidP="0096137D">
            <w:pPr>
              <w:ind w:left="334" w:hanging="334"/>
              <w:rPr>
                <w:rFonts w:cstheme="minorHAnsi"/>
                <w:sz w:val="24"/>
                <w:szCs w:val="24"/>
              </w:rPr>
            </w:pPr>
            <w:r>
              <w:rPr>
                <w:rFonts w:cstheme="minorHAnsi"/>
                <w:sz w:val="24"/>
                <w:szCs w:val="24"/>
              </w:rPr>
              <w:t>Differentiate endothermic and exothermic processes connecting to the first law of thermodynamics</w:t>
            </w:r>
          </w:p>
        </w:tc>
      </w:tr>
      <w:tr w:rsidR="00CC2C8A" w14:paraId="40D6FAC9" w14:textId="77777777" w:rsidTr="00CC2C8A">
        <w:tc>
          <w:tcPr>
            <w:tcW w:w="10070" w:type="dxa"/>
          </w:tcPr>
          <w:p w14:paraId="192F2624" w14:textId="261B014A" w:rsidR="00CC2C8A" w:rsidRDefault="00677D05" w:rsidP="0096137D">
            <w:pPr>
              <w:ind w:left="334" w:hanging="334"/>
              <w:rPr>
                <w:rFonts w:cstheme="minorHAnsi"/>
                <w:sz w:val="24"/>
                <w:szCs w:val="24"/>
              </w:rPr>
            </w:pPr>
            <w:r>
              <w:rPr>
                <w:rFonts w:cstheme="minorHAnsi"/>
                <w:sz w:val="24"/>
                <w:szCs w:val="24"/>
              </w:rPr>
              <w:t>Define enthalpy and discuss why it is a useful variable for heat transferred in reaction</w:t>
            </w:r>
          </w:p>
        </w:tc>
      </w:tr>
      <w:tr w:rsidR="00CC2C8A" w14:paraId="7EFC16D7" w14:textId="77777777" w:rsidTr="00CC2C8A">
        <w:tc>
          <w:tcPr>
            <w:tcW w:w="10070" w:type="dxa"/>
          </w:tcPr>
          <w:p w14:paraId="125FC458" w14:textId="2579D84F" w:rsidR="00CC2C8A" w:rsidRDefault="00677D05" w:rsidP="0096137D">
            <w:pPr>
              <w:ind w:left="334" w:hanging="334"/>
              <w:rPr>
                <w:rFonts w:cstheme="minorHAnsi"/>
                <w:sz w:val="24"/>
                <w:szCs w:val="24"/>
              </w:rPr>
            </w:pPr>
            <w:r>
              <w:rPr>
                <w:rFonts w:cstheme="minorHAnsi"/>
                <w:sz w:val="24"/>
                <w:szCs w:val="24"/>
              </w:rPr>
              <w:t>Calculate enthalpy changes for reactions using different approaches</w:t>
            </w:r>
          </w:p>
        </w:tc>
      </w:tr>
      <w:tr w:rsidR="00CC2C8A" w14:paraId="6CECD067" w14:textId="77777777" w:rsidTr="00CC2C8A">
        <w:tc>
          <w:tcPr>
            <w:tcW w:w="10070" w:type="dxa"/>
          </w:tcPr>
          <w:p w14:paraId="2805431F" w14:textId="5DE4B76E" w:rsidR="00CC2C8A" w:rsidRPr="00677D05" w:rsidRDefault="00677D05" w:rsidP="0096137D">
            <w:pPr>
              <w:ind w:left="334" w:hanging="334"/>
              <w:rPr>
                <w:rFonts w:cstheme="minorHAnsi"/>
                <w:b/>
                <w:bCs/>
                <w:sz w:val="24"/>
                <w:szCs w:val="24"/>
              </w:rPr>
            </w:pPr>
            <w:r w:rsidRPr="00677D05">
              <w:rPr>
                <w:rFonts w:cstheme="minorHAnsi"/>
                <w:b/>
                <w:bCs/>
                <w:sz w:val="24"/>
                <w:szCs w:val="24"/>
              </w:rPr>
              <w:t>Module 4: Water is the Solvent of Life</w:t>
            </w:r>
          </w:p>
        </w:tc>
      </w:tr>
      <w:tr w:rsidR="00CC2C8A" w14:paraId="385869C0" w14:textId="77777777" w:rsidTr="00CC2C8A">
        <w:tc>
          <w:tcPr>
            <w:tcW w:w="10070" w:type="dxa"/>
          </w:tcPr>
          <w:p w14:paraId="5403FEF2" w14:textId="6B3549C7" w:rsidR="00CC2C8A" w:rsidRDefault="00677D05" w:rsidP="0096137D">
            <w:pPr>
              <w:ind w:left="334" w:hanging="334"/>
              <w:rPr>
                <w:rFonts w:cstheme="minorHAnsi"/>
                <w:sz w:val="24"/>
                <w:szCs w:val="24"/>
              </w:rPr>
            </w:pPr>
            <w:r>
              <w:rPr>
                <w:rFonts w:cstheme="minorHAnsi"/>
                <w:sz w:val="24"/>
                <w:szCs w:val="24"/>
              </w:rPr>
              <w:t>Define intermolecular forces, classify into different types, and rank intermolecular forces in terms of strength</w:t>
            </w:r>
          </w:p>
        </w:tc>
      </w:tr>
      <w:tr w:rsidR="00CC2C8A" w14:paraId="7CE073A9" w14:textId="77777777" w:rsidTr="00CC2C8A">
        <w:tc>
          <w:tcPr>
            <w:tcW w:w="10070" w:type="dxa"/>
          </w:tcPr>
          <w:p w14:paraId="32DDAA71" w14:textId="0C34CD65" w:rsidR="00CC2C8A" w:rsidRDefault="00677D05" w:rsidP="0096137D">
            <w:pPr>
              <w:ind w:left="334" w:hanging="334"/>
              <w:rPr>
                <w:rFonts w:cstheme="minorHAnsi"/>
                <w:sz w:val="24"/>
                <w:szCs w:val="24"/>
              </w:rPr>
            </w:pPr>
            <w:r>
              <w:rPr>
                <w:rFonts w:cstheme="minorHAnsi"/>
                <w:sz w:val="24"/>
                <w:szCs w:val="24"/>
              </w:rPr>
              <w:t>Describe the uniqueness of the phase diagram for water and connect to the physical and chemical properties of water</w:t>
            </w:r>
          </w:p>
        </w:tc>
      </w:tr>
      <w:tr w:rsidR="00CC2C8A" w14:paraId="3383B3C9" w14:textId="77777777" w:rsidTr="00CC2C8A">
        <w:tc>
          <w:tcPr>
            <w:tcW w:w="10070" w:type="dxa"/>
          </w:tcPr>
          <w:p w14:paraId="49C20697" w14:textId="65CC0A6F" w:rsidR="00CC2C8A" w:rsidRDefault="00677D05" w:rsidP="0096137D">
            <w:pPr>
              <w:ind w:left="334" w:hanging="334"/>
              <w:rPr>
                <w:rFonts w:cstheme="minorHAnsi"/>
                <w:sz w:val="24"/>
                <w:szCs w:val="24"/>
              </w:rPr>
            </w:pPr>
            <w:r>
              <w:rPr>
                <w:rFonts w:cstheme="minorHAnsi"/>
                <w:sz w:val="24"/>
                <w:szCs w:val="24"/>
              </w:rPr>
              <w:t>Discuss properties of aqueous solutions and measures of concentration</w:t>
            </w:r>
          </w:p>
        </w:tc>
      </w:tr>
      <w:tr w:rsidR="00CC2C8A" w14:paraId="1342A274" w14:textId="77777777" w:rsidTr="00CC2C8A">
        <w:tc>
          <w:tcPr>
            <w:tcW w:w="10070" w:type="dxa"/>
          </w:tcPr>
          <w:p w14:paraId="5E94F332" w14:textId="6020FDAF" w:rsidR="00CC2C8A" w:rsidRDefault="00677D05" w:rsidP="0096137D">
            <w:pPr>
              <w:ind w:left="334" w:hanging="334"/>
              <w:rPr>
                <w:rFonts w:cstheme="minorHAnsi"/>
                <w:sz w:val="24"/>
                <w:szCs w:val="24"/>
              </w:rPr>
            </w:pPr>
            <w:r>
              <w:rPr>
                <w:rFonts w:cstheme="minorHAnsi"/>
                <w:sz w:val="24"/>
                <w:szCs w:val="24"/>
              </w:rPr>
              <w:t>Identify important reactions occurring in aqueous solution</w:t>
            </w:r>
          </w:p>
        </w:tc>
      </w:tr>
    </w:tbl>
    <w:p w14:paraId="38D5BA87" w14:textId="58F839B2" w:rsidR="00524D9F" w:rsidRPr="00524D9F" w:rsidRDefault="00524D9F" w:rsidP="00524D9F">
      <w:pPr>
        <w:rPr>
          <w:rFonts w:cstheme="minorHAnsi"/>
          <w:sz w:val="24"/>
          <w:szCs w:val="24"/>
        </w:rPr>
      </w:pPr>
    </w:p>
    <w:p w14:paraId="7A618D54" w14:textId="02FA9B0B" w:rsidR="00524D9F" w:rsidRPr="00524D9F" w:rsidRDefault="00524D9F" w:rsidP="00524D9F">
      <w:pPr>
        <w:rPr>
          <w:rFonts w:cstheme="minorHAnsi"/>
          <w:sz w:val="24"/>
          <w:szCs w:val="24"/>
        </w:rPr>
      </w:pPr>
      <w:r w:rsidRPr="00524D9F">
        <w:rPr>
          <w:rFonts w:cstheme="minorHAnsi"/>
          <w:sz w:val="24"/>
          <w:szCs w:val="24"/>
        </w:rPr>
        <w:lastRenderedPageBreak/>
        <w:t>For each module, a series of short (~5 min) lecture videos were filmed using lightboard technology. Students were tasked to watch the videos, take notes in the Cornell note structure</w:t>
      </w:r>
      <w:r w:rsidRPr="003D5C42">
        <w:rPr>
          <w:rFonts w:cstheme="minorHAnsi"/>
          <w:b/>
          <w:bCs/>
          <w:sz w:val="24"/>
          <w:szCs w:val="24"/>
          <w:vertAlign w:val="superscript"/>
        </w:rPr>
        <w:t>76</w:t>
      </w:r>
      <w:r w:rsidRPr="00524D9F">
        <w:rPr>
          <w:rFonts w:cstheme="minorHAnsi"/>
          <w:sz w:val="24"/>
          <w:szCs w:val="24"/>
        </w:rPr>
        <w:t xml:space="preserve">, and post these for review. Each module had an associated quiz, and for each module, participants were also asked to develop a concept map of the topic and </w:t>
      </w:r>
      <w:proofErr w:type="gramStart"/>
      <w:r w:rsidRPr="00524D9F">
        <w:rPr>
          <w:rFonts w:cstheme="minorHAnsi"/>
          <w:sz w:val="24"/>
          <w:szCs w:val="24"/>
        </w:rPr>
        <w:t>submit</w:t>
      </w:r>
      <w:proofErr w:type="gramEnd"/>
      <w:r w:rsidRPr="00524D9F">
        <w:rPr>
          <w:rFonts w:cstheme="minorHAnsi"/>
          <w:sz w:val="24"/>
          <w:szCs w:val="24"/>
        </w:rPr>
        <w:t xml:space="preserve"> for review by the instructor and other participants. The peer review resulted in a summary statement about how the conceptual associations were different and similar with other students. Finally, modules 1 and 2 featured case studies, which the participants analyzed. The course assessment equally </w:t>
      </w:r>
      <w:proofErr w:type="gramStart"/>
      <w:r w:rsidRPr="00524D9F">
        <w:rPr>
          <w:rFonts w:cstheme="minorHAnsi"/>
          <w:sz w:val="24"/>
          <w:szCs w:val="24"/>
        </w:rPr>
        <w:t>weighted</w:t>
      </w:r>
      <w:proofErr w:type="gramEnd"/>
      <w:r w:rsidRPr="00524D9F">
        <w:rPr>
          <w:rFonts w:cstheme="minorHAnsi"/>
          <w:sz w:val="24"/>
          <w:szCs w:val="24"/>
        </w:rPr>
        <w:t xml:space="preserve"> the quizzes, notes, mind maps/peer reviews, and case studies, with an overall grade of 80% required for a satisfactory rating on an S/U scale.</w:t>
      </w:r>
    </w:p>
    <w:p w14:paraId="0B77C9E1" w14:textId="77777777" w:rsidR="00524D9F" w:rsidRPr="00524D9F" w:rsidRDefault="00524D9F" w:rsidP="00524D9F">
      <w:pPr>
        <w:rPr>
          <w:rFonts w:cstheme="minorHAnsi"/>
          <w:sz w:val="24"/>
          <w:szCs w:val="24"/>
        </w:rPr>
      </w:pPr>
      <w:r w:rsidRPr="00524D9F">
        <w:rPr>
          <w:rFonts w:cstheme="minorHAnsi"/>
          <w:sz w:val="24"/>
          <w:szCs w:val="24"/>
        </w:rPr>
        <w:t>The course was run in this format for three years, and we note that, here, students were charged additional tuition to take the course. Thus, while the move to the online J-term was designed to increase capture rates, the opposite trend was observed. During the three-year period a total of 1328 students enrolled in the fall-semester general chemistry I course across all sections. Of these students, a total of 103 (7.8%) withdrew from the course, and 2 of these (1.5%) enrolled in the bridge course. Considering the full six years of data then, a total of 4021 students enrolled in the fall general chemistry I course; of these, 286 (7%) withdrew, and 40 (14%) of these were captured into the bridge course.</w:t>
      </w:r>
    </w:p>
    <w:p w14:paraId="0D8861AE" w14:textId="77777777" w:rsidR="00524D9F" w:rsidRPr="00524D9F" w:rsidRDefault="00524D9F" w:rsidP="00B560BB">
      <w:pPr>
        <w:pStyle w:val="Heading1"/>
      </w:pPr>
      <w:r w:rsidRPr="00524D9F">
        <w:t>6. Results and Discussion</w:t>
      </w:r>
    </w:p>
    <w:p w14:paraId="441818BE" w14:textId="77777777" w:rsidR="00524D9F" w:rsidRPr="00524D9F" w:rsidRDefault="00524D9F" w:rsidP="00524D9F">
      <w:pPr>
        <w:rPr>
          <w:rFonts w:cstheme="minorHAnsi"/>
          <w:sz w:val="24"/>
          <w:szCs w:val="24"/>
        </w:rPr>
      </w:pPr>
      <w:r w:rsidRPr="00524D9F">
        <w:rPr>
          <w:rFonts w:cstheme="minorHAnsi"/>
          <w:sz w:val="24"/>
          <w:szCs w:val="24"/>
        </w:rPr>
        <w:t>To consider the impact of this course, we first consider the general chemistry I retake rate for students who completed the bridge course. Here, the full six-year cohort is examined. Of the 286 students who withdrew from all sections of general chemistry I, 91 (32%) enrolled again in general chemistry I in the following spring. The general chemistry I retake rate for students completing the bridge course was markedly higher, 60% vs. 27%. This is not surprising from a growth mindset perspective, as it can be anticipated that students enrolling in the bridge course would be more highly motivated to retake the course.</w:t>
      </w:r>
    </w:p>
    <w:p w14:paraId="6B7A0444" w14:textId="394F5C2A" w:rsidR="00524D9F" w:rsidRPr="00524D9F" w:rsidRDefault="00524D9F" w:rsidP="00524D9F">
      <w:pPr>
        <w:rPr>
          <w:rFonts w:cstheme="minorHAnsi"/>
          <w:sz w:val="24"/>
          <w:szCs w:val="24"/>
        </w:rPr>
      </w:pPr>
      <w:r w:rsidRPr="00524D9F">
        <w:rPr>
          <w:rFonts w:cstheme="minorHAnsi"/>
          <w:sz w:val="24"/>
          <w:szCs w:val="24"/>
        </w:rPr>
        <w:t>The key question we now address is whether students who completed the bridge course had improved outcomes upon retake. Of the 87 students during this period who withdrew from general chemistry I in the fall and retook the course in spring, the median grade was a 2.50 on a 4.0 scale. For the 23 students who took the bridge course, the median grade upon retake was higher, 3.0 on a 4.0 scale. More interesting, however, are the grade distributions and DFW rates for the two groups. In </w:t>
      </w:r>
      <w:r w:rsidRPr="003D5C42">
        <w:rPr>
          <w:rFonts w:cstheme="minorHAnsi"/>
          <w:b/>
          <w:bCs/>
          <w:sz w:val="24"/>
          <w:szCs w:val="24"/>
        </w:rPr>
        <w:t>Figure 1</w:t>
      </w:r>
      <w:r w:rsidRPr="00524D9F">
        <w:rPr>
          <w:rFonts w:cstheme="minorHAnsi"/>
          <w:sz w:val="24"/>
          <w:szCs w:val="24"/>
        </w:rPr>
        <w:t>, we compare the grade distributions for the two groups. A chi-square test of the distributions was statistically significant (</w:t>
      </w:r>
      <w:r w:rsidRPr="00524D9F">
        <w:rPr>
          <w:rFonts w:cstheme="minorHAnsi"/>
          <w:i/>
          <w:iCs/>
          <w:sz w:val="24"/>
          <w:szCs w:val="24"/>
        </w:rPr>
        <w:t>p</w:t>
      </w:r>
      <w:r w:rsidRPr="00524D9F">
        <w:rPr>
          <w:rFonts w:cstheme="minorHAnsi"/>
          <w:sz w:val="24"/>
          <w:szCs w:val="24"/>
        </w:rPr>
        <w:t> = 0.042). We note that 58% of students who completed the bridge course received at least a 3.0 (B) upon retake compared to 25% of students who did not complete the bridge course. Also significant are the differences in DFW rates, which were a factor of two smaller (12.5% vs. 25.8%) for the cohort completing the bridge course. The failure rate upon retake was particularly distinct: 4.2% for students who completed the bridge course and 20.9% for those who did not.</w:t>
      </w:r>
    </w:p>
    <w:p w14:paraId="43029D56" w14:textId="16883A2F" w:rsidR="00524D9F" w:rsidRPr="00524D9F" w:rsidRDefault="00524D9F" w:rsidP="00B560BB">
      <w:pPr>
        <w:pStyle w:val="NoSpacing"/>
      </w:pPr>
      <w:r w:rsidRPr="00524D9F">
        <w:rPr>
          <w:noProof/>
        </w:rPr>
        <w:lastRenderedPageBreak/>
        <w:drawing>
          <wp:inline distT="0" distB="0" distL="0" distR="0" wp14:anchorId="5E889038" wp14:editId="1081E506">
            <wp:extent cx="2743200" cy="1572768"/>
            <wp:effectExtent l="0" t="0" r="0" b="8890"/>
            <wp:docPr id="785951432" name="Picture 2" descr="Figure 1. Bar graph of course outcomes for students withdrawing from fall chem 1 course and retaking in following spring. There are various QPAs and % with QPAs. The various colors indicate no bridge (blue), bridge (orange), and aggregate (gr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951432" name="Picture 2" descr="Figure 1. Bar graph of course outcomes for students withdrawing from fall chem 1 course and retaking in following spring. There are various QPAs and % with QPAs. The various colors indicate no bridge (blue), bridge (orange), and aggregate (gra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572768"/>
                    </a:xfrm>
                    <a:prstGeom prst="rect">
                      <a:avLst/>
                    </a:prstGeom>
                    <a:noFill/>
                    <a:ln>
                      <a:noFill/>
                    </a:ln>
                  </pic:spPr>
                </pic:pic>
              </a:graphicData>
            </a:graphic>
          </wp:inline>
        </w:drawing>
      </w:r>
    </w:p>
    <w:p w14:paraId="565AD72A" w14:textId="77777777" w:rsidR="00524D9F" w:rsidRDefault="00524D9F" w:rsidP="00B560BB">
      <w:pPr>
        <w:pStyle w:val="NoSpacing"/>
      </w:pPr>
      <w:r w:rsidRPr="00524D9F">
        <w:rPr>
          <w:b/>
          <w:bCs/>
        </w:rPr>
        <w:t>Figure 1.</w:t>
      </w:r>
      <w:r w:rsidRPr="00524D9F">
        <w:t> Course outcomes for students withdrawing from fall general chemistry I course and retaking in the following spring, 2016–2021. Outcomes are compared for students who took the bridge course vs. those who did not.</w:t>
      </w:r>
    </w:p>
    <w:p w14:paraId="2FEA4D87" w14:textId="77777777" w:rsidR="00B560BB" w:rsidRPr="00524D9F" w:rsidRDefault="00B560BB" w:rsidP="00B560BB">
      <w:pPr>
        <w:pStyle w:val="NoSpacing"/>
      </w:pPr>
    </w:p>
    <w:p w14:paraId="75FD47D0" w14:textId="14197344" w:rsidR="00524D9F" w:rsidRPr="00524D9F" w:rsidRDefault="00524D9F" w:rsidP="00524D9F">
      <w:pPr>
        <w:rPr>
          <w:rFonts w:cstheme="minorHAnsi"/>
          <w:sz w:val="24"/>
          <w:szCs w:val="24"/>
        </w:rPr>
      </w:pPr>
      <w:r w:rsidRPr="00524D9F">
        <w:rPr>
          <w:rFonts w:cstheme="minorHAnsi"/>
          <w:sz w:val="24"/>
          <w:szCs w:val="24"/>
        </w:rPr>
        <w:t xml:space="preserve">The data presented thus far are promising in showing (a) an increased retake rate for students completing the bridge course and (b) improved outcomes for students upon retake. </w:t>
      </w:r>
      <w:proofErr w:type="gramStart"/>
      <w:r w:rsidRPr="00524D9F">
        <w:rPr>
          <w:rFonts w:cstheme="minorHAnsi"/>
          <w:sz w:val="24"/>
          <w:szCs w:val="24"/>
        </w:rPr>
        <w:t>Considering the bridge course as a growth mindset intervention, it</w:t>
      </w:r>
      <w:proofErr w:type="gramEnd"/>
      <w:r w:rsidRPr="00524D9F">
        <w:rPr>
          <w:rFonts w:cstheme="minorHAnsi"/>
          <w:sz w:val="24"/>
          <w:szCs w:val="24"/>
        </w:rPr>
        <w:t xml:space="preserve"> may very well be that students taking and completing the bridge course were more likely to demonstrate a growth rather than fixed mindset. The very small numbers in the online implementation prevent a comparison of the different bridge course modalities. To obtain additional </w:t>
      </w:r>
      <w:proofErr w:type="gramStart"/>
      <w:r w:rsidRPr="00524D9F">
        <w:rPr>
          <w:rFonts w:cstheme="minorHAnsi"/>
          <w:sz w:val="24"/>
          <w:szCs w:val="24"/>
        </w:rPr>
        <w:t>information, then</w:t>
      </w:r>
      <w:proofErr w:type="gramEnd"/>
      <w:r w:rsidRPr="00524D9F">
        <w:rPr>
          <w:rFonts w:cstheme="minorHAnsi"/>
          <w:sz w:val="24"/>
          <w:szCs w:val="24"/>
        </w:rPr>
        <w:t>, we examined student evaluations from the on-semester implementations. Our standard evaluation instrument features a set of Likert-scale questions followed by open commentary. The results of the Likert-scale questions are shown in </w:t>
      </w:r>
      <w:r w:rsidRPr="003D5C42">
        <w:rPr>
          <w:rFonts w:cstheme="minorHAnsi"/>
          <w:b/>
          <w:bCs/>
          <w:sz w:val="24"/>
          <w:szCs w:val="24"/>
        </w:rPr>
        <w:t>Table 3</w:t>
      </w:r>
      <w:r w:rsidRPr="00524D9F">
        <w:rPr>
          <w:rFonts w:cstheme="minorHAnsi"/>
          <w:sz w:val="24"/>
          <w:szCs w:val="24"/>
        </w:rPr>
        <w:t>.</w:t>
      </w:r>
    </w:p>
    <w:p w14:paraId="10B8E370" w14:textId="77777777" w:rsidR="00524D9F" w:rsidRPr="0096137D" w:rsidRDefault="00524D9F" w:rsidP="00B560BB">
      <w:pPr>
        <w:pStyle w:val="NoSpacing"/>
        <w:rPr>
          <w:sz w:val="24"/>
          <w:szCs w:val="24"/>
        </w:rPr>
      </w:pPr>
      <w:r w:rsidRPr="0096137D">
        <w:rPr>
          <w:b/>
          <w:bCs/>
          <w:sz w:val="24"/>
          <w:szCs w:val="24"/>
        </w:rPr>
        <w:t>Table 3.</w:t>
      </w:r>
      <w:r w:rsidRPr="0096137D">
        <w:rPr>
          <w:sz w:val="24"/>
          <w:szCs w:val="24"/>
        </w:rPr>
        <w:t> Summary of student evaluations (group median) from the fall implementations.</w:t>
      </w:r>
    </w:p>
    <w:tbl>
      <w:tblPr>
        <w:tblStyle w:val="TableGrid"/>
        <w:tblW w:w="0" w:type="auto"/>
        <w:tblLook w:val="04A0" w:firstRow="1" w:lastRow="0" w:firstColumn="1" w:lastColumn="0" w:noHBand="0" w:noVBand="1"/>
      </w:tblPr>
      <w:tblGrid>
        <w:gridCol w:w="5395"/>
        <w:gridCol w:w="1080"/>
        <w:gridCol w:w="1170"/>
        <w:gridCol w:w="1170"/>
        <w:gridCol w:w="1255"/>
      </w:tblGrid>
      <w:tr w:rsidR="00B560BB" w:rsidRPr="0096137D" w14:paraId="4EFAB1BA" w14:textId="77777777" w:rsidTr="0096137D">
        <w:tc>
          <w:tcPr>
            <w:tcW w:w="5395" w:type="dxa"/>
          </w:tcPr>
          <w:p w14:paraId="1E7B12C0" w14:textId="7CD612BB" w:rsidR="00B560BB" w:rsidRPr="0096137D" w:rsidRDefault="00B560BB" w:rsidP="00B560BB">
            <w:pPr>
              <w:pStyle w:val="NoSpacing"/>
              <w:rPr>
                <w:sz w:val="24"/>
                <w:szCs w:val="24"/>
              </w:rPr>
            </w:pPr>
            <w:r w:rsidRPr="0096137D">
              <w:rPr>
                <w:sz w:val="24"/>
                <w:szCs w:val="24"/>
              </w:rPr>
              <w:t>Question</w:t>
            </w:r>
          </w:p>
        </w:tc>
        <w:tc>
          <w:tcPr>
            <w:tcW w:w="1080" w:type="dxa"/>
          </w:tcPr>
          <w:p w14:paraId="728B16DB" w14:textId="7EA35113" w:rsidR="00B560BB" w:rsidRPr="0096137D" w:rsidRDefault="00B560BB" w:rsidP="00B560BB">
            <w:pPr>
              <w:pStyle w:val="NoSpacing"/>
              <w:rPr>
                <w:sz w:val="24"/>
                <w:szCs w:val="24"/>
              </w:rPr>
            </w:pPr>
            <w:r w:rsidRPr="0096137D">
              <w:rPr>
                <w:sz w:val="24"/>
                <w:szCs w:val="24"/>
              </w:rPr>
              <w:t>Key (a)</w:t>
            </w:r>
          </w:p>
        </w:tc>
        <w:tc>
          <w:tcPr>
            <w:tcW w:w="1170" w:type="dxa"/>
          </w:tcPr>
          <w:p w14:paraId="5CF8B7DB" w14:textId="3E62571A" w:rsidR="00B560BB" w:rsidRPr="0096137D" w:rsidRDefault="00B560BB" w:rsidP="00B560BB">
            <w:pPr>
              <w:pStyle w:val="NoSpacing"/>
              <w:rPr>
                <w:sz w:val="24"/>
                <w:szCs w:val="24"/>
              </w:rPr>
            </w:pPr>
            <w:r w:rsidRPr="0096137D">
              <w:rPr>
                <w:sz w:val="24"/>
                <w:szCs w:val="24"/>
              </w:rPr>
              <w:t>Fall 2016</w:t>
            </w:r>
          </w:p>
        </w:tc>
        <w:tc>
          <w:tcPr>
            <w:tcW w:w="1170" w:type="dxa"/>
          </w:tcPr>
          <w:p w14:paraId="4CB246C4" w14:textId="0ED64E76" w:rsidR="00B560BB" w:rsidRPr="0096137D" w:rsidRDefault="00B560BB" w:rsidP="00B560BB">
            <w:pPr>
              <w:pStyle w:val="NoSpacing"/>
              <w:rPr>
                <w:sz w:val="24"/>
                <w:szCs w:val="24"/>
              </w:rPr>
            </w:pPr>
            <w:r w:rsidRPr="0096137D">
              <w:rPr>
                <w:sz w:val="24"/>
                <w:szCs w:val="24"/>
              </w:rPr>
              <w:t>Fall 2017</w:t>
            </w:r>
          </w:p>
        </w:tc>
        <w:tc>
          <w:tcPr>
            <w:tcW w:w="1255" w:type="dxa"/>
          </w:tcPr>
          <w:p w14:paraId="6E51B0DB" w14:textId="27CDE9F6" w:rsidR="00B560BB" w:rsidRPr="0096137D" w:rsidRDefault="00B560BB" w:rsidP="00B560BB">
            <w:pPr>
              <w:pStyle w:val="NoSpacing"/>
              <w:rPr>
                <w:sz w:val="24"/>
                <w:szCs w:val="24"/>
              </w:rPr>
            </w:pPr>
            <w:r w:rsidRPr="0096137D">
              <w:rPr>
                <w:sz w:val="24"/>
                <w:szCs w:val="24"/>
              </w:rPr>
              <w:t>Fall 2018</w:t>
            </w:r>
          </w:p>
        </w:tc>
      </w:tr>
      <w:tr w:rsidR="00B560BB" w:rsidRPr="0096137D" w14:paraId="518C0293" w14:textId="77777777" w:rsidTr="0096137D">
        <w:tc>
          <w:tcPr>
            <w:tcW w:w="5395" w:type="dxa"/>
          </w:tcPr>
          <w:p w14:paraId="02810344" w14:textId="59D70F89" w:rsidR="00B560BB" w:rsidRPr="0096137D" w:rsidRDefault="00C80628" w:rsidP="00B560BB">
            <w:pPr>
              <w:pStyle w:val="NoSpacing"/>
              <w:rPr>
                <w:sz w:val="24"/>
                <w:szCs w:val="24"/>
              </w:rPr>
            </w:pPr>
            <w:r w:rsidRPr="0096137D">
              <w:rPr>
                <w:sz w:val="24"/>
                <w:szCs w:val="24"/>
              </w:rPr>
              <w:t>How was this class as a whole?</w:t>
            </w:r>
          </w:p>
        </w:tc>
        <w:tc>
          <w:tcPr>
            <w:tcW w:w="1080" w:type="dxa"/>
          </w:tcPr>
          <w:p w14:paraId="2A670140" w14:textId="16771550" w:rsidR="00B560BB" w:rsidRPr="0096137D" w:rsidRDefault="00C80628" w:rsidP="00B560BB">
            <w:pPr>
              <w:pStyle w:val="NoSpacing"/>
              <w:rPr>
                <w:sz w:val="24"/>
                <w:szCs w:val="24"/>
              </w:rPr>
            </w:pPr>
            <w:r w:rsidRPr="0096137D">
              <w:rPr>
                <w:sz w:val="24"/>
                <w:szCs w:val="24"/>
              </w:rPr>
              <w:t>1</w:t>
            </w:r>
          </w:p>
        </w:tc>
        <w:tc>
          <w:tcPr>
            <w:tcW w:w="1170" w:type="dxa"/>
          </w:tcPr>
          <w:p w14:paraId="4CA7BAE9" w14:textId="625290D2" w:rsidR="00B560BB" w:rsidRPr="0096137D" w:rsidRDefault="00C80628" w:rsidP="00B560BB">
            <w:pPr>
              <w:pStyle w:val="NoSpacing"/>
              <w:rPr>
                <w:sz w:val="24"/>
                <w:szCs w:val="24"/>
              </w:rPr>
            </w:pPr>
            <w:r w:rsidRPr="0096137D">
              <w:rPr>
                <w:sz w:val="24"/>
                <w:szCs w:val="24"/>
              </w:rPr>
              <w:t>4.3</w:t>
            </w:r>
          </w:p>
        </w:tc>
        <w:tc>
          <w:tcPr>
            <w:tcW w:w="1170" w:type="dxa"/>
          </w:tcPr>
          <w:p w14:paraId="59BA5223" w14:textId="2220DD41" w:rsidR="00B560BB" w:rsidRPr="0096137D" w:rsidRDefault="00C80628" w:rsidP="00B560BB">
            <w:pPr>
              <w:pStyle w:val="NoSpacing"/>
              <w:rPr>
                <w:sz w:val="24"/>
                <w:szCs w:val="24"/>
              </w:rPr>
            </w:pPr>
            <w:r w:rsidRPr="0096137D">
              <w:rPr>
                <w:sz w:val="24"/>
                <w:szCs w:val="24"/>
              </w:rPr>
              <w:t>5.8</w:t>
            </w:r>
          </w:p>
        </w:tc>
        <w:tc>
          <w:tcPr>
            <w:tcW w:w="1255" w:type="dxa"/>
          </w:tcPr>
          <w:p w14:paraId="5BEDEC38" w14:textId="5582408D" w:rsidR="00B560BB" w:rsidRPr="0096137D" w:rsidRDefault="00C80628" w:rsidP="00B560BB">
            <w:pPr>
              <w:pStyle w:val="NoSpacing"/>
              <w:rPr>
                <w:sz w:val="24"/>
                <w:szCs w:val="24"/>
              </w:rPr>
            </w:pPr>
            <w:r w:rsidRPr="0096137D">
              <w:rPr>
                <w:sz w:val="24"/>
                <w:szCs w:val="24"/>
              </w:rPr>
              <w:t>4.0</w:t>
            </w:r>
          </w:p>
        </w:tc>
      </w:tr>
      <w:tr w:rsidR="00B560BB" w:rsidRPr="0096137D" w14:paraId="55EC4351" w14:textId="77777777" w:rsidTr="0096137D">
        <w:tc>
          <w:tcPr>
            <w:tcW w:w="5395" w:type="dxa"/>
          </w:tcPr>
          <w:p w14:paraId="034BA044" w14:textId="206101B9" w:rsidR="00B560BB" w:rsidRPr="0096137D" w:rsidRDefault="00C80628" w:rsidP="00B560BB">
            <w:pPr>
              <w:pStyle w:val="NoSpacing"/>
              <w:rPr>
                <w:sz w:val="24"/>
                <w:szCs w:val="24"/>
              </w:rPr>
            </w:pPr>
            <w:r w:rsidRPr="0096137D">
              <w:rPr>
                <w:sz w:val="24"/>
                <w:szCs w:val="24"/>
              </w:rPr>
              <w:t>How was the content of this class?</w:t>
            </w:r>
          </w:p>
        </w:tc>
        <w:tc>
          <w:tcPr>
            <w:tcW w:w="1080" w:type="dxa"/>
          </w:tcPr>
          <w:p w14:paraId="07500289" w14:textId="71794ACB" w:rsidR="00B560BB" w:rsidRPr="0096137D" w:rsidRDefault="00C80628" w:rsidP="00B560BB">
            <w:pPr>
              <w:pStyle w:val="NoSpacing"/>
              <w:rPr>
                <w:sz w:val="24"/>
                <w:szCs w:val="24"/>
              </w:rPr>
            </w:pPr>
            <w:r w:rsidRPr="0096137D">
              <w:rPr>
                <w:sz w:val="24"/>
                <w:szCs w:val="24"/>
              </w:rPr>
              <w:t>1</w:t>
            </w:r>
          </w:p>
        </w:tc>
        <w:tc>
          <w:tcPr>
            <w:tcW w:w="1170" w:type="dxa"/>
          </w:tcPr>
          <w:p w14:paraId="237DED3B" w14:textId="65ED3245" w:rsidR="00B560BB" w:rsidRPr="0096137D" w:rsidRDefault="00C80628" w:rsidP="00B560BB">
            <w:pPr>
              <w:pStyle w:val="NoSpacing"/>
              <w:rPr>
                <w:sz w:val="24"/>
                <w:szCs w:val="24"/>
              </w:rPr>
            </w:pPr>
            <w:r w:rsidRPr="0096137D">
              <w:rPr>
                <w:sz w:val="24"/>
                <w:szCs w:val="24"/>
              </w:rPr>
              <w:t>5.0</w:t>
            </w:r>
          </w:p>
        </w:tc>
        <w:tc>
          <w:tcPr>
            <w:tcW w:w="1170" w:type="dxa"/>
          </w:tcPr>
          <w:p w14:paraId="3102C864" w14:textId="62F9779B" w:rsidR="00B560BB" w:rsidRPr="0096137D" w:rsidRDefault="00C80628" w:rsidP="00B560BB">
            <w:pPr>
              <w:pStyle w:val="NoSpacing"/>
              <w:rPr>
                <w:sz w:val="24"/>
                <w:szCs w:val="24"/>
              </w:rPr>
            </w:pPr>
            <w:r w:rsidRPr="0096137D">
              <w:rPr>
                <w:sz w:val="24"/>
                <w:szCs w:val="24"/>
              </w:rPr>
              <w:t>5.7</w:t>
            </w:r>
          </w:p>
        </w:tc>
        <w:tc>
          <w:tcPr>
            <w:tcW w:w="1255" w:type="dxa"/>
          </w:tcPr>
          <w:p w14:paraId="52CE785C" w14:textId="2D749282" w:rsidR="00B560BB" w:rsidRPr="0096137D" w:rsidRDefault="00C80628" w:rsidP="00B560BB">
            <w:pPr>
              <w:pStyle w:val="NoSpacing"/>
              <w:rPr>
                <w:sz w:val="24"/>
                <w:szCs w:val="24"/>
              </w:rPr>
            </w:pPr>
            <w:r w:rsidRPr="0096137D">
              <w:rPr>
                <w:sz w:val="24"/>
                <w:szCs w:val="24"/>
              </w:rPr>
              <w:t>3.8</w:t>
            </w:r>
          </w:p>
        </w:tc>
      </w:tr>
      <w:tr w:rsidR="00B560BB" w:rsidRPr="0096137D" w14:paraId="014413DA" w14:textId="77777777" w:rsidTr="0096137D">
        <w:tc>
          <w:tcPr>
            <w:tcW w:w="5395" w:type="dxa"/>
          </w:tcPr>
          <w:p w14:paraId="63DF4D25" w14:textId="3A3C4194" w:rsidR="00B560BB" w:rsidRPr="0096137D" w:rsidRDefault="00C80628" w:rsidP="00B560BB">
            <w:pPr>
              <w:pStyle w:val="NoSpacing"/>
              <w:rPr>
                <w:sz w:val="24"/>
                <w:szCs w:val="24"/>
              </w:rPr>
            </w:pPr>
            <w:r w:rsidRPr="0096137D">
              <w:rPr>
                <w:sz w:val="24"/>
                <w:szCs w:val="24"/>
              </w:rPr>
              <w:t>This class positively impacted my problem-solving abilities.</w:t>
            </w:r>
          </w:p>
        </w:tc>
        <w:tc>
          <w:tcPr>
            <w:tcW w:w="1080" w:type="dxa"/>
          </w:tcPr>
          <w:p w14:paraId="089F72AA" w14:textId="55373871" w:rsidR="00B560BB" w:rsidRPr="0096137D" w:rsidRDefault="00C80628" w:rsidP="00B560BB">
            <w:pPr>
              <w:pStyle w:val="NoSpacing"/>
              <w:rPr>
                <w:sz w:val="24"/>
                <w:szCs w:val="24"/>
              </w:rPr>
            </w:pPr>
            <w:r w:rsidRPr="0096137D">
              <w:rPr>
                <w:sz w:val="24"/>
                <w:szCs w:val="24"/>
              </w:rPr>
              <w:t>2</w:t>
            </w:r>
          </w:p>
        </w:tc>
        <w:tc>
          <w:tcPr>
            <w:tcW w:w="1170" w:type="dxa"/>
          </w:tcPr>
          <w:p w14:paraId="67FE9EA6" w14:textId="5EF3066A" w:rsidR="00B560BB" w:rsidRPr="0096137D" w:rsidRDefault="00C80628" w:rsidP="00B560BB">
            <w:pPr>
              <w:pStyle w:val="NoSpacing"/>
              <w:rPr>
                <w:sz w:val="24"/>
                <w:szCs w:val="24"/>
              </w:rPr>
            </w:pPr>
            <w:r w:rsidRPr="0096137D">
              <w:rPr>
                <w:sz w:val="24"/>
                <w:szCs w:val="24"/>
              </w:rPr>
              <w:t>5.0</w:t>
            </w:r>
          </w:p>
        </w:tc>
        <w:tc>
          <w:tcPr>
            <w:tcW w:w="1170" w:type="dxa"/>
          </w:tcPr>
          <w:p w14:paraId="2E193DAB" w14:textId="7B26A4F1" w:rsidR="00B560BB" w:rsidRPr="0096137D" w:rsidRDefault="00C80628" w:rsidP="00B560BB">
            <w:pPr>
              <w:pStyle w:val="NoSpacing"/>
              <w:rPr>
                <w:sz w:val="24"/>
                <w:szCs w:val="24"/>
              </w:rPr>
            </w:pPr>
            <w:r w:rsidRPr="0096137D">
              <w:rPr>
                <w:sz w:val="24"/>
                <w:szCs w:val="24"/>
              </w:rPr>
              <w:t>5.8</w:t>
            </w:r>
          </w:p>
        </w:tc>
        <w:tc>
          <w:tcPr>
            <w:tcW w:w="1255" w:type="dxa"/>
          </w:tcPr>
          <w:p w14:paraId="195F8A29" w14:textId="1384BDCE" w:rsidR="00B560BB" w:rsidRPr="0096137D" w:rsidRDefault="00C80628" w:rsidP="00B560BB">
            <w:pPr>
              <w:pStyle w:val="NoSpacing"/>
              <w:rPr>
                <w:sz w:val="24"/>
                <w:szCs w:val="24"/>
              </w:rPr>
            </w:pPr>
            <w:r w:rsidRPr="0096137D">
              <w:rPr>
                <w:sz w:val="24"/>
                <w:szCs w:val="24"/>
              </w:rPr>
              <w:t>4.3</w:t>
            </w:r>
          </w:p>
        </w:tc>
      </w:tr>
      <w:tr w:rsidR="00B560BB" w:rsidRPr="0096137D" w14:paraId="000FF72B" w14:textId="77777777" w:rsidTr="0096137D">
        <w:tc>
          <w:tcPr>
            <w:tcW w:w="5395" w:type="dxa"/>
          </w:tcPr>
          <w:p w14:paraId="2BBA3437" w14:textId="593A9471" w:rsidR="00B560BB" w:rsidRPr="0096137D" w:rsidRDefault="00C80628" w:rsidP="00B560BB">
            <w:pPr>
              <w:pStyle w:val="NoSpacing"/>
              <w:rPr>
                <w:sz w:val="24"/>
                <w:szCs w:val="24"/>
              </w:rPr>
            </w:pPr>
            <w:r w:rsidRPr="0096137D">
              <w:rPr>
                <w:sz w:val="24"/>
                <w:szCs w:val="24"/>
              </w:rPr>
              <w:t>This class was intellectually challenging.</w:t>
            </w:r>
          </w:p>
        </w:tc>
        <w:tc>
          <w:tcPr>
            <w:tcW w:w="1080" w:type="dxa"/>
          </w:tcPr>
          <w:p w14:paraId="2171E74B" w14:textId="427D3A11" w:rsidR="00B560BB" w:rsidRPr="0096137D" w:rsidRDefault="00C80628" w:rsidP="00B560BB">
            <w:pPr>
              <w:pStyle w:val="NoSpacing"/>
              <w:rPr>
                <w:sz w:val="24"/>
                <w:szCs w:val="24"/>
              </w:rPr>
            </w:pPr>
            <w:r w:rsidRPr="0096137D">
              <w:rPr>
                <w:sz w:val="24"/>
                <w:szCs w:val="24"/>
              </w:rPr>
              <w:t>2</w:t>
            </w:r>
          </w:p>
        </w:tc>
        <w:tc>
          <w:tcPr>
            <w:tcW w:w="1170" w:type="dxa"/>
          </w:tcPr>
          <w:p w14:paraId="29C2E7E6" w14:textId="7611AB96" w:rsidR="00B560BB" w:rsidRPr="0096137D" w:rsidRDefault="00C80628" w:rsidP="00B560BB">
            <w:pPr>
              <w:pStyle w:val="NoSpacing"/>
              <w:rPr>
                <w:sz w:val="24"/>
                <w:szCs w:val="24"/>
              </w:rPr>
            </w:pPr>
            <w:r w:rsidRPr="0096137D">
              <w:rPr>
                <w:sz w:val="24"/>
                <w:szCs w:val="24"/>
              </w:rPr>
              <w:t>4.8</w:t>
            </w:r>
          </w:p>
        </w:tc>
        <w:tc>
          <w:tcPr>
            <w:tcW w:w="1170" w:type="dxa"/>
          </w:tcPr>
          <w:p w14:paraId="354734DD" w14:textId="0A237044" w:rsidR="00B560BB" w:rsidRPr="0096137D" w:rsidRDefault="00C80628" w:rsidP="00B560BB">
            <w:pPr>
              <w:pStyle w:val="NoSpacing"/>
              <w:rPr>
                <w:sz w:val="24"/>
                <w:szCs w:val="24"/>
              </w:rPr>
            </w:pPr>
            <w:r w:rsidRPr="0096137D">
              <w:rPr>
                <w:sz w:val="24"/>
                <w:szCs w:val="24"/>
              </w:rPr>
              <w:t>5.3</w:t>
            </w:r>
          </w:p>
        </w:tc>
        <w:tc>
          <w:tcPr>
            <w:tcW w:w="1255" w:type="dxa"/>
          </w:tcPr>
          <w:p w14:paraId="07C3DD5D" w14:textId="7175A0A9" w:rsidR="00B560BB" w:rsidRPr="0096137D" w:rsidRDefault="00C80628" w:rsidP="00B560BB">
            <w:pPr>
              <w:pStyle w:val="NoSpacing"/>
              <w:rPr>
                <w:sz w:val="24"/>
                <w:szCs w:val="24"/>
              </w:rPr>
            </w:pPr>
            <w:r w:rsidRPr="0096137D">
              <w:rPr>
                <w:sz w:val="24"/>
                <w:szCs w:val="24"/>
              </w:rPr>
              <w:t>3.6</w:t>
            </w:r>
          </w:p>
        </w:tc>
      </w:tr>
      <w:tr w:rsidR="00B560BB" w:rsidRPr="0096137D" w14:paraId="51A53E78" w14:textId="77777777" w:rsidTr="0096137D">
        <w:tc>
          <w:tcPr>
            <w:tcW w:w="5395" w:type="dxa"/>
          </w:tcPr>
          <w:p w14:paraId="7F89D531" w14:textId="1C5225D6" w:rsidR="00B560BB" w:rsidRPr="0096137D" w:rsidRDefault="00C80628" w:rsidP="00B560BB">
            <w:pPr>
              <w:pStyle w:val="NoSpacing"/>
              <w:rPr>
                <w:sz w:val="24"/>
                <w:szCs w:val="24"/>
              </w:rPr>
            </w:pPr>
            <w:r w:rsidRPr="0096137D">
              <w:rPr>
                <w:sz w:val="24"/>
                <w:szCs w:val="24"/>
              </w:rPr>
              <w:t>Evaluations were consistent with course objectives.</w:t>
            </w:r>
          </w:p>
        </w:tc>
        <w:tc>
          <w:tcPr>
            <w:tcW w:w="1080" w:type="dxa"/>
          </w:tcPr>
          <w:p w14:paraId="65C4B392" w14:textId="5929710C" w:rsidR="00B560BB" w:rsidRPr="0096137D" w:rsidRDefault="00C80628" w:rsidP="00B560BB">
            <w:pPr>
              <w:pStyle w:val="NoSpacing"/>
              <w:rPr>
                <w:sz w:val="24"/>
                <w:szCs w:val="24"/>
              </w:rPr>
            </w:pPr>
            <w:r w:rsidRPr="0096137D">
              <w:rPr>
                <w:sz w:val="24"/>
                <w:szCs w:val="24"/>
              </w:rPr>
              <w:t>2</w:t>
            </w:r>
          </w:p>
        </w:tc>
        <w:tc>
          <w:tcPr>
            <w:tcW w:w="1170" w:type="dxa"/>
          </w:tcPr>
          <w:p w14:paraId="4629D429" w14:textId="07ABE799" w:rsidR="00B560BB" w:rsidRPr="0096137D" w:rsidRDefault="00C80628" w:rsidP="00B560BB">
            <w:pPr>
              <w:pStyle w:val="NoSpacing"/>
              <w:rPr>
                <w:sz w:val="24"/>
                <w:szCs w:val="24"/>
              </w:rPr>
            </w:pPr>
            <w:r w:rsidRPr="0096137D">
              <w:rPr>
                <w:sz w:val="24"/>
                <w:szCs w:val="24"/>
              </w:rPr>
              <w:t>5.6</w:t>
            </w:r>
          </w:p>
        </w:tc>
        <w:tc>
          <w:tcPr>
            <w:tcW w:w="1170" w:type="dxa"/>
          </w:tcPr>
          <w:p w14:paraId="4DBD06DB" w14:textId="675B52D2" w:rsidR="00B560BB" w:rsidRPr="0096137D" w:rsidRDefault="00C80628" w:rsidP="00B560BB">
            <w:pPr>
              <w:pStyle w:val="NoSpacing"/>
              <w:rPr>
                <w:sz w:val="24"/>
                <w:szCs w:val="24"/>
              </w:rPr>
            </w:pPr>
            <w:r w:rsidRPr="0096137D">
              <w:rPr>
                <w:sz w:val="24"/>
                <w:szCs w:val="24"/>
              </w:rPr>
              <w:t>5.7</w:t>
            </w:r>
          </w:p>
        </w:tc>
        <w:tc>
          <w:tcPr>
            <w:tcW w:w="1255" w:type="dxa"/>
          </w:tcPr>
          <w:p w14:paraId="67BCD0DB" w14:textId="0823918C" w:rsidR="00B560BB" w:rsidRPr="0096137D" w:rsidRDefault="00C80628" w:rsidP="00B560BB">
            <w:pPr>
              <w:pStyle w:val="NoSpacing"/>
              <w:rPr>
                <w:sz w:val="24"/>
                <w:szCs w:val="24"/>
              </w:rPr>
            </w:pPr>
            <w:r w:rsidRPr="0096137D">
              <w:rPr>
                <w:sz w:val="24"/>
                <w:szCs w:val="24"/>
              </w:rPr>
              <w:t>4.8</w:t>
            </w:r>
          </w:p>
        </w:tc>
      </w:tr>
      <w:tr w:rsidR="00B560BB" w:rsidRPr="0096137D" w14:paraId="3F897B8B" w14:textId="77777777" w:rsidTr="0096137D">
        <w:tc>
          <w:tcPr>
            <w:tcW w:w="5395" w:type="dxa"/>
          </w:tcPr>
          <w:p w14:paraId="4B5A646C" w14:textId="1A966395" w:rsidR="00B560BB" w:rsidRPr="0096137D" w:rsidRDefault="00C80628" w:rsidP="00B560BB">
            <w:pPr>
              <w:pStyle w:val="NoSpacing"/>
              <w:rPr>
                <w:sz w:val="24"/>
                <w:szCs w:val="24"/>
              </w:rPr>
            </w:pPr>
            <w:r w:rsidRPr="0096137D">
              <w:rPr>
                <w:sz w:val="24"/>
                <w:szCs w:val="24"/>
              </w:rPr>
              <w:t>Response Rate</w:t>
            </w:r>
          </w:p>
        </w:tc>
        <w:tc>
          <w:tcPr>
            <w:tcW w:w="1080" w:type="dxa"/>
          </w:tcPr>
          <w:p w14:paraId="65CB737A" w14:textId="77777777" w:rsidR="00B560BB" w:rsidRPr="0096137D" w:rsidRDefault="00B560BB" w:rsidP="00B560BB">
            <w:pPr>
              <w:pStyle w:val="NoSpacing"/>
              <w:rPr>
                <w:sz w:val="24"/>
                <w:szCs w:val="24"/>
              </w:rPr>
            </w:pPr>
          </w:p>
        </w:tc>
        <w:tc>
          <w:tcPr>
            <w:tcW w:w="1170" w:type="dxa"/>
          </w:tcPr>
          <w:p w14:paraId="4919ECE8" w14:textId="75067715" w:rsidR="00B560BB" w:rsidRPr="0096137D" w:rsidRDefault="00C80628" w:rsidP="00B560BB">
            <w:pPr>
              <w:pStyle w:val="NoSpacing"/>
              <w:rPr>
                <w:sz w:val="24"/>
                <w:szCs w:val="24"/>
              </w:rPr>
            </w:pPr>
            <w:r w:rsidRPr="0096137D">
              <w:rPr>
                <w:sz w:val="24"/>
                <w:szCs w:val="24"/>
              </w:rPr>
              <w:t>70%</w:t>
            </w:r>
          </w:p>
        </w:tc>
        <w:tc>
          <w:tcPr>
            <w:tcW w:w="1170" w:type="dxa"/>
          </w:tcPr>
          <w:p w14:paraId="02A2551B" w14:textId="4BFF39E4" w:rsidR="00B560BB" w:rsidRPr="0096137D" w:rsidRDefault="00C80628" w:rsidP="00B560BB">
            <w:pPr>
              <w:pStyle w:val="NoSpacing"/>
              <w:rPr>
                <w:sz w:val="24"/>
                <w:szCs w:val="24"/>
              </w:rPr>
            </w:pPr>
            <w:r w:rsidRPr="0096137D">
              <w:rPr>
                <w:sz w:val="24"/>
                <w:szCs w:val="24"/>
              </w:rPr>
              <w:t>81%</w:t>
            </w:r>
          </w:p>
        </w:tc>
        <w:tc>
          <w:tcPr>
            <w:tcW w:w="1255" w:type="dxa"/>
          </w:tcPr>
          <w:p w14:paraId="28A7919A" w14:textId="1CE9B824" w:rsidR="00B560BB" w:rsidRPr="0096137D" w:rsidRDefault="00C80628" w:rsidP="00B560BB">
            <w:pPr>
              <w:pStyle w:val="NoSpacing"/>
              <w:rPr>
                <w:sz w:val="24"/>
                <w:szCs w:val="24"/>
              </w:rPr>
            </w:pPr>
            <w:r w:rsidRPr="0096137D">
              <w:rPr>
                <w:sz w:val="24"/>
                <w:szCs w:val="24"/>
              </w:rPr>
              <w:t>64%</w:t>
            </w:r>
          </w:p>
        </w:tc>
      </w:tr>
    </w:tbl>
    <w:p w14:paraId="5FBE46BD" w14:textId="27E43832" w:rsidR="00B560BB" w:rsidRPr="00524D9F" w:rsidRDefault="00D542D6" w:rsidP="00C80628">
      <w:pPr>
        <w:pStyle w:val="NoSpacing"/>
        <w:numPr>
          <w:ilvl w:val="0"/>
          <w:numId w:val="16"/>
        </w:numPr>
        <w:ind w:left="270" w:hanging="270"/>
      </w:pPr>
      <w:r>
        <w:t xml:space="preserve">Key 1: 6 = excellent, 5 = very good, 4 = good, 3 = fair, 2 = poor, </w:t>
      </w:r>
      <w:r w:rsidR="00572C65">
        <w:t>1 =</w:t>
      </w:r>
      <w:r>
        <w:t xml:space="preserve"> very poor. Key 2: 6 = strongly agree, 5 = agree, 4 = agree somewhat, </w:t>
      </w:r>
      <w:r w:rsidR="00C80628">
        <w:t>3 = neither agree nor disagree, 2 = disagree somewhat, 1 = strongly disagree.</w:t>
      </w:r>
    </w:p>
    <w:p w14:paraId="1FF9F051" w14:textId="4AAD08C9" w:rsidR="00524D9F" w:rsidRPr="00524D9F" w:rsidRDefault="00524D9F" w:rsidP="00524D9F">
      <w:pPr>
        <w:rPr>
          <w:rFonts w:cstheme="minorHAnsi"/>
          <w:sz w:val="24"/>
          <w:szCs w:val="24"/>
        </w:rPr>
      </w:pPr>
    </w:p>
    <w:p w14:paraId="528528D8" w14:textId="77777777" w:rsidR="00524D9F" w:rsidRPr="00524D9F" w:rsidRDefault="00524D9F" w:rsidP="00524D9F">
      <w:pPr>
        <w:rPr>
          <w:rFonts w:cstheme="minorHAnsi"/>
          <w:sz w:val="24"/>
          <w:szCs w:val="24"/>
        </w:rPr>
      </w:pPr>
      <w:r w:rsidRPr="00524D9F">
        <w:rPr>
          <w:rFonts w:cstheme="minorHAnsi"/>
          <w:sz w:val="24"/>
          <w:szCs w:val="24"/>
        </w:rPr>
        <w:t>The Likert-scale items generally followed trends observed for our general chemistry courses, with some variability, which might be expected from the relatively small cohorts. Some additional insights come from specific student comments, which are summarized here as examples of positive comments and criticisms:</w:t>
      </w:r>
    </w:p>
    <w:p w14:paraId="597CC301" w14:textId="77777777" w:rsidR="00524D9F" w:rsidRPr="00524D9F" w:rsidRDefault="00524D9F" w:rsidP="001E059C">
      <w:pPr>
        <w:pStyle w:val="Heading2"/>
      </w:pPr>
      <w:r w:rsidRPr="00524D9F">
        <w:t>Positive Comments</w:t>
      </w:r>
    </w:p>
    <w:p w14:paraId="2251E3B8" w14:textId="77777777" w:rsidR="00524D9F" w:rsidRPr="00524D9F" w:rsidRDefault="00524D9F" w:rsidP="00572C65">
      <w:pPr>
        <w:numPr>
          <w:ilvl w:val="0"/>
          <w:numId w:val="13"/>
        </w:numPr>
        <w:tabs>
          <w:tab w:val="clear" w:pos="720"/>
          <w:tab w:val="left" w:pos="540"/>
        </w:tabs>
        <w:spacing w:after="0"/>
        <w:ind w:left="360"/>
        <w:rPr>
          <w:rFonts w:cstheme="minorHAnsi"/>
          <w:sz w:val="24"/>
          <w:szCs w:val="24"/>
        </w:rPr>
      </w:pPr>
      <w:r w:rsidRPr="00524D9F">
        <w:rPr>
          <w:rFonts w:cstheme="minorHAnsi"/>
          <w:sz w:val="24"/>
          <w:szCs w:val="24"/>
        </w:rPr>
        <w:t xml:space="preserve">This class really helped in my understanding of chemistry. I feel more prepared to retake general chemistry I because of this </w:t>
      </w:r>
      <w:proofErr w:type="gramStart"/>
      <w:r w:rsidRPr="00524D9F">
        <w:rPr>
          <w:rFonts w:cstheme="minorHAnsi"/>
          <w:sz w:val="24"/>
          <w:szCs w:val="24"/>
        </w:rPr>
        <w:t>class;</w:t>
      </w:r>
      <w:proofErr w:type="gramEnd"/>
    </w:p>
    <w:p w14:paraId="3A99C1F7" w14:textId="77777777" w:rsidR="00524D9F" w:rsidRPr="00524D9F" w:rsidRDefault="00524D9F" w:rsidP="00572C65">
      <w:pPr>
        <w:numPr>
          <w:ilvl w:val="0"/>
          <w:numId w:val="13"/>
        </w:numPr>
        <w:tabs>
          <w:tab w:val="clear" w:pos="720"/>
          <w:tab w:val="left" w:pos="540"/>
        </w:tabs>
        <w:spacing w:after="0"/>
        <w:ind w:left="360"/>
        <w:rPr>
          <w:rFonts w:cstheme="minorHAnsi"/>
          <w:sz w:val="24"/>
          <w:szCs w:val="24"/>
        </w:rPr>
      </w:pPr>
      <w:r w:rsidRPr="00524D9F">
        <w:rPr>
          <w:rFonts w:cstheme="minorHAnsi"/>
          <w:sz w:val="24"/>
          <w:szCs w:val="24"/>
        </w:rPr>
        <w:t xml:space="preserve">Really got me prepared for general chemistry I and helped me become more familiar with periodic </w:t>
      </w:r>
      <w:proofErr w:type="gramStart"/>
      <w:r w:rsidRPr="00524D9F">
        <w:rPr>
          <w:rFonts w:cstheme="minorHAnsi"/>
          <w:sz w:val="24"/>
          <w:szCs w:val="24"/>
        </w:rPr>
        <w:t>table;</w:t>
      </w:r>
      <w:proofErr w:type="gramEnd"/>
    </w:p>
    <w:p w14:paraId="37B2FC72" w14:textId="77777777" w:rsidR="00524D9F" w:rsidRPr="00524D9F" w:rsidRDefault="00524D9F" w:rsidP="00572C65">
      <w:pPr>
        <w:numPr>
          <w:ilvl w:val="0"/>
          <w:numId w:val="13"/>
        </w:numPr>
        <w:tabs>
          <w:tab w:val="clear" w:pos="720"/>
          <w:tab w:val="left" w:pos="540"/>
        </w:tabs>
        <w:spacing w:after="0"/>
        <w:ind w:left="360"/>
        <w:rPr>
          <w:rFonts w:cstheme="minorHAnsi"/>
          <w:sz w:val="24"/>
          <w:szCs w:val="24"/>
        </w:rPr>
      </w:pPr>
      <w:r w:rsidRPr="00524D9F">
        <w:rPr>
          <w:rFonts w:cstheme="minorHAnsi"/>
          <w:sz w:val="24"/>
          <w:szCs w:val="24"/>
        </w:rPr>
        <w:t xml:space="preserve">It gave many tips on how to study and take notes and how to really be a better </w:t>
      </w:r>
      <w:proofErr w:type="gramStart"/>
      <w:r w:rsidRPr="00524D9F">
        <w:rPr>
          <w:rFonts w:cstheme="minorHAnsi"/>
          <w:sz w:val="24"/>
          <w:szCs w:val="24"/>
        </w:rPr>
        <w:t>student;</w:t>
      </w:r>
      <w:proofErr w:type="gramEnd"/>
    </w:p>
    <w:p w14:paraId="688B617A" w14:textId="77777777" w:rsidR="00524D9F" w:rsidRPr="00524D9F" w:rsidRDefault="00524D9F" w:rsidP="00572C65">
      <w:pPr>
        <w:numPr>
          <w:ilvl w:val="0"/>
          <w:numId w:val="13"/>
        </w:numPr>
        <w:tabs>
          <w:tab w:val="clear" w:pos="720"/>
          <w:tab w:val="left" w:pos="540"/>
        </w:tabs>
        <w:spacing w:after="0"/>
        <w:ind w:left="360"/>
        <w:rPr>
          <w:rFonts w:cstheme="minorHAnsi"/>
          <w:sz w:val="24"/>
          <w:szCs w:val="24"/>
        </w:rPr>
      </w:pPr>
      <w:r w:rsidRPr="00524D9F">
        <w:rPr>
          <w:rFonts w:cstheme="minorHAnsi"/>
          <w:sz w:val="24"/>
          <w:szCs w:val="24"/>
        </w:rPr>
        <w:lastRenderedPageBreak/>
        <w:t xml:space="preserve">Overall, the class was very helpful because everything was broken down and taught in a manner in which students could </w:t>
      </w:r>
      <w:proofErr w:type="gramStart"/>
      <w:r w:rsidRPr="00524D9F">
        <w:rPr>
          <w:rFonts w:cstheme="minorHAnsi"/>
          <w:sz w:val="24"/>
          <w:szCs w:val="24"/>
        </w:rPr>
        <w:t>understand;</w:t>
      </w:r>
      <w:proofErr w:type="gramEnd"/>
    </w:p>
    <w:p w14:paraId="46276AC6" w14:textId="77777777" w:rsidR="00524D9F" w:rsidRPr="00524D9F" w:rsidRDefault="00524D9F" w:rsidP="00572C65">
      <w:pPr>
        <w:numPr>
          <w:ilvl w:val="0"/>
          <w:numId w:val="13"/>
        </w:numPr>
        <w:tabs>
          <w:tab w:val="clear" w:pos="720"/>
          <w:tab w:val="left" w:pos="540"/>
        </w:tabs>
        <w:spacing w:after="0"/>
        <w:ind w:left="360"/>
        <w:rPr>
          <w:rFonts w:cstheme="minorHAnsi"/>
          <w:sz w:val="24"/>
          <w:szCs w:val="24"/>
        </w:rPr>
      </w:pPr>
      <w:r w:rsidRPr="00524D9F">
        <w:rPr>
          <w:rFonts w:cstheme="minorHAnsi"/>
          <w:sz w:val="24"/>
          <w:szCs w:val="24"/>
        </w:rPr>
        <w:t xml:space="preserve">The class created a great </w:t>
      </w:r>
      <w:proofErr w:type="gramStart"/>
      <w:r w:rsidRPr="00524D9F">
        <w:rPr>
          <w:rFonts w:cstheme="minorHAnsi"/>
          <w:sz w:val="24"/>
          <w:szCs w:val="24"/>
        </w:rPr>
        <w:t>foundation;</w:t>
      </w:r>
      <w:proofErr w:type="gramEnd"/>
    </w:p>
    <w:p w14:paraId="71380585" w14:textId="77777777" w:rsidR="00524D9F" w:rsidRPr="00524D9F" w:rsidRDefault="00524D9F" w:rsidP="00572C65">
      <w:pPr>
        <w:numPr>
          <w:ilvl w:val="0"/>
          <w:numId w:val="13"/>
        </w:numPr>
        <w:tabs>
          <w:tab w:val="clear" w:pos="720"/>
          <w:tab w:val="left" w:pos="540"/>
        </w:tabs>
        <w:spacing w:after="0"/>
        <w:ind w:left="360"/>
        <w:rPr>
          <w:rFonts w:cstheme="minorHAnsi"/>
          <w:sz w:val="24"/>
          <w:szCs w:val="24"/>
        </w:rPr>
      </w:pPr>
      <w:r w:rsidRPr="00524D9F">
        <w:rPr>
          <w:rFonts w:cstheme="minorHAnsi"/>
          <w:sz w:val="24"/>
          <w:szCs w:val="24"/>
        </w:rPr>
        <w:t xml:space="preserve">I really like the creativity of the class and the way the professor went into depth with </w:t>
      </w:r>
      <w:proofErr w:type="gramStart"/>
      <w:r w:rsidRPr="00524D9F">
        <w:rPr>
          <w:rFonts w:cstheme="minorHAnsi"/>
          <w:sz w:val="24"/>
          <w:szCs w:val="24"/>
        </w:rPr>
        <w:t>everything;</w:t>
      </w:r>
      <w:proofErr w:type="gramEnd"/>
    </w:p>
    <w:p w14:paraId="0D38A61F" w14:textId="77777777" w:rsidR="00524D9F" w:rsidRPr="00524D9F" w:rsidRDefault="00524D9F" w:rsidP="00572C65">
      <w:pPr>
        <w:numPr>
          <w:ilvl w:val="0"/>
          <w:numId w:val="13"/>
        </w:numPr>
        <w:tabs>
          <w:tab w:val="clear" w:pos="720"/>
          <w:tab w:val="left" w:pos="540"/>
        </w:tabs>
        <w:spacing w:after="0"/>
        <w:ind w:left="360"/>
        <w:rPr>
          <w:rFonts w:cstheme="minorHAnsi"/>
          <w:sz w:val="24"/>
          <w:szCs w:val="24"/>
        </w:rPr>
      </w:pPr>
      <w:r w:rsidRPr="00524D9F">
        <w:rPr>
          <w:rFonts w:cstheme="minorHAnsi"/>
          <w:sz w:val="24"/>
          <w:szCs w:val="24"/>
        </w:rPr>
        <w:t xml:space="preserve">I understood everything and just, overall, below my level; it felt super nice to </w:t>
      </w:r>
      <w:proofErr w:type="gramStart"/>
      <w:r w:rsidRPr="00524D9F">
        <w:rPr>
          <w:rFonts w:cstheme="minorHAnsi"/>
          <w:sz w:val="24"/>
          <w:szCs w:val="24"/>
        </w:rPr>
        <w:t>really slow</w:t>
      </w:r>
      <w:proofErr w:type="gramEnd"/>
      <w:r w:rsidRPr="00524D9F">
        <w:rPr>
          <w:rFonts w:cstheme="minorHAnsi"/>
          <w:sz w:val="24"/>
          <w:szCs w:val="24"/>
        </w:rPr>
        <w:t xml:space="preserve"> things down and feel like I had an even deeper understanding of things.</w:t>
      </w:r>
    </w:p>
    <w:p w14:paraId="5149AED4" w14:textId="77777777" w:rsidR="00524D9F" w:rsidRPr="00524D9F" w:rsidRDefault="00524D9F" w:rsidP="001E059C">
      <w:pPr>
        <w:pStyle w:val="Heading2"/>
      </w:pPr>
      <w:r w:rsidRPr="00524D9F">
        <w:t>Criticisms</w:t>
      </w:r>
    </w:p>
    <w:p w14:paraId="12C4E45E" w14:textId="77777777" w:rsidR="00524D9F" w:rsidRPr="00524D9F" w:rsidRDefault="00524D9F" w:rsidP="00572C65">
      <w:pPr>
        <w:numPr>
          <w:ilvl w:val="0"/>
          <w:numId w:val="14"/>
        </w:numPr>
        <w:tabs>
          <w:tab w:val="clear" w:pos="720"/>
          <w:tab w:val="num" w:pos="1620"/>
          <w:tab w:val="left" w:pos="1800"/>
        </w:tabs>
        <w:spacing w:after="0"/>
        <w:ind w:left="360"/>
        <w:rPr>
          <w:rFonts w:cstheme="minorHAnsi"/>
          <w:sz w:val="24"/>
          <w:szCs w:val="24"/>
        </w:rPr>
      </w:pPr>
      <w:r w:rsidRPr="00524D9F">
        <w:rPr>
          <w:rFonts w:cstheme="minorHAnsi"/>
          <w:sz w:val="24"/>
          <w:szCs w:val="24"/>
        </w:rPr>
        <w:t xml:space="preserve">There were some particular areas that I would have liked to have been discussed more in this class, such as the math/equation aspect of </w:t>
      </w:r>
      <w:proofErr w:type="gramStart"/>
      <w:r w:rsidRPr="00524D9F">
        <w:rPr>
          <w:rFonts w:cstheme="minorHAnsi"/>
          <w:sz w:val="24"/>
          <w:szCs w:val="24"/>
        </w:rPr>
        <w:t>chemistry;</w:t>
      </w:r>
      <w:proofErr w:type="gramEnd"/>
    </w:p>
    <w:p w14:paraId="2679AC76" w14:textId="77777777" w:rsidR="00524D9F" w:rsidRPr="00524D9F" w:rsidRDefault="00524D9F" w:rsidP="00572C65">
      <w:pPr>
        <w:numPr>
          <w:ilvl w:val="0"/>
          <w:numId w:val="14"/>
        </w:numPr>
        <w:tabs>
          <w:tab w:val="clear" w:pos="720"/>
          <w:tab w:val="num" w:pos="1620"/>
          <w:tab w:val="left" w:pos="1800"/>
        </w:tabs>
        <w:spacing w:after="0"/>
        <w:ind w:left="360"/>
        <w:rPr>
          <w:rFonts w:cstheme="minorHAnsi"/>
          <w:sz w:val="24"/>
          <w:szCs w:val="24"/>
        </w:rPr>
      </w:pPr>
      <w:r w:rsidRPr="00524D9F">
        <w:rPr>
          <w:rFonts w:cstheme="minorHAnsi"/>
          <w:sz w:val="24"/>
          <w:szCs w:val="24"/>
        </w:rPr>
        <w:t xml:space="preserve">This was the first time that this class was offered, so it could use a little tweaking, but all in all, it was definitely </w:t>
      </w:r>
      <w:proofErr w:type="gramStart"/>
      <w:r w:rsidRPr="00524D9F">
        <w:rPr>
          <w:rFonts w:cstheme="minorHAnsi"/>
          <w:sz w:val="24"/>
          <w:szCs w:val="24"/>
        </w:rPr>
        <w:t>helpful;</w:t>
      </w:r>
      <w:proofErr w:type="gramEnd"/>
    </w:p>
    <w:p w14:paraId="24D9FB31" w14:textId="77777777" w:rsidR="00524D9F" w:rsidRPr="00524D9F" w:rsidRDefault="00524D9F" w:rsidP="00572C65">
      <w:pPr>
        <w:numPr>
          <w:ilvl w:val="0"/>
          <w:numId w:val="14"/>
        </w:numPr>
        <w:tabs>
          <w:tab w:val="clear" w:pos="720"/>
          <w:tab w:val="num" w:pos="1620"/>
          <w:tab w:val="left" w:pos="1800"/>
        </w:tabs>
        <w:spacing w:after="0"/>
        <w:ind w:left="360"/>
        <w:rPr>
          <w:rFonts w:cstheme="minorHAnsi"/>
          <w:sz w:val="24"/>
          <w:szCs w:val="24"/>
        </w:rPr>
      </w:pPr>
      <w:r w:rsidRPr="00524D9F">
        <w:rPr>
          <w:rFonts w:cstheme="minorHAnsi"/>
          <w:sz w:val="24"/>
          <w:szCs w:val="24"/>
        </w:rPr>
        <w:t xml:space="preserve">I feel the notes on how to become a better student were great, but I think if the class was more focused on taking an extensive look at the </w:t>
      </w:r>
      <w:proofErr w:type="gramStart"/>
      <w:r w:rsidRPr="00524D9F">
        <w:rPr>
          <w:rFonts w:cstheme="minorHAnsi"/>
          <w:sz w:val="24"/>
          <w:szCs w:val="24"/>
        </w:rPr>
        <w:t>criteria</w:t>
      </w:r>
      <w:proofErr w:type="gramEnd"/>
      <w:r w:rsidRPr="00524D9F">
        <w:rPr>
          <w:rFonts w:cstheme="minorHAnsi"/>
          <w:sz w:val="24"/>
          <w:szCs w:val="24"/>
        </w:rPr>
        <w:t xml:space="preserve"> we would be learning in the next chem class and really delving into doing chem problems and understanding how all the parts in chemistry work, it would make it an even more beneficial class;</w:t>
      </w:r>
    </w:p>
    <w:p w14:paraId="598655D9" w14:textId="77777777" w:rsidR="00524D9F" w:rsidRPr="00524D9F" w:rsidRDefault="00524D9F" w:rsidP="00572C65">
      <w:pPr>
        <w:numPr>
          <w:ilvl w:val="0"/>
          <w:numId w:val="14"/>
        </w:numPr>
        <w:tabs>
          <w:tab w:val="clear" w:pos="720"/>
          <w:tab w:val="num" w:pos="1620"/>
          <w:tab w:val="left" w:pos="1800"/>
        </w:tabs>
        <w:spacing w:after="0"/>
        <w:ind w:left="360"/>
        <w:rPr>
          <w:rFonts w:cstheme="minorHAnsi"/>
          <w:sz w:val="24"/>
          <w:szCs w:val="24"/>
        </w:rPr>
      </w:pPr>
      <w:r w:rsidRPr="00524D9F">
        <w:rPr>
          <w:rFonts w:cstheme="minorHAnsi"/>
          <w:sz w:val="24"/>
          <w:szCs w:val="24"/>
        </w:rPr>
        <w:t>That class should not be an hour and 15 min. I hate going there.</w:t>
      </w:r>
    </w:p>
    <w:p w14:paraId="159D0D9D" w14:textId="77777777" w:rsidR="00572C65" w:rsidRDefault="00572C65" w:rsidP="00524D9F">
      <w:pPr>
        <w:rPr>
          <w:rFonts w:cstheme="minorHAnsi"/>
          <w:sz w:val="24"/>
          <w:szCs w:val="24"/>
        </w:rPr>
      </w:pPr>
    </w:p>
    <w:p w14:paraId="119857E0" w14:textId="261D9072" w:rsidR="00524D9F" w:rsidRPr="00524D9F" w:rsidRDefault="00524D9F" w:rsidP="00524D9F">
      <w:pPr>
        <w:rPr>
          <w:rFonts w:cstheme="minorHAnsi"/>
          <w:sz w:val="24"/>
          <w:szCs w:val="24"/>
        </w:rPr>
      </w:pPr>
      <w:r w:rsidRPr="00524D9F">
        <w:rPr>
          <w:rFonts w:cstheme="minorHAnsi"/>
          <w:sz w:val="24"/>
          <w:szCs w:val="24"/>
        </w:rPr>
        <w:t xml:space="preserve">Qualitatively, these comments suggest that students did benefit from and appreciated the course. Similar comments were found from the very small cohort taking the online offering. </w:t>
      </w:r>
      <w:proofErr w:type="gramStart"/>
      <w:r w:rsidRPr="00524D9F">
        <w:rPr>
          <w:rFonts w:cstheme="minorHAnsi"/>
          <w:sz w:val="24"/>
          <w:szCs w:val="24"/>
        </w:rPr>
        <w:t>Considering the criticisms, it</w:t>
      </w:r>
      <w:proofErr w:type="gramEnd"/>
      <w:r w:rsidRPr="00524D9F">
        <w:rPr>
          <w:rFonts w:cstheme="minorHAnsi"/>
          <w:sz w:val="24"/>
          <w:szCs w:val="24"/>
        </w:rPr>
        <w:t xml:space="preserve"> was very clear from the course inception that students appreciated the chemistry content over the study skills components. Therefore, as the course evolved, we made concerted efforts to blend these activities together. </w:t>
      </w:r>
      <w:r w:rsidRPr="003D5C42">
        <w:rPr>
          <w:rFonts w:cstheme="minorHAnsi"/>
          <w:b/>
          <w:bCs/>
          <w:sz w:val="24"/>
          <w:szCs w:val="24"/>
        </w:rPr>
        <w:t>Tables S1–S3</w:t>
      </w:r>
      <w:r w:rsidRPr="00524D9F">
        <w:rPr>
          <w:rFonts w:cstheme="minorHAnsi"/>
          <w:sz w:val="24"/>
          <w:szCs w:val="24"/>
        </w:rPr>
        <w:t> show the evolution in course structure from the initial in-person to initial online offerings.</w:t>
      </w:r>
    </w:p>
    <w:p w14:paraId="1C6FF163" w14:textId="15BE05D3" w:rsidR="00524D9F" w:rsidRPr="00524D9F" w:rsidRDefault="00524D9F" w:rsidP="00524D9F">
      <w:pPr>
        <w:rPr>
          <w:rFonts w:cstheme="minorHAnsi"/>
          <w:sz w:val="24"/>
          <w:szCs w:val="24"/>
        </w:rPr>
      </w:pPr>
      <w:r w:rsidRPr="00524D9F">
        <w:rPr>
          <w:rFonts w:cstheme="minorHAnsi"/>
          <w:sz w:val="24"/>
          <w:szCs w:val="24"/>
        </w:rPr>
        <w:t>As noted in the introduction, studies of attrition in STEM majors have found that student self-efficacy and self-concept in STEM are both significant factors, amongst others</w:t>
      </w:r>
      <w:r w:rsidRPr="003D5C42">
        <w:rPr>
          <w:rFonts w:cstheme="minorHAnsi"/>
          <w:b/>
          <w:bCs/>
          <w:sz w:val="24"/>
          <w:szCs w:val="24"/>
          <w:vertAlign w:val="superscript"/>
        </w:rPr>
        <w:t>31</w:t>
      </w:r>
      <w:r w:rsidRPr="00572C65">
        <w:rPr>
          <w:rFonts w:cstheme="minorHAnsi"/>
          <w:sz w:val="24"/>
          <w:szCs w:val="24"/>
          <w:vertAlign w:val="superscript"/>
        </w:rPr>
        <w:t>,</w:t>
      </w:r>
      <w:r w:rsidRPr="003D5C42">
        <w:rPr>
          <w:rFonts w:cstheme="minorHAnsi"/>
          <w:b/>
          <w:bCs/>
          <w:sz w:val="24"/>
          <w:szCs w:val="24"/>
          <w:vertAlign w:val="superscript"/>
        </w:rPr>
        <w:t>32</w:t>
      </w:r>
      <w:r w:rsidRPr="00524D9F">
        <w:rPr>
          <w:rFonts w:cstheme="minorHAnsi"/>
          <w:sz w:val="24"/>
          <w:szCs w:val="24"/>
        </w:rPr>
        <w:t>. This connection helps to explain the impact of failed or withdrawn STEM courses on student retention in STEM majors, as described above. Additional evidence comes from a six-year study on the benefits of a chemistry preparatory or remedial course, which found that (1) at the 95% confidence level, there was not a statistically significant difference in grades for students who had completed the remedial course or not, and (2) the remedial course decreased the number of students successfully completing general chemistry, as 44% of students who successfully completed the remedial course (i.e., with a grade of C or better) did not subsequently enroll in the targeted chemistry course</w:t>
      </w:r>
      <w:r w:rsidRPr="003D5C42">
        <w:rPr>
          <w:rFonts w:cstheme="minorHAnsi"/>
          <w:b/>
          <w:bCs/>
          <w:sz w:val="24"/>
          <w:szCs w:val="24"/>
          <w:vertAlign w:val="superscript"/>
        </w:rPr>
        <w:t>35</w:t>
      </w:r>
      <w:r w:rsidRPr="00572C65">
        <w:rPr>
          <w:rFonts w:cstheme="minorHAnsi"/>
          <w:sz w:val="24"/>
          <w:szCs w:val="24"/>
          <w:vertAlign w:val="superscript"/>
        </w:rPr>
        <w:t>,</w:t>
      </w:r>
      <w:r w:rsidRPr="003D5C42">
        <w:rPr>
          <w:rFonts w:cstheme="minorHAnsi"/>
          <w:b/>
          <w:bCs/>
          <w:sz w:val="24"/>
          <w:szCs w:val="24"/>
          <w:vertAlign w:val="superscript"/>
        </w:rPr>
        <w:t>45</w:t>
      </w:r>
      <w:r w:rsidRPr="00524D9F">
        <w:rPr>
          <w:rFonts w:cstheme="minorHAnsi"/>
          <w:sz w:val="24"/>
          <w:szCs w:val="24"/>
        </w:rPr>
        <w:t>. Importantly, through post-course surveys, the authors found that the attrition rate stemmed largely from a change in choice of major and/or career goal, which did not appear to be directly attributable to the remedial course</w:t>
      </w:r>
      <w:r w:rsidRPr="003D5C42">
        <w:rPr>
          <w:rFonts w:cstheme="minorHAnsi"/>
          <w:b/>
          <w:bCs/>
          <w:sz w:val="24"/>
          <w:szCs w:val="24"/>
          <w:vertAlign w:val="superscript"/>
        </w:rPr>
        <w:t>45</w:t>
      </w:r>
      <w:r w:rsidRPr="00524D9F">
        <w:rPr>
          <w:rFonts w:cstheme="minorHAnsi"/>
          <w:sz w:val="24"/>
          <w:szCs w:val="24"/>
        </w:rPr>
        <w:t xml:space="preserve">. An important factor here could be the loss of self-efficacy, as an outcome of C, for example, in a remedial course may be considered on the one hand a success but on the other hand </w:t>
      </w:r>
      <w:proofErr w:type="gramStart"/>
      <w:r w:rsidRPr="00524D9F">
        <w:rPr>
          <w:rFonts w:cstheme="minorHAnsi"/>
          <w:sz w:val="24"/>
          <w:szCs w:val="24"/>
        </w:rPr>
        <w:t>lead</w:t>
      </w:r>
      <w:proofErr w:type="gramEnd"/>
      <w:r w:rsidRPr="00524D9F">
        <w:rPr>
          <w:rFonts w:cstheme="minorHAnsi"/>
          <w:sz w:val="24"/>
          <w:szCs w:val="24"/>
        </w:rPr>
        <w:t xml:space="preserve"> to a loss of self-efficacy for the student. Recognizing this, we attempted here through an intervention strategy to build student skills and self-efficacy in preparation for a retake of general chemistry I. Despite the limitations of this study, the results presented here are promising in showing potential for improved outcomes for students completing the intervention.</w:t>
      </w:r>
    </w:p>
    <w:p w14:paraId="0D8C219C" w14:textId="77777777" w:rsidR="00524D9F" w:rsidRPr="00524D9F" w:rsidRDefault="00524D9F" w:rsidP="00524D9F">
      <w:pPr>
        <w:rPr>
          <w:rFonts w:cstheme="minorHAnsi"/>
          <w:sz w:val="24"/>
          <w:szCs w:val="24"/>
        </w:rPr>
      </w:pPr>
      <w:r w:rsidRPr="00524D9F">
        <w:rPr>
          <w:rFonts w:cstheme="minorHAnsi"/>
          <w:sz w:val="24"/>
          <w:szCs w:val="24"/>
        </w:rPr>
        <w:lastRenderedPageBreak/>
        <w:t xml:space="preserve">Moving forward, we plan to keep offering the course with the following modifications: (1) we will add an in-person offering into the second 8-week term of the fall semester, following the format of our initial implementation; (2) we will add a 0-credit option for the winter J-term course </w:t>
      </w:r>
      <w:proofErr w:type="gramStart"/>
      <w:r w:rsidRPr="00524D9F">
        <w:rPr>
          <w:rFonts w:cstheme="minorHAnsi"/>
          <w:sz w:val="24"/>
          <w:szCs w:val="24"/>
        </w:rPr>
        <w:t>in order to</w:t>
      </w:r>
      <w:proofErr w:type="gramEnd"/>
      <w:r w:rsidRPr="00524D9F">
        <w:rPr>
          <w:rFonts w:cstheme="minorHAnsi"/>
          <w:sz w:val="24"/>
          <w:szCs w:val="24"/>
        </w:rPr>
        <w:t xml:space="preserve"> capture students for whom the additional tuition was an issue. Given that the J-term begins immediately after the fall semester and ends just before the spring semester, we suspect that student “burnout” may also be an important factor in limiting the enrollment in the J-term course.</w:t>
      </w:r>
    </w:p>
    <w:p w14:paraId="53F20B74" w14:textId="77777777" w:rsidR="00524D9F" w:rsidRPr="00524D9F" w:rsidRDefault="00524D9F" w:rsidP="001E059C">
      <w:pPr>
        <w:pStyle w:val="Heading1"/>
      </w:pPr>
      <w:r w:rsidRPr="00524D9F">
        <w:t>7. Limitations</w:t>
      </w:r>
    </w:p>
    <w:p w14:paraId="07AE3A4F" w14:textId="77777777" w:rsidR="00524D9F" w:rsidRPr="00524D9F" w:rsidRDefault="00524D9F" w:rsidP="00524D9F">
      <w:pPr>
        <w:rPr>
          <w:rFonts w:cstheme="minorHAnsi"/>
          <w:sz w:val="24"/>
          <w:szCs w:val="24"/>
        </w:rPr>
      </w:pPr>
      <w:r w:rsidRPr="00524D9F">
        <w:rPr>
          <w:rFonts w:cstheme="minorHAnsi"/>
          <w:sz w:val="24"/>
          <w:szCs w:val="24"/>
        </w:rPr>
        <w:t>The primary limitation of this work is the size of the cohort of students in the intervention course, particularly in the online offering. This makes it difficult to evaluate the efficacy of the course and certainly to compare the different course modalities in any meaningful way. While there is some evidence for improved outcomes for students completing the intervention course, the role of student mindset, motivation, and self-efficacy in contributing to these outcomes has not been examined.</w:t>
      </w:r>
    </w:p>
    <w:p w14:paraId="41FFA205" w14:textId="77777777" w:rsidR="00524D9F" w:rsidRPr="00524D9F" w:rsidRDefault="00524D9F" w:rsidP="001E059C">
      <w:pPr>
        <w:pStyle w:val="Heading1"/>
      </w:pPr>
      <w:r w:rsidRPr="00524D9F">
        <w:t>8. Conclusions</w:t>
      </w:r>
    </w:p>
    <w:p w14:paraId="06F771F0" w14:textId="77777777" w:rsidR="00524D9F" w:rsidRPr="00524D9F" w:rsidRDefault="00524D9F" w:rsidP="00524D9F">
      <w:pPr>
        <w:rPr>
          <w:rFonts w:cstheme="minorHAnsi"/>
          <w:sz w:val="24"/>
          <w:szCs w:val="24"/>
        </w:rPr>
      </w:pPr>
      <w:r w:rsidRPr="00524D9F">
        <w:rPr>
          <w:rFonts w:cstheme="minorHAnsi"/>
          <w:sz w:val="24"/>
          <w:szCs w:val="24"/>
        </w:rPr>
        <w:t>We have reported here on the design, implementation, and evaluation of a chemistry intervention course designed to capture students at risk of failing general chemistry I and prepare them to retake the course in the following semester. The course was initially conceived as an eight-week in-person offering in the second half of the semester, where students were required to withdraw from general chemistry I prior to admission, thus effectively swapping four credits for one credit. After three years of running in this format, the course was transitioned to the online J-term between fall and spring semesters, which led to a drastic reduction in the students completing the course. An analysis of outcomes showed a much higher retake rate for students completing the intervention course and improved outcomes upon retake. Overall, this study provides preliminary data that an intervention course may be a useful addition to the toolkit for improving student outcomes and retention in gateway general chemistry courses.</w:t>
      </w:r>
    </w:p>
    <w:p w14:paraId="5DDAA8AD" w14:textId="77777777" w:rsidR="00524D9F" w:rsidRPr="00524D9F" w:rsidRDefault="00524D9F" w:rsidP="001E059C">
      <w:pPr>
        <w:pStyle w:val="Heading1"/>
      </w:pPr>
      <w:r w:rsidRPr="00524D9F">
        <w:t>Supplementary Materials</w:t>
      </w:r>
    </w:p>
    <w:p w14:paraId="2885E04C" w14:textId="61C16268" w:rsidR="00524D9F" w:rsidRPr="00524D9F" w:rsidRDefault="00524D9F" w:rsidP="00524D9F">
      <w:pPr>
        <w:rPr>
          <w:rFonts w:cstheme="minorHAnsi"/>
          <w:sz w:val="24"/>
          <w:szCs w:val="24"/>
        </w:rPr>
      </w:pPr>
      <w:r w:rsidRPr="00524D9F">
        <w:rPr>
          <w:rFonts w:cstheme="minorHAnsi"/>
          <w:sz w:val="24"/>
          <w:szCs w:val="24"/>
        </w:rPr>
        <w:t>The following supporting information can be downloaded at: </w:t>
      </w:r>
      <w:r w:rsidRPr="003D5C42">
        <w:rPr>
          <w:rFonts w:cstheme="minorHAnsi"/>
          <w:b/>
          <w:bCs/>
          <w:sz w:val="24"/>
          <w:szCs w:val="24"/>
        </w:rPr>
        <w:t>https://www.mdpi.com/article/10.3390/educsci13090891/s1</w:t>
      </w:r>
      <w:r w:rsidRPr="00524D9F">
        <w:rPr>
          <w:rFonts w:cstheme="minorHAnsi"/>
          <w:sz w:val="24"/>
          <w:szCs w:val="24"/>
        </w:rPr>
        <w:t>, Figure S1: Announcement flyer for the Bridge Course. Table S1: Schedule of activities for the bridge course, Fall 2016 implementation. Table S2: Schedule of activities for the bridge course, Fall 2018 implementation. Table S3: Schedule of activities for the online version of the bridge course. Examples: detailed examples of activities. Module Worksheets: detailed worksheets used in the online implementation.</w:t>
      </w:r>
    </w:p>
    <w:p w14:paraId="32FA8938" w14:textId="77777777" w:rsidR="00524D9F" w:rsidRPr="00524D9F" w:rsidRDefault="00524D9F" w:rsidP="001E059C">
      <w:pPr>
        <w:pStyle w:val="Heading1"/>
      </w:pPr>
      <w:r w:rsidRPr="00524D9F">
        <w:t>Funding</w:t>
      </w:r>
    </w:p>
    <w:p w14:paraId="506EF95E" w14:textId="77777777" w:rsidR="00524D9F" w:rsidRPr="00524D9F" w:rsidRDefault="00524D9F" w:rsidP="00524D9F">
      <w:pPr>
        <w:rPr>
          <w:rFonts w:cstheme="minorHAnsi"/>
          <w:sz w:val="24"/>
          <w:szCs w:val="24"/>
        </w:rPr>
      </w:pPr>
      <w:r w:rsidRPr="00524D9F">
        <w:rPr>
          <w:rFonts w:cstheme="minorHAnsi"/>
          <w:sz w:val="24"/>
          <w:szCs w:val="24"/>
        </w:rPr>
        <w:t>This research received no external funding.</w:t>
      </w:r>
    </w:p>
    <w:p w14:paraId="4C6164B0" w14:textId="77777777" w:rsidR="00524D9F" w:rsidRPr="00524D9F" w:rsidRDefault="00524D9F" w:rsidP="001E059C">
      <w:pPr>
        <w:pStyle w:val="Heading1"/>
      </w:pPr>
      <w:r w:rsidRPr="00524D9F">
        <w:t>Institutional Review Board Statement</w:t>
      </w:r>
    </w:p>
    <w:p w14:paraId="4F609019" w14:textId="77777777" w:rsidR="00524D9F" w:rsidRPr="00524D9F" w:rsidRDefault="00524D9F" w:rsidP="00524D9F">
      <w:pPr>
        <w:rPr>
          <w:rFonts w:cstheme="minorHAnsi"/>
          <w:sz w:val="24"/>
          <w:szCs w:val="24"/>
        </w:rPr>
      </w:pPr>
      <w:r w:rsidRPr="00524D9F">
        <w:rPr>
          <w:rFonts w:cstheme="minorHAnsi"/>
          <w:sz w:val="24"/>
          <w:szCs w:val="24"/>
        </w:rPr>
        <w:t>This study was submitted to the Institutional Review Board at our institution (IRB #3562) and was classified as exempt from further review.</w:t>
      </w:r>
    </w:p>
    <w:p w14:paraId="4684F8F5" w14:textId="77777777" w:rsidR="00524D9F" w:rsidRPr="00524D9F" w:rsidRDefault="00524D9F" w:rsidP="001E059C">
      <w:pPr>
        <w:pStyle w:val="Heading1"/>
      </w:pPr>
      <w:r w:rsidRPr="00524D9F">
        <w:lastRenderedPageBreak/>
        <w:t>Informed Consent Statement</w:t>
      </w:r>
    </w:p>
    <w:p w14:paraId="764F9BBA" w14:textId="77777777" w:rsidR="00524D9F" w:rsidRPr="00524D9F" w:rsidRDefault="00524D9F" w:rsidP="00524D9F">
      <w:pPr>
        <w:rPr>
          <w:rFonts w:cstheme="minorHAnsi"/>
          <w:sz w:val="24"/>
          <w:szCs w:val="24"/>
        </w:rPr>
      </w:pPr>
      <w:r w:rsidRPr="00524D9F">
        <w:rPr>
          <w:rFonts w:cstheme="minorHAnsi"/>
          <w:sz w:val="24"/>
          <w:szCs w:val="24"/>
        </w:rPr>
        <w:t>Not applicable.</w:t>
      </w:r>
    </w:p>
    <w:p w14:paraId="67162EC5" w14:textId="77777777" w:rsidR="00524D9F" w:rsidRPr="00524D9F" w:rsidRDefault="00524D9F" w:rsidP="001E059C">
      <w:pPr>
        <w:pStyle w:val="Heading1"/>
      </w:pPr>
      <w:r w:rsidRPr="00524D9F">
        <w:t>Data Availability Statement</w:t>
      </w:r>
    </w:p>
    <w:p w14:paraId="590D33AD" w14:textId="77777777" w:rsidR="00524D9F" w:rsidRPr="00524D9F" w:rsidRDefault="00524D9F" w:rsidP="00524D9F">
      <w:pPr>
        <w:rPr>
          <w:rFonts w:cstheme="minorHAnsi"/>
          <w:sz w:val="24"/>
          <w:szCs w:val="24"/>
        </w:rPr>
      </w:pPr>
      <w:r w:rsidRPr="00524D9F">
        <w:rPr>
          <w:rFonts w:cstheme="minorHAnsi"/>
          <w:sz w:val="24"/>
          <w:szCs w:val="24"/>
        </w:rPr>
        <w:t>The data presented in this study are available on request from the corresponding author.</w:t>
      </w:r>
    </w:p>
    <w:p w14:paraId="6A845434" w14:textId="77777777" w:rsidR="00524D9F" w:rsidRPr="00524D9F" w:rsidRDefault="00524D9F" w:rsidP="001E059C">
      <w:pPr>
        <w:pStyle w:val="Heading1"/>
      </w:pPr>
      <w:r w:rsidRPr="00524D9F">
        <w:t>Conflicts of Interest</w:t>
      </w:r>
    </w:p>
    <w:p w14:paraId="719F3F5B" w14:textId="77777777" w:rsidR="00524D9F" w:rsidRPr="00524D9F" w:rsidRDefault="00524D9F" w:rsidP="00524D9F">
      <w:pPr>
        <w:rPr>
          <w:rFonts w:cstheme="minorHAnsi"/>
          <w:sz w:val="24"/>
          <w:szCs w:val="24"/>
        </w:rPr>
      </w:pPr>
      <w:r w:rsidRPr="00524D9F">
        <w:rPr>
          <w:rFonts w:cstheme="minorHAnsi"/>
          <w:sz w:val="24"/>
          <w:szCs w:val="24"/>
        </w:rPr>
        <w:t>The author declares no conflict of interest.</w:t>
      </w:r>
    </w:p>
    <w:p w14:paraId="054E788E" w14:textId="77777777" w:rsidR="00524D9F" w:rsidRPr="00524D9F" w:rsidRDefault="00524D9F" w:rsidP="001E059C">
      <w:pPr>
        <w:pStyle w:val="Heading1"/>
      </w:pPr>
      <w:r w:rsidRPr="00524D9F">
        <w:t>References</w:t>
      </w:r>
    </w:p>
    <w:p w14:paraId="2E7381AE" w14:textId="6E887AF4" w:rsidR="00524D9F" w:rsidRPr="00524D9F" w:rsidRDefault="00524D9F" w:rsidP="00390E39">
      <w:pPr>
        <w:numPr>
          <w:ilvl w:val="0"/>
          <w:numId w:val="15"/>
        </w:numPr>
        <w:spacing w:after="0"/>
        <w:rPr>
          <w:rFonts w:cstheme="minorHAnsi"/>
          <w:sz w:val="24"/>
          <w:szCs w:val="24"/>
        </w:rPr>
      </w:pPr>
      <w:proofErr w:type="spellStart"/>
      <w:r w:rsidRPr="00524D9F">
        <w:rPr>
          <w:rFonts w:cstheme="minorHAnsi"/>
          <w:sz w:val="24"/>
          <w:szCs w:val="24"/>
        </w:rPr>
        <w:t>Supaporn</w:t>
      </w:r>
      <w:proofErr w:type="spellEnd"/>
      <w:r w:rsidRPr="00524D9F">
        <w:rPr>
          <w:rFonts w:cstheme="minorHAnsi"/>
          <w:sz w:val="24"/>
          <w:szCs w:val="24"/>
        </w:rPr>
        <w:t>, K.H.; Gupta, T. (Eds.) </w:t>
      </w:r>
      <w:r w:rsidRPr="00524D9F">
        <w:rPr>
          <w:rFonts w:cstheme="minorHAnsi"/>
          <w:i/>
          <w:iCs/>
          <w:sz w:val="24"/>
          <w:szCs w:val="24"/>
        </w:rPr>
        <w:t>From General to Organic Chemistry: Courses and Curricula to Enhance Student Retention</w:t>
      </w:r>
      <w:r w:rsidRPr="00524D9F">
        <w:rPr>
          <w:rFonts w:cstheme="minorHAnsi"/>
          <w:sz w:val="24"/>
          <w:szCs w:val="24"/>
        </w:rPr>
        <w:t xml:space="preserve">; American Chemical Society: Washington, DC, USA, 2019; Volume 1341. </w:t>
      </w:r>
    </w:p>
    <w:p w14:paraId="2042BC7D" w14:textId="67FC9077"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 xml:space="preserve">Yigit, E.A.; </w:t>
      </w:r>
      <w:proofErr w:type="spellStart"/>
      <w:r w:rsidRPr="00524D9F">
        <w:rPr>
          <w:rFonts w:cstheme="minorHAnsi"/>
          <w:sz w:val="24"/>
          <w:szCs w:val="24"/>
        </w:rPr>
        <w:t>Kiyici</w:t>
      </w:r>
      <w:proofErr w:type="spellEnd"/>
      <w:r w:rsidRPr="00524D9F">
        <w:rPr>
          <w:rFonts w:cstheme="minorHAnsi"/>
          <w:sz w:val="24"/>
          <w:szCs w:val="24"/>
        </w:rPr>
        <w:t>, F.B.; Cetinkaya, G. Evaluating the Testing Effect in the Classroom: An Effective Way to Retrieve Learned Information. </w:t>
      </w:r>
      <w:r w:rsidRPr="00524D9F">
        <w:rPr>
          <w:rFonts w:cstheme="minorHAnsi"/>
          <w:i/>
          <w:iCs/>
          <w:sz w:val="24"/>
          <w:szCs w:val="24"/>
        </w:rPr>
        <w:t>Eurasian J. Educ. Res.</w:t>
      </w:r>
      <w:r w:rsidRPr="00524D9F">
        <w:rPr>
          <w:rFonts w:cstheme="minorHAnsi"/>
          <w:sz w:val="24"/>
          <w:szCs w:val="24"/>
        </w:rPr>
        <w:t> </w:t>
      </w:r>
      <w:r w:rsidRPr="00524D9F">
        <w:rPr>
          <w:rFonts w:cstheme="minorHAnsi"/>
          <w:b/>
          <w:bCs/>
          <w:sz w:val="24"/>
          <w:szCs w:val="24"/>
        </w:rPr>
        <w:t>2014</w:t>
      </w:r>
      <w:r w:rsidRPr="00524D9F">
        <w:rPr>
          <w:rFonts w:cstheme="minorHAnsi"/>
          <w:sz w:val="24"/>
          <w:szCs w:val="24"/>
        </w:rPr>
        <w:t>, </w:t>
      </w:r>
      <w:r w:rsidRPr="00524D9F">
        <w:rPr>
          <w:rFonts w:cstheme="minorHAnsi"/>
          <w:i/>
          <w:iCs/>
          <w:sz w:val="24"/>
          <w:szCs w:val="24"/>
        </w:rPr>
        <w:t>14</w:t>
      </w:r>
      <w:r w:rsidRPr="00524D9F">
        <w:rPr>
          <w:rFonts w:cstheme="minorHAnsi"/>
          <w:sz w:val="24"/>
          <w:szCs w:val="24"/>
        </w:rPr>
        <w:t xml:space="preserve">, 99–116. </w:t>
      </w:r>
    </w:p>
    <w:p w14:paraId="3B45DDCE" w14:textId="62909769"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Batz, Z.; Olsen, B.J.; Dumont, J.; Dastoor, F.; Smith, M.K. Helping Struggling Students in Introductory Biology: A Peer-Tutoring Approach That Improves Performance, Perception, and Retention. </w:t>
      </w:r>
      <w:proofErr w:type="spellStart"/>
      <w:r w:rsidRPr="00524D9F">
        <w:rPr>
          <w:rFonts w:cstheme="minorHAnsi"/>
          <w:i/>
          <w:iCs/>
          <w:sz w:val="24"/>
          <w:szCs w:val="24"/>
        </w:rPr>
        <w:t>Cbe</w:t>
      </w:r>
      <w:proofErr w:type="spellEnd"/>
      <w:r w:rsidRPr="00524D9F">
        <w:rPr>
          <w:rFonts w:cstheme="minorHAnsi"/>
          <w:i/>
          <w:iCs/>
          <w:sz w:val="24"/>
          <w:szCs w:val="24"/>
        </w:rPr>
        <w:t>-Life Sci. Educ.</w:t>
      </w:r>
      <w:r w:rsidRPr="00524D9F">
        <w:rPr>
          <w:rFonts w:cstheme="minorHAnsi"/>
          <w:sz w:val="24"/>
          <w:szCs w:val="24"/>
        </w:rPr>
        <w:t> </w:t>
      </w:r>
      <w:r w:rsidRPr="00524D9F">
        <w:rPr>
          <w:rFonts w:cstheme="minorHAnsi"/>
          <w:b/>
          <w:bCs/>
          <w:sz w:val="24"/>
          <w:szCs w:val="24"/>
        </w:rPr>
        <w:t>2015</w:t>
      </w:r>
      <w:r w:rsidRPr="00524D9F">
        <w:rPr>
          <w:rFonts w:cstheme="minorHAnsi"/>
          <w:sz w:val="24"/>
          <w:szCs w:val="24"/>
        </w:rPr>
        <w:t>, </w:t>
      </w:r>
      <w:r w:rsidRPr="00524D9F">
        <w:rPr>
          <w:rFonts w:cstheme="minorHAnsi"/>
          <w:i/>
          <w:iCs/>
          <w:sz w:val="24"/>
          <w:szCs w:val="24"/>
        </w:rPr>
        <w:t>14</w:t>
      </w:r>
      <w:r w:rsidRPr="00524D9F">
        <w:rPr>
          <w:rFonts w:cstheme="minorHAnsi"/>
          <w:sz w:val="24"/>
          <w:szCs w:val="24"/>
        </w:rPr>
        <w:t xml:space="preserve">, ar16. </w:t>
      </w:r>
    </w:p>
    <w:p w14:paraId="025AEBE0" w14:textId="591A69F4"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Blickenstaff, J.C. Women and science careers: Leaky pipeline or gender filter? </w:t>
      </w:r>
      <w:r w:rsidRPr="00524D9F">
        <w:rPr>
          <w:rFonts w:cstheme="minorHAnsi"/>
          <w:i/>
          <w:iCs/>
          <w:sz w:val="24"/>
          <w:szCs w:val="24"/>
        </w:rPr>
        <w:t>Gend. Educ.</w:t>
      </w:r>
      <w:r w:rsidRPr="00524D9F">
        <w:rPr>
          <w:rFonts w:cstheme="minorHAnsi"/>
          <w:sz w:val="24"/>
          <w:szCs w:val="24"/>
        </w:rPr>
        <w:t> </w:t>
      </w:r>
      <w:r w:rsidRPr="00524D9F">
        <w:rPr>
          <w:rFonts w:cstheme="minorHAnsi"/>
          <w:b/>
          <w:bCs/>
          <w:sz w:val="24"/>
          <w:szCs w:val="24"/>
        </w:rPr>
        <w:t>2005</w:t>
      </w:r>
      <w:r w:rsidRPr="00524D9F">
        <w:rPr>
          <w:rFonts w:cstheme="minorHAnsi"/>
          <w:sz w:val="24"/>
          <w:szCs w:val="24"/>
        </w:rPr>
        <w:t>, </w:t>
      </w:r>
      <w:r w:rsidRPr="00524D9F">
        <w:rPr>
          <w:rFonts w:cstheme="minorHAnsi"/>
          <w:i/>
          <w:iCs/>
          <w:sz w:val="24"/>
          <w:szCs w:val="24"/>
        </w:rPr>
        <w:t>17</w:t>
      </w:r>
      <w:r w:rsidRPr="00524D9F">
        <w:rPr>
          <w:rFonts w:cstheme="minorHAnsi"/>
          <w:sz w:val="24"/>
          <w:szCs w:val="24"/>
        </w:rPr>
        <w:t xml:space="preserve">, 369–386. </w:t>
      </w:r>
    </w:p>
    <w:p w14:paraId="7517A127" w14:textId="1E46D0E7"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Bock, C. Diversity, Equality, and Inclusion in Our Professions: A Thin and Leaky Pipeline. </w:t>
      </w:r>
      <w:proofErr w:type="spellStart"/>
      <w:r w:rsidRPr="00524D9F">
        <w:rPr>
          <w:rFonts w:cstheme="minorHAnsi"/>
          <w:i/>
          <w:iCs/>
          <w:sz w:val="24"/>
          <w:szCs w:val="24"/>
        </w:rPr>
        <w:t>Electrochem</w:t>
      </w:r>
      <w:proofErr w:type="spellEnd"/>
      <w:r w:rsidRPr="00524D9F">
        <w:rPr>
          <w:rFonts w:cstheme="minorHAnsi"/>
          <w:i/>
          <w:iCs/>
          <w:sz w:val="24"/>
          <w:szCs w:val="24"/>
        </w:rPr>
        <w:t>. Soc. Interface</w:t>
      </w:r>
      <w:r w:rsidRPr="00524D9F">
        <w:rPr>
          <w:rFonts w:cstheme="minorHAnsi"/>
          <w:sz w:val="24"/>
          <w:szCs w:val="24"/>
        </w:rPr>
        <w:t> </w:t>
      </w:r>
      <w:r w:rsidRPr="00524D9F">
        <w:rPr>
          <w:rFonts w:cstheme="minorHAnsi"/>
          <w:b/>
          <w:bCs/>
          <w:sz w:val="24"/>
          <w:szCs w:val="24"/>
        </w:rPr>
        <w:t>2022</w:t>
      </w:r>
      <w:r w:rsidRPr="00524D9F">
        <w:rPr>
          <w:rFonts w:cstheme="minorHAnsi"/>
          <w:sz w:val="24"/>
          <w:szCs w:val="24"/>
        </w:rPr>
        <w:t>, </w:t>
      </w:r>
      <w:r w:rsidRPr="00524D9F">
        <w:rPr>
          <w:rFonts w:cstheme="minorHAnsi"/>
          <w:i/>
          <w:iCs/>
          <w:sz w:val="24"/>
          <w:szCs w:val="24"/>
        </w:rPr>
        <w:t>31</w:t>
      </w:r>
      <w:r w:rsidRPr="00524D9F">
        <w:rPr>
          <w:rFonts w:cstheme="minorHAnsi"/>
          <w:sz w:val="24"/>
          <w:szCs w:val="24"/>
        </w:rPr>
        <w:t>, 41–44</w:t>
      </w:r>
      <w:r w:rsidR="00CF288A">
        <w:rPr>
          <w:rFonts w:cstheme="minorHAnsi"/>
          <w:sz w:val="24"/>
          <w:szCs w:val="24"/>
        </w:rPr>
        <w:t>.</w:t>
      </w:r>
    </w:p>
    <w:p w14:paraId="268E3887" w14:textId="3E2E14DB"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Cundiff, J.L.; Vescio, T.K.; Loken, E.; Lo, L. Do gender-science stereotypes predict science identification and science career aspirations among undergraduate science majors? </w:t>
      </w:r>
      <w:r w:rsidRPr="00524D9F">
        <w:rPr>
          <w:rFonts w:cstheme="minorHAnsi"/>
          <w:i/>
          <w:iCs/>
          <w:sz w:val="24"/>
          <w:szCs w:val="24"/>
        </w:rPr>
        <w:t>Soc. Psychol. Educ.</w:t>
      </w:r>
      <w:r w:rsidRPr="00524D9F">
        <w:rPr>
          <w:rFonts w:cstheme="minorHAnsi"/>
          <w:sz w:val="24"/>
          <w:szCs w:val="24"/>
        </w:rPr>
        <w:t> </w:t>
      </w:r>
      <w:r w:rsidRPr="00524D9F">
        <w:rPr>
          <w:rFonts w:cstheme="minorHAnsi"/>
          <w:b/>
          <w:bCs/>
          <w:sz w:val="24"/>
          <w:szCs w:val="24"/>
        </w:rPr>
        <w:t>2013</w:t>
      </w:r>
      <w:r w:rsidRPr="00524D9F">
        <w:rPr>
          <w:rFonts w:cstheme="minorHAnsi"/>
          <w:sz w:val="24"/>
          <w:szCs w:val="24"/>
        </w:rPr>
        <w:t>, </w:t>
      </w:r>
      <w:r w:rsidRPr="00524D9F">
        <w:rPr>
          <w:rFonts w:cstheme="minorHAnsi"/>
          <w:i/>
          <w:iCs/>
          <w:sz w:val="24"/>
          <w:szCs w:val="24"/>
        </w:rPr>
        <w:t>16</w:t>
      </w:r>
      <w:r w:rsidRPr="00524D9F">
        <w:rPr>
          <w:rFonts w:cstheme="minorHAnsi"/>
          <w:sz w:val="24"/>
          <w:szCs w:val="24"/>
        </w:rPr>
        <w:t>, 541–554</w:t>
      </w:r>
      <w:r w:rsidR="00CF288A">
        <w:rPr>
          <w:rFonts w:cstheme="minorHAnsi"/>
          <w:sz w:val="24"/>
          <w:szCs w:val="24"/>
        </w:rPr>
        <w:t>.</w:t>
      </w:r>
    </w:p>
    <w:p w14:paraId="391B580D" w14:textId="26883919"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Dasgupta, N.; Scircle, M.M.; Hunsinger, M. Female peers in small work groups enhance women’s motivation, verbal participation, and career aspirations in engineering. </w:t>
      </w:r>
      <w:r w:rsidRPr="00524D9F">
        <w:rPr>
          <w:rFonts w:cstheme="minorHAnsi"/>
          <w:i/>
          <w:iCs/>
          <w:sz w:val="24"/>
          <w:szCs w:val="24"/>
        </w:rPr>
        <w:t>Proc. Natl. Acad. Sci. USA</w:t>
      </w:r>
      <w:r w:rsidRPr="00524D9F">
        <w:rPr>
          <w:rFonts w:cstheme="minorHAnsi"/>
          <w:sz w:val="24"/>
          <w:szCs w:val="24"/>
        </w:rPr>
        <w:t> </w:t>
      </w:r>
      <w:r w:rsidRPr="00524D9F">
        <w:rPr>
          <w:rFonts w:cstheme="minorHAnsi"/>
          <w:b/>
          <w:bCs/>
          <w:sz w:val="24"/>
          <w:szCs w:val="24"/>
        </w:rPr>
        <w:t>2015</w:t>
      </w:r>
      <w:r w:rsidRPr="00524D9F">
        <w:rPr>
          <w:rFonts w:cstheme="minorHAnsi"/>
          <w:sz w:val="24"/>
          <w:szCs w:val="24"/>
        </w:rPr>
        <w:t>, </w:t>
      </w:r>
      <w:r w:rsidRPr="00524D9F">
        <w:rPr>
          <w:rFonts w:cstheme="minorHAnsi"/>
          <w:i/>
          <w:iCs/>
          <w:sz w:val="24"/>
          <w:szCs w:val="24"/>
        </w:rPr>
        <w:t>112</w:t>
      </w:r>
      <w:r w:rsidRPr="00524D9F">
        <w:rPr>
          <w:rFonts w:cstheme="minorHAnsi"/>
          <w:sz w:val="24"/>
          <w:szCs w:val="24"/>
        </w:rPr>
        <w:t xml:space="preserve">, 4988–4993. </w:t>
      </w:r>
    </w:p>
    <w:p w14:paraId="690DCFB9" w14:textId="20C17494"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 xml:space="preserve">De Loof, H.; Boeve-de Pauw, J.; Van </w:t>
      </w:r>
      <w:proofErr w:type="spellStart"/>
      <w:r w:rsidRPr="00524D9F">
        <w:rPr>
          <w:rFonts w:cstheme="minorHAnsi"/>
          <w:sz w:val="24"/>
          <w:szCs w:val="24"/>
        </w:rPr>
        <w:t>Petegem</w:t>
      </w:r>
      <w:proofErr w:type="spellEnd"/>
      <w:r w:rsidRPr="00524D9F">
        <w:rPr>
          <w:rFonts w:cstheme="minorHAnsi"/>
          <w:sz w:val="24"/>
          <w:szCs w:val="24"/>
        </w:rPr>
        <w:t>, P. Engaging Students with Integrated STEM Education: A Happy Marriage or a Failed Engagement? </w:t>
      </w:r>
      <w:r w:rsidRPr="00524D9F">
        <w:rPr>
          <w:rFonts w:cstheme="minorHAnsi"/>
          <w:i/>
          <w:iCs/>
          <w:sz w:val="24"/>
          <w:szCs w:val="24"/>
        </w:rPr>
        <w:t>Int. J. Sci. Math. Educ.</w:t>
      </w:r>
      <w:r w:rsidRPr="00524D9F">
        <w:rPr>
          <w:rFonts w:cstheme="minorHAnsi"/>
          <w:sz w:val="24"/>
          <w:szCs w:val="24"/>
        </w:rPr>
        <w:t> </w:t>
      </w:r>
      <w:r w:rsidRPr="00524D9F">
        <w:rPr>
          <w:rFonts w:cstheme="minorHAnsi"/>
          <w:b/>
          <w:bCs/>
          <w:sz w:val="24"/>
          <w:szCs w:val="24"/>
        </w:rPr>
        <w:t>2022</w:t>
      </w:r>
      <w:r w:rsidRPr="00524D9F">
        <w:rPr>
          <w:rFonts w:cstheme="minorHAnsi"/>
          <w:sz w:val="24"/>
          <w:szCs w:val="24"/>
        </w:rPr>
        <w:t>, </w:t>
      </w:r>
      <w:r w:rsidRPr="00524D9F">
        <w:rPr>
          <w:rFonts w:cstheme="minorHAnsi"/>
          <w:i/>
          <w:iCs/>
          <w:sz w:val="24"/>
          <w:szCs w:val="24"/>
        </w:rPr>
        <w:t>20</w:t>
      </w:r>
      <w:r w:rsidRPr="00524D9F">
        <w:rPr>
          <w:rFonts w:cstheme="minorHAnsi"/>
          <w:sz w:val="24"/>
          <w:szCs w:val="24"/>
        </w:rPr>
        <w:t xml:space="preserve">, 1291–1313. </w:t>
      </w:r>
    </w:p>
    <w:p w14:paraId="51E6E6B7" w14:textId="3AE6DE21"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Gregor, M.; Dunn, M.; Campbell-Halfaker, D.; Martin-Fernandez, J.; Ferrer, A.; Robinson, S. Plugging the Leaky Pipeline: A Qualitative Investigation of Untenured Female Faculty in STEM. </w:t>
      </w:r>
      <w:r w:rsidRPr="00524D9F">
        <w:rPr>
          <w:rFonts w:cstheme="minorHAnsi"/>
          <w:i/>
          <w:iCs/>
          <w:sz w:val="24"/>
          <w:szCs w:val="24"/>
        </w:rPr>
        <w:t>J. Career Dev.</w:t>
      </w:r>
      <w:r w:rsidRPr="00524D9F">
        <w:rPr>
          <w:rFonts w:cstheme="minorHAnsi"/>
          <w:sz w:val="24"/>
          <w:szCs w:val="24"/>
        </w:rPr>
        <w:t> </w:t>
      </w:r>
      <w:r w:rsidRPr="00524D9F">
        <w:rPr>
          <w:rFonts w:cstheme="minorHAnsi"/>
          <w:b/>
          <w:bCs/>
          <w:sz w:val="24"/>
          <w:szCs w:val="24"/>
        </w:rPr>
        <w:t>2022</w:t>
      </w:r>
      <w:r w:rsidRPr="00524D9F">
        <w:rPr>
          <w:rFonts w:cstheme="minorHAnsi"/>
          <w:sz w:val="24"/>
          <w:szCs w:val="24"/>
        </w:rPr>
        <w:t>, </w:t>
      </w:r>
      <w:r w:rsidRPr="00524D9F">
        <w:rPr>
          <w:rFonts w:cstheme="minorHAnsi"/>
          <w:i/>
          <w:iCs/>
          <w:sz w:val="24"/>
          <w:szCs w:val="24"/>
        </w:rPr>
        <w:t>50</w:t>
      </w:r>
      <w:r w:rsidRPr="00524D9F">
        <w:rPr>
          <w:rFonts w:cstheme="minorHAnsi"/>
          <w:sz w:val="24"/>
          <w:szCs w:val="24"/>
        </w:rPr>
        <w:t xml:space="preserve">, 425–444. </w:t>
      </w:r>
    </w:p>
    <w:p w14:paraId="222DD3A6" w14:textId="67439784"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Griffith, A.L. Persistence of women and minorities in STEM field majors: Is it the school that matters? </w:t>
      </w:r>
      <w:r w:rsidRPr="00524D9F">
        <w:rPr>
          <w:rFonts w:cstheme="minorHAnsi"/>
          <w:i/>
          <w:iCs/>
          <w:sz w:val="24"/>
          <w:szCs w:val="24"/>
        </w:rPr>
        <w:t>Econ. Educ. Rev.</w:t>
      </w:r>
      <w:r w:rsidRPr="00524D9F">
        <w:rPr>
          <w:rFonts w:cstheme="minorHAnsi"/>
          <w:sz w:val="24"/>
          <w:szCs w:val="24"/>
        </w:rPr>
        <w:t> </w:t>
      </w:r>
      <w:r w:rsidRPr="00524D9F">
        <w:rPr>
          <w:rFonts w:cstheme="minorHAnsi"/>
          <w:b/>
          <w:bCs/>
          <w:sz w:val="24"/>
          <w:szCs w:val="24"/>
        </w:rPr>
        <w:t>2010</w:t>
      </w:r>
      <w:r w:rsidRPr="00524D9F">
        <w:rPr>
          <w:rFonts w:cstheme="minorHAnsi"/>
          <w:sz w:val="24"/>
          <w:szCs w:val="24"/>
        </w:rPr>
        <w:t>, </w:t>
      </w:r>
      <w:r w:rsidRPr="00524D9F">
        <w:rPr>
          <w:rFonts w:cstheme="minorHAnsi"/>
          <w:i/>
          <w:iCs/>
          <w:sz w:val="24"/>
          <w:szCs w:val="24"/>
        </w:rPr>
        <w:t>29</w:t>
      </w:r>
      <w:r w:rsidRPr="00524D9F">
        <w:rPr>
          <w:rFonts w:cstheme="minorHAnsi"/>
          <w:sz w:val="24"/>
          <w:szCs w:val="24"/>
        </w:rPr>
        <w:t xml:space="preserve">, 911–922. </w:t>
      </w:r>
    </w:p>
    <w:p w14:paraId="531D40A0" w14:textId="0E33341E"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Huryn, D.M.; Bolognesi, M.L.; Young, W.B. Medicinal Chemistry: Where Are All the Women? </w:t>
      </w:r>
      <w:r w:rsidRPr="00524D9F">
        <w:rPr>
          <w:rFonts w:cstheme="minorHAnsi"/>
          <w:i/>
          <w:iCs/>
          <w:sz w:val="24"/>
          <w:szCs w:val="24"/>
        </w:rPr>
        <w:t>Acs Med. Chem. Lett.</w:t>
      </w:r>
      <w:r w:rsidRPr="00524D9F">
        <w:rPr>
          <w:rFonts w:cstheme="minorHAnsi"/>
          <w:sz w:val="24"/>
          <w:szCs w:val="24"/>
        </w:rPr>
        <w:t> </w:t>
      </w:r>
      <w:r w:rsidRPr="00524D9F">
        <w:rPr>
          <w:rFonts w:cstheme="minorHAnsi"/>
          <w:b/>
          <w:bCs/>
          <w:sz w:val="24"/>
          <w:szCs w:val="24"/>
        </w:rPr>
        <w:t>2017</w:t>
      </w:r>
      <w:r w:rsidRPr="00524D9F">
        <w:rPr>
          <w:rFonts w:cstheme="minorHAnsi"/>
          <w:sz w:val="24"/>
          <w:szCs w:val="24"/>
        </w:rPr>
        <w:t>, </w:t>
      </w:r>
      <w:r w:rsidRPr="00524D9F">
        <w:rPr>
          <w:rFonts w:cstheme="minorHAnsi"/>
          <w:i/>
          <w:iCs/>
          <w:sz w:val="24"/>
          <w:szCs w:val="24"/>
        </w:rPr>
        <w:t>8</w:t>
      </w:r>
      <w:r w:rsidRPr="00524D9F">
        <w:rPr>
          <w:rFonts w:cstheme="minorHAnsi"/>
          <w:sz w:val="24"/>
          <w:szCs w:val="24"/>
        </w:rPr>
        <w:t xml:space="preserve">, 900–902. </w:t>
      </w:r>
    </w:p>
    <w:p w14:paraId="2445123E" w14:textId="03DAF62A"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 xml:space="preserve">Jensen, J.L.; Neeley, S.; Hatch, J.B.; </w:t>
      </w:r>
      <w:proofErr w:type="spellStart"/>
      <w:r w:rsidRPr="00524D9F">
        <w:rPr>
          <w:rFonts w:cstheme="minorHAnsi"/>
          <w:sz w:val="24"/>
          <w:szCs w:val="24"/>
        </w:rPr>
        <w:t>Piorczynski</w:t>
      </w:r>
      <w:proofErr w:type="spellEnd"/>
      <w:r w:rsidRPr="00524D9F">
        <w:rPr>
          <w:rFonts w:cstheme="minorHAnsi"/>
          <w:sz w:val="24"/>
          <w:szCs w:val="24"/>
        </w:rPr>
        <w:t>, T. Learning Scientific Reasoning Skills May Be Key to Retention in Science, Technology, Engineering, and Mathematics. </w:t>
      </w:r>
      <w:r w:rsidRPr="00524D9F">
        <w:rPr>
          <w:rFonts w:cstheme="minorHAnsi"/>
          <w:i/>
          <w:iCs/>
          <w:sz w:val="24"/>
          <w:szCs w:val="24"/>
        </w:rPr>
        <w:t xml:space="preserve">J. Coll. Stud. </w:t>
      </w:r>
      <w:proofErr w:type="spellStart"/>
      <w:r w:rsidRPr="00524D9F">
        <w:rPr>
          <w:rFonts w:cstheme="minorHAnsi"/>
          <w:i/>
          <w:iCs/>
          <w:sz w:val="24"/>
          <w:szCs w:val="24"/>
        </w:rPr>
        <w:t>Retent</w:t>
      </w:r>
      <w:proofErr w:type="spellEnd"/>
      <w:r w:rsidRPr="00524D9F">
        <w:rPr>
          <w:rFonts w:cstheme="minorHAnsi"/>
          <w:i/>
          <w:iCs/>
          <w:sz w:val="24"/>
          <w:szCs w:val="24"/>
        </w:rPr>
        <w:t>-R.</w:t>
      </w:r>
      <w:r w:rsidRPr="00524D9F">
        <w:rPr>
          <w:rFonts w:cstheme="minorHAnsi"/>
          <w:sz w:val="24"/>
          <w:szCs w:val="24"/>
        </w:rPr>
        <w:t> </w:t>
      </w:r>
      <w:r w:rsidRPr="00524D9F">
        <w:rPr>
          <w:rFonts w:cstheme="minorHAnsi"/>
          <w:b/>
          <w:bCs/>
          <w:sz w:val="24"/>
          <w:szCs w:val="24"/>
        </w:rPr>
        <w:t>2017</w:t>
      </w:r>
      <w:r w:rsidRPr="00524D9F">
        <w:rPr>
          <w:rFonts w:cstheme="minorHAnsi"/>
          <w:sz w:val="24"/>
          <w:szCs w:val="24"/>
        </w:rPr>
        <w:t>, </w:t>
      </w:r>
      <w:r w:rsidRPr="00524D9F">
        <w:rPr>
          <w:rFonts w:cstheme="minorHAnsi"/>
          <w:i/>
          <w:iCs/>
          <w:sz w:val="24"/>
          <w:szCs w:val="24"/>
        </w:rPr>
        <w:t>19</w:t>
      </w:r>
      <w:r w:rsidRPr="00524D9F">
        <w:rPr>
          <w:rFonts w:cstheme="minorHAnsi"/>
          <w:sz w:val="24"/>
          <w:szCs w:val="24"/>
        </w:rPr>
        <w:t xml:space="preserve">, 126–144. </w:t>
      </w:r>
    </w:p>
    <w:p w14:paraId="08D99F61" w14:textId="46E1616E"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lastRenderedPageBreak/>
        <w:t>Linnenbrink-Garcia, L.; Perez, T.; Barger, M.M.; Wormington, S.V.; Godin, E.; Snyder, K.E.; Robinson, K.; Sarkar, A.; Richman, L.S.; Schwartz-Bloom, R. Repairing the leaky pipeline: A motivationally supportive intervention to enhance persistence in undergraduate science pathways. </w:t>
      </w:r>
      <w:r w:rsidRPr="00524D9F">
        <w:rPr>
          <w:rFonts w:cstheme="minorHAnsi"/>
          <w:i/>
          <w:iCs/>
          <w:sz w:val="24"/>
          <w:szCs w:val="24"/>
        </w:rPr>
        <w:t>Contemp. Educ. Psychol.</w:t>
      </w:r>
      <w:r w:rsidRPr="00524D9F">
        <w:rPr>
          <w:rFonts w:cstheme="minorHAnsi"/>
          <w:sz w:val="24"/>
          <w:szCs w:val="24"/>
        </w:rPr>
        <w:t> </w:t>
      </w:r>
      <w:r w:rsidRPr="00524D9F">
        <w:rPr>
          <w:rFonts w:cstheme="minorHAnsi"/>
          <w:b/>
          <w:bCs/>
          <w:sz w:val="24"/>
          <w:szCs w:val="24"/>
        </w:rPr>
        <w:t>2018</w:t>
      </w:r>
      <w:r w:rsidRPr="00524D9F">
        <w:rPr>
          <w:rFonts w:cstheme="minorHAnsi"/>
          <w:sz w:val="24"/>
          <w:szCs w:val="24"/>
        </w:rPr>
        <w:t>, </w:t>
      </w:r>
      <w:r w:rsidRPr="00524D9F">
        <w:rPr>
          <w:rFonts w:cstheme="minorHAnsi"/>
          <w:i/>
          <w:iCs/>
          <w:sz w:val="24"/>
          <w:szCs w:val="24"/>
        </w:rPr>
        <w:t>53</w:t>
      </w:r>
      <w:r w:rsidRPr="00524D9F">
        <w:rPr>
          <w:rFonts w:cstheme="minorHAnsi"/>
          <w:sz w:val="24"/>
          <w:szCs w:val="24"/>
        </w:rPr>
        <w:t xml:space="preserve">, 181–195. </w:t>
      </w:r>
    </w:p>
    <w:p w14:paraId="1FC41153" w14:textId="1C7D5A0D"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Marsh, H.W.; Van Zanden, B.; Parker, P.D.; Guo, J.S.; Conigrave, J.; Seaton, M. Young Women Face Disadvantage to Enrollment in University STEM Coursework Regardless of Prior Achievement and Attitudes. </w:t>
      </w:r>
      <w:r w:rsidRPr="00524D9F">
        <w:rPr>
          <w:rFonts w:cstheme="minorHAnsi"/>
          <w:i/>
          <w:iCs/>
          <w:sz w:val="24"/>
          <w:szCs w:val="24"/>
        </w:rPr>
        <w:t>Am. Educ. Res. J.</w:t>
      </w:r>
      <w:r w:rsidRPr="00524D9F">
        <w:rPr>
          <w:rFonts w:cstheme="minorHAnsi"/>
          <w:sz w:val="24"/>
          <w:szCs w:val="24"/>
        </w:rPr>
        <w:t> </w:t>
      </w:r>
      <w:r w:rsidRPr="00524D9F">
        <w:rPr>
          <w:rFonts w:cstheme="minorHAnsi"/>
          <w:b/>
          <w:bCs/>
          <w:sz w:val="24"/>
          <w:szCs w:val="24"/>
        </w:rPr>
        <w:t>2019</w:t>
      </w:r>
      <w:r w:rsidRPr="00524D9F">
        <w:rPr>
          <w:rFonts w:cstheme="minorHAnsi"/>
          <w:sz w:val="24"/>
          <w:szCs w:val="24"/>
        </w:rPr>
        <w:t>, </w:t>
      </w:r>
      <w:r w:rsidRPr="00524D9F">
        <w:rPr>
          <w:rFonts w:cstheme="minorHAnsi"/>
          <w:i/>
          <w:iCs/>
          <w:sz w:val="24"/>
          <w:szCs w:val="24"/>
        </w:rPr>
        <w:t>56</w:t>
      </w:r>
      <w:r w:rsidRPr="00524D9F">
        <w:rPr>
          <w:rFonts w:cstheme="minorHAnsi"/>
          <w:sz w:val="24"/>
          <w:szCs w:val="24"/>
        </w:rPr>
        <w:t xml:space="preserve">, 1629–1680. </w:t>
      </w:r>
    </w:p>
    <w:p w14:paraId="3FD962C3" w14:textId="2D02B2B3"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Miller, D.I.; Wai, J. The bachelor’s to Ph.D. STEM pipeline no longer leaks more women than men: A 30-year analysis. </w:t>
      </w:r>
      <w:r w:rsidRPr="00524D9F">
        <w:rPr>
          <w:rFonts w:cstheme="minorHAnsi"/>
          <w:i/>
          <w:iCs/>
          <w:sz w:val="24"/>
          <w:szCs w:val="24"/>
        </w:rPr>
        <w:t>Front. Psychol.</w:t>
      </w:r>
      <w:r w:rsidRPr="00524D9F">
        <w:rPr>
          <w:rFonts w:cstheme="minorHAnsi"/>
          <w:sz w:val="24"/>
          <w:szCs w:val="24"/>
        </w:rPr>
        <w:t> </w:t>
      </w:r>
      <w:r w:rsidRPr="00524D9F">
        <w:rPr>
          <w:rFonts w:cstheme="minorHAnsi"/>
          <w:b/>
          <w:bCs/>
          <w:sz w:val="24"/>
          <w:szCs w:val="24"/>
        </w:rPr>
        <w:t>2015</w:t>
      </w:r>
      <w:r w:rsidRPr="00524D9F">
        <w:rPr>
          <w:rFonts w:cstheme="minorHAnsi"/>
          <w:sz w:val="24"/>
          <w:szCs w:val="24"/>
        </w:rPr>
        <w:t>, </w:t>
      </w:r>
      <w:r w:rsidRPr="00524D9F">
        <w:rPr>
          <w:rFonts w:cstheme="minorHAnsi"/>
          <w:i/>
          <w:iCs/>
          <w:sz w:val="24"/>
          <w:szCs w:val="24"/>
        </w:rPr>
        <w:t>6</w:t>
      </w:r>
      <w:r w:rsidRPr="00524D9F">
        <w:rPr>
          <w:rFonts w:cstheme="minorHAnsi"/>
          <w:sz w:val="24"/>
          <w:szCs w:val="24"/>
        </w:rPr>
        <w:t xml:space="preserve">, 37. </w:t>
      </w:r>
    </w:p>
    <w:p w14:paraId="11AEA2DE" w14:textId="051BE098"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Resmini, M. The Leaky Pipeline. </w:t>
      </w:r>
      <w:r w:rsidRPr="00524D9F">
        <w:rPr>
          <w:rFonts w:cstheme="minorHAnsi"/>
          <w:i/>
          <w:iCs/>
          <w:sz w:val="24"/>
          <w:szCs w:val="24"/>
        </w:rPr>
        <w:t>Chem.-Eur. J.</w:t>
      </w:r>
      <w:r w:rsidRPr="00524D9F">
        <w:rPr>
          <w:rFonts w:cstheme="minorHAnsi"/>
          <w:sz w:val="24"/>
          <w:szCs w:val="24"/>
        </w:rPr>
        <w:t> </w:t>
      </w:r>
      <w:r w:rsidRPr="00524D9F">
        <w:rPr>
          <w:rFonts w:cstheme="minorHAnsi"/>
          <w:b/>
          <w:bCs/>
          <w:sz w:val="24"/>
          <w:szCs w:val="24"/>
        </w:rPr>
        <w:t>2016</w:t>
      </w:r>
      <w:r w:rsidRPr="00524D9F">
        <w:rPr>
          <w:rFonts w:cstheme="minorHAnsi"/>
          <w:sz w:val="24"/>
          <w:szCs w:val="24"/>
        </w:rPr>
        <w:t>, </w:t>
      </w:r>
      <w:r w:rsidRPr="00524D9F">
        <w:rPr>
          <w:rFonts w:cstheme="minorHAnsi"/>
          <w:i/>
          <w:iCs/>
          <w:sz w:val="24"/>
          <w:szCs w:val="24"/>
        </w:rPr>
        <w:t>22</w:t>
      </w:r>
      <w:r w:rsidRPr="00524D9F">
        <w:rPr>
          <w:rFonts w:cstheme="minorHAnsi"/>
          <w:sz w:val="24"/>
          <w:szCs w:val="24"/>
        </w:rPr>
        <w:t xml:space="preserve">, 3533–3534. </w:t>
      </w:r>
    </w:p>
    <w:p w14:paraId="73AAD1D2" w14:textId="4DB772BA"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 xml:space="preserve">Rice, K.G.; Lopez, F.G.; Richardson, C.M.E. </w:t>
      </w:r>
      <w:proofErr w:type="gramStart"/>
      <w:r w:rsidRPr="00524D9F">
        <w:rPr>
          <w:rFonts w:cstheme="minorHAnsi"/>
          <w:sz w:val="24"/>
          <w:szCs w:val="24"/>
        </w:rPr>
        <w:t>Perfectionism</w:t>
      </w:r>
      <w:proofErr w:type="gramEnd"/>
      <w:r w:rsidRPr="00524D9F">
        <w:rPr>
          <w:rFonts w:cstheme="minorHAnsi"/>
          <w:sz w:val="24"/>
          <w:szCs w:val="24"/>
        </w:rPr>
        <w:t xml:space="preserve"> and performance among STEM students. </w:t>
      </w:r>
      <w:r w:rsidRPr="00524D9F">
        <w:rPr>
          <w:rFonts w:cstheme="minorHAnsi"/>
          <w:i/>
          <w:iCs/>
          <w:sz w:val="24"/>
          <w:szCs w:val="24"/>
        </w:rPr>
        <w:t xml:space="preserve">J. </w:t>
      </w:r>
      <w:proofErr w:type="spellStart"/>
      <w:r w:rsidRPr="00524D9F">
        <w:rPr>
          <w:rFonts w:cstheme="minorHAnsi"/>
          <w:i/>
          <w:iCs/>
          <w:sz w:val="24"/>
          <w:szCs w:val="24"/>
        </w:rPr>
        <w:t>Vocat</w:t>
      </w:r>
      <w:proofErr w:type="spellEnd"/>
      <w:r w:rsidRPr="00524D9F">
        <w:rPr>
          <w:rFonts w:cstheme="minorHAnsi"/>
          <w:i/>
          <w:iCs/>
          <w:sz w:val="24"/>
          <w:szCs w:val="24"/>
        </w:rPr>
        <w:t xml:space="preserve">. </w:t>
      </w:r>
      <w:proofErr w:type="spellStart"/>
      <w:r w:rsidRPr="00524D9F">
        <w:rPr>
          <w:rFonts w:cstheme="minorHAnsi"/>
          <w:i/>
          <w:iCs/>
          <w:sz w:val="24"/>
          <w:szCs w:val="24"/>
        </w:rPr>
        <w:t>Behav</w:t>
      </w:r>
      <w:proofErr w:type="spellEnd"/>
      <w:r w:rsidRPr="00524D9F">
        <w:rPr>
          <w:rFonts w:cstheme="minorHAnsi"/>
          <w:i/>
          <w:iCs/>
          <w:sz w:val="24"/>
          <w:szCs w:val="24"/>
        </w:rPr>
        <w:t>.</w:t>
      </w:r>
      <w:r w:rsidRPr="00524D9F">
        <w:rPr>
          <w:rFonts w:cstheme="minorHAnsi"/>
          <w:sz w:val="24"/>
          <w:szCs w:val="24"/>
        </w:rPr>
        <w:t> </w:t>
      </w:r>
      <w:r w:rsidRPr="00524D9F">
        <w:rPr>
          <w:rFonts w:cstheme="minorHAnsi"/>
          <w:b/>
          <w:bCs/>
          <w:sz w:val="24"/>
          <w:szCs w:val="24"/>
        </w:rPr>
        <w:t>2013</w:t>
      </w:r>
      <w:r w:rsidRPr="00524D9F">
        <w:rPr>
          <w:rFonts w:cstheme="minorHAnsi"/>
          <w:sz w:val="24"/>
          <w:szCs w:val="24"/>
        </w:rPr>
        <w:t>, </w:t>
      </w:r>
      <w:r w:rsidRPr="00524D9F">
        <w:rPr>
          <w:rFonts w:cstheme="minorHAnsi"/>
          <w:i/>
          <w:iCs/>
          <w:sz w:val="24"/>
          <w:szCs w:val="24"/>
        </w:rPr>
        <w:t>82</w:t>
      </w:r>
      <w:r w:rsidRPr="00524D9F">
        <w:rPr>
          <w:rFonts w:cstheme="minorHAnsi"/>
          <w:sz w:val="24"/>
          <w:szCs w:val="24"/>
        </w:rPr>
        <w:t xml:space="preserve">, 124–134. </w:t>
      </w:r>
    </w:p>
    <w:p w14:paraId="7B4067D0" w14:textId="7D6F1C15"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Romo, J.A.; Rokop, M.E. A Novel Undergraduate Seminar Course Celebrating Scientific Contributions by Scientists from Historically Marginalized Communities. </w:t>
      </w:r>
      <w:r w:rsidRPr="00524D9F">
        <w:rPr>
          <w:rFonts w:cstheme="minorHAnsi"/>
          <w:i/>
          <w:iCs/>
          <w:sz w:val="24"/>
          <w:szCs w:val="24"/>
        </w:rPr>
        <w:t xml:space="preserve">J. </w:t>
      </w:r>
      <w:proofErr w:type="spellStart"/>
      <w:r w:rsidRPr="00524D9F">
        <w:rPr>
          <w:rFonts w:cstheme="minorHAnsi"/>
          <w:i/>
          <w:iCs/>
          <w:sz w:val="24"/>
          <w:szCs w:val="24"/>
        </w:rPr>
        <w:t>Microbiol</w:t>
      </w:r>
      <w:proofErr w:type="spellEnd"/>
      <w:r w:rsidRPr="00524D9F">
        <w:rPr>
          <w:rFonts w:cstheme="minorHAnsi"/>
          <w:i/>
          <w:iCs/>
          <w:sz w:val="24"/>
          <w:szCs w:val="24"/>
        </w:rPr>
        <w:t>. Biol. Educ.</w:t>
      </w:r>
      <w:r w:rsidRPr="00524D9F">
        <w:rPr>
          <w:rFonts w:cstheme="minorHAnsi"/>
          <w:sz w:val="24"/>
          <w:szCs w:val="24"/>
        </w:rPr>
        <w:t> </w:t>
      </w:r>
      <w:r w:rsidRPr="00524D9F">
        <w:rPr>
          <w:rFonts w:cstheme="minorHAnsi"/>
          <w:b/>
          <w:bCs/>
          <w:sz w:val="24"/>
          <w:szCs w:val="24"/>
        </w:rPr>
        <w:t>2022</w:t>
      </w:r>
      <w:r w:rsidRPr="00524D9F">
        <w:rPr>
          <w:rFonts w:cstheme="minorHAnsi"/>
          <w:sz w:val="24"/>
          <w:szCs w:val="24"/>
        </w:rPr>
        <w:t>, </w:t>
      </w:r>
      <w:r w:rsidRPr="00524D9F">
        <w:rPr>
          <w:rFonts w:cstheme="minorHAnsi"/>
          <w:i/>
          <w:iCs/>
          <w:sz w:val="24"/>
          <w:szCs w:val="24"/>
        </w:rPr>
        <w:t>23</w:t>
      </w:r>
      <w:r w:rsidRPr="00524D9F">
        <w:rPr>
          <w:rFonts w:cstheme="minorHAnsi"/>
          <w:sz w:val="24"/>
          <w:szCs w:val="24"/>
        </w:rPr>
        <w:t xml:space="preserve">, e00123-22. </w:t>
      </w:r>
    </w:p>
    <w:p w14:paraId="70DB8095" w14:textId="30750412"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 xml:space="preserve">Whynot, J.; </w:t>
      </w:r>
      <w:proofErr w:type="spellStart"/>
      <w:r w:rsidRPr="00524D9F">
        <w:rPr>
          <w:rFonts w:cstheme="minorHAnsi"/>
          <w:sz w:val="24"/>
          <w:szCs w:val="24"/>
        </w:rPr>
        <w:t>Mavriplis</w:t>
      </w:r>
      <w:proofErr w:type="spellEnd"/>
      <w:r w:rsidRPr="00524D9F">
        <w:rPr>
          <w:rFonts w:cstheme="minorHAnsi"/>
          <w:sz w:val="24"/>
          <w:szCs w:val="24"/>
        </w:rPr>
        <w:t xml:space="preserve">, C.; </w:t>
      </w:r>
      <w:proofErr w:type="spellStart"/>
      <w:r w:rsidRPr="00524D9F">
        <w:rPr>
          <w:rFonts w:cstheme="minorHAnsi"/>
          <w:sz w:val="24"/>
          <w:szCs w:val="24"/>
        </w:rPr>
        <w:t>Farenhorst</w:t>
      </w:r>
      <w:proofErr w:type="spellEnd"/>
      <w:r w:rsidRPr="00524D9F">
        <w:rPr>
          <w:rFonts w:cstheme="minorHAnsi"/>
          <w:sz w:val="24"/>
          <w:szCs w:val="24"/>
        </w:rPr>
        <w:t>, A.; Langelier, E.; Franz-Odendaal, T.; Shannon, L. Knitting Theory in STEM Performance Stories: Experiences in Developing a Performance Framework. </w:t>
      </w:r>
      <w:r w:rsidRPr="00524D9F">
        <w:rPr>
          <w:rFonts w:cstheme="minorHAnsi"/>
          <w:i/>
          <w:iCs/>
          <w:sz w:val="24"/>
          <w:szCs w:val="24"/>
        </w:rPr>
        <w:t>Can. J. Program. Eval.</w:t>
      </w:r>
      <w:r w:rsidRPr="00524D9F">
        <w:rPr>
          <w:rFonts w:cstheme="minorHAnsi"/>
          <w:sz w:val="24"/>
          <w:szCs w:val="24"/>
        </w:rPr>
        <w:t> </w:t>
      </w:r>
      <w:r w:rsidRPr="00524D9F">
        <w:rPr>
          <w:rFonts w:cstheme="minorHAnsi"/>
          <w:b/>
          <w:bCs/>
          <w:sz w:val="24"/>
          <w:szCs w:val="24"/>
        </w:rPr>
        <w:t>2019</w:t>
      </w:r>
      <w:r w:rsidRPr="00524D9F">
        <w:rPr>
          <w:rFonts w:cstheme="minorHAnsi"/>
          <w:sz w:val="24"/>
          <w:szCs w:val="24"/>
        </w:rPr>
        <w:t>, </w:t>
      </w:r>
      <w:r w:rsidRPr="00524D9F">
        <w:rPr>
          <w:rFonts w:cstheme="minorHAnsi"/>
          <w:i/>
          <w:iCs/>
          <w:sz w:val="24"/>
          <w:szCs w:val="24"/>
        </w:rPr>
        <w:t>33</w:t>
      </w:r>
      <w:r w:rsidRPr="00524D9F">
        <w:rPr>
          <w:rFonts w:cstheme="minorHAnsi"/>
          <w:sz w:val="24"/>
          <w:szCs w:val="24"/>
        </w:rPr>
        <w:t xml:space="preserve">, 354–374. </w:t>
      </w:r>
    </w:p>
    <w:p w14:paraId="2FE0D53B" w14:textId="0EB44DF6"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Witteveen, D.; Attewell, P. The STEM grading penalty: An alternative to the “leaky pipeline” hypothesis. </w:t>
      </w:r>
      <w:r w:rsidRPr="00524D9F">
        <w:rPr>
          <w:rFonts w:cstheme="minorHAnsi"/>
          <w:i/>
          <w:iCs/>
          <w:sz w:val="24"/>
          <w:szCs w:val="24"/>
        </w:rPr>
        <w:t>Sci. Educ.</w:t>
      </w:r>
      <w:r w:rsidRPr="00524D9F">
        <w:rPr>
          <w:rFonts w:cstheme="minorHAnsi"/>
          <w:sz w:val="24"/>
          <w:szCs w:val="24"/>
        </w:rPr>
        <w:t> </w:t>
      </w:r>
      <w:r w:rsidRPr="00524D9F">
        <w:rPr>
          <w:rFonts w:cstheme="minorHAnsi"/>
          <w:b/>
          <w:bCs/>
          <w:sz w:val="24"/>
          <w:szCs w:val="24"/>
        </w:rPr>
        <w:t>2020</w:t>
      </w:r>
      <w:r w:rsidRPr="00524D9F">
        <w:rPr>
          <w:rFonts w:cstheme="minorHAnsi"/>
          <w:sz w:val="24"/>
          <w:szCs w:val="24"/>
        </w:rPr>
        <w:t>, </w:t>
      </w:r>
      <w:r w:rsidRPr="00524D9F">
        <w:rPr>
          <w:rFonts w:cstheme="minorHAnsi"/>
          <w:i/>
          <w:iCs/>
          <w:sz w:val="24"/>
          <w:szCs w:val="24"/>
        </w:rPr>
        <w:t>104</w:t>
      </w:r>
      <w:r w:rsidRPr="00524D9F">
        <w:rPr>
          <w:rFonts w:cstheme="minorHAnsi"/>
          <w:sz w:val="24"/>
          <w:szCs w:val="24"/>
        </w:rPr>
        <w:t xml:space="preserve">, 714–735. </w:t>
      </w:r>
    </w:p>
    <w:p w14:paraId="5F611112" w14:textId="423A120D"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Wong, B.; Chiu, Y.L.T.; Murray, O.M.; Horsburgh, J. End of the road? The career intentions of under-represented STEM students in higher education. </w:t>
      </w:r>
      <w:r w:rsidRPr="00524D9F">
        <w:rPr>
          <w:rFonts w:cstheme="minorHAnsi"/>
          <w:i/>
          <w:iCs/>
          <w:sz w:val="24"/>
          <w:szCs w:val="24"/>
        </w:rPr>
        <w:t>Int. J. Stem Educ.</w:t>
      </w:r>
      <w:r w:rsidRPr="00524D9F">
        <w:rPr>
          <w:rFonts w:cstheme="minorHAnsi"/>
          <w:sz w:val="24"/>
          <w:szCs w:val="24"/>
        </w:rPr>
        <w:t> </w:t>
      </w:r>
      <w:r w:rsidRPr="00524D9F">
        <w:rPr>
          <w:rFonts w:cstheme="minorHAnsi"/>
          <w:b/>
          <w:bCs/>
          <w:sz w:val="24"/>
          <w:szCs w:val="24"/>
        </w:rPr>
        <w:t>2022</w:t>
      </w:r>
      <w:r w:rsidRPr="00524D9F">
        <w:rPr>
          <w:rFonts w:cstheme="minorHAnsi"/>
          <w:sz w:val="24"/>
          <w:szCs w:val="24"/>
        </w:rPr>
        <w:t>, </w:t>
      </w:r>
      <w:r w:rsidRPr="00524D9F">
        <w:rPr>
          <w:rFonts w:cstheme="minorHAnsi"/>
          <w:i/>
          <w:iCs/>
          <w:sz w:val="24"/>
          <w:szCs w:val="24"/>
        </w:rPr>
        <w:t>9</w:t>
      </w:r>
      <w:r w:rsidRPr="00524D9F">
        <w:rPr>
          <w:rFonts w:cstheme="minorHAnsi"/>
          <w:sz w:val="24"/>
          <w:szCs w:val="24"/>
        </w:rPr>
        <w:t xml:space="preserve">, 51. </w:t>
      </w:r>
    </w:p>
    <w:p w14:paraId="29D8DB2C" w14:textId="09624509" w:rsidR="00524D9F" w:rsidRPr="00524D9F" w:rsidRDefault="00524D9F" w:rsidP="00390E39">
      <w:pPr>
        <w:numPr>
          <w:ilvl w:val="0"/>
          <w:numId w:val="15"/>
        </w:numPr>
        <w:spacing w:after="0"/>
        <w:rPr>
          <w:rFonts w:cstheme="minorHAnsi"/>
          <w:sz w:val="24"/>
          <w:szCs w:val="24"/>
        </w:rPr>
      </w:pPr>
      <w:proofErr w:type="spellStart"/>
      <w:r w:rsidRPr="00524D9F">
        <w:rPr>
          <w:rFonts w:cstheme="minorHAnsi"/>
          <w:sz w:val="24"/>
          <w:szCs w:val="24"/>
        </w:rPr>
        <w:t>Almukhambetova</w:t>
      </w:r>
      <w:proofErr w:type="spellEnd"/>
      <w:r w:rsidRPr="00524D9F">
        <w:rPr>
          <w:rFonts w:cstheme="minorHAnsi"/>
          <w:sz w:val="24"/>
          <w:szCs w:val="24"/>
        </w:rPr>
        <w:t>, A.; Torrano, D.H.; Nam, A. Fixing the Leaky Pipeline for Talented Women in STEM. </w:t>
      </w:r>
      <w:r w:rsidRPr="00524D9F">
        <w:rPr>
          <w:rFonts w:cstheme="minorHAnsi"/>
          <w:i/>
          <w:iCs/>
          <w:sz w:val="24"/>
          <w:szCs w:val="24"/>
        </w:rPr>
        <w:t>Int. J. Sci. Math. Educ.</w:t>
      </w:r>
      <w:r w:rsidRPr="00524D9F">
        <w:rPr>
          <w:rFonts w:cstheme="minorHAnsi"/>
          <w:sz w:val="24"/>
          <w:szCs w:val="24"/>
        </w:rPr>
        <w:t> </w:t>
      </w:r>
      <w:r w:rsidRPr="00524D9F">
        <w:rPr>
          <w:rFonts w:cstheme="minorHAnsi"/>
          <w:b/>
          <w:bCs/>
          <w:sz w:val="24"/>
          <w:szCs w:val="24"/>
        </w:rPr>
        <w:t>2021</w:t>
      </w:r>
      <w:r w:rsidRPr="00524D9F">
        <w:rPr>
          <w:rFonts w:cstheme="minorHAnsi"/>
          <w:sz w:val="24"/>
          <w:szCs w:val="24"/>
        </w:rPr>
        <w:t>, </w:t>
      </w:r>
      <w:r w:rsidRPr="00524D9F">
        <w:rPr>
          <w:rFonts w:cstheme="minorHAnsi"/>
          <w:i/>
          <w:iCs/>
          <w:sz w:val="24"/>
          <w:szCs w:val="24"/>
        </w:rPr>
        <w:t>21</w:t>
      </w:r>
      <w:r w:rsidRPr="00524D9F">
        <w:rPr>
          <w:rFonts w:cstheme="minorHAnsi"/>
          <w:sz w:val="24"/>
          <w:szCs w:val="24"/>
        </w:rPr>
        <w:t xml:space="preserve">, 305–3241. </w:t>
      </w:r>
    </w:p>
    <w:p w14:paraId="7F5CF595" w14:textId="19FF2DEF"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Avolio, B.; Chavez, J.; Vilchez-Roman, C. Factors that contribute to the underrepresentation of women in science careers worldwide: A literature review. </w:t>
      </w:r>
      <w:r w:rsidRPr="00524D9F">
        <w:rPr>
          <w:rFonts w:cstheme="minorHAnsi"/>
          <w:i/>
          <w:iCs/>
          <w:sz w:val="24"/>
          <w:szCs w:val="24"/>
        </w:rPr>
        <w:t>Soc. Psychol. Educ.</w:t>
      </w:r>
      <w:r w:rsidRPr="00524D9F">
        <w:rPr>
          <w:rFonts w:cstheme="minorHAnsi"/>
          <w:sz w:val="24"/>
          <w:szCs w:val="24"/>
        </w:rPr>
        <w:t> </w:t>
      </w:r>
      <w:r w:rsidRPr="00524D9F">
        <w:rPr>
          <w:rFonts w:cstheme="minorHAnsi"/>
          <w:b/>
          <w:bCs/>
          <w:sz w:val="24"/>
          <w:szCs w:val="24"/>
        </w:rPr>
        <w:t>2020</w:t>
      </w:r>
      <w:r w:rsidRPr="00524D9F">
        <w:rPr>
          <w:rFonts w:cstheme="minorHAnsi"/>
          <w:sz w:val="24"/>
          <w:szCs w:val="24"/>
        </w:rPr>
        <w:t>, </w:t>
      </w:r>
      <w:r w:rsidRPr="00524D9F">
        <w:rPr>
          <w:rFonts w:cstheme="minorHAnsi"/>
          <w:i/>
          <w:iCs/>
          <w:sz w:val="24"/>
          <w:szCs w:val="24"/>
        </w:rPr>
        <w:t>23</w:t>
      </w:r>
      <w:r w:rsidRPr="00524D9F">
        <w:rPr>
          <w:rFonts w:cstheme="minorHAnsi"/>
          <w:sz w:val="24"/>
          <w:szCs w:val="24"/>
        </w:rPr>
        <w:t xml:space="preserve">, 773–794. </w:t>
      </w:r>
    </w:p>
    <w:p w14:paraId="2C4643B9" w14:textId="3357A0C6"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Espinosa, L.L. Pipelines and Pathways: Women of Color in Undergraduate STEM Majors and the College Experiences That Contribute to Persistence. </w:t>
      </w:r>
      <w:r w:rsidRPr="00524D9F">
        <w:rPr>
          <w:rFonts w:cstheme="minorHAnsi"/>
          <w:i/>
          <w:iCs/>
          <w:sz w:val="24"/>
          <w:szCs w:val="24"/>
        </w:rPr>
        <w:t>Harv. Educ. Rev.</w:t>
      </w:r>
      <w:r w:rsidRPr="00524D9F">
        <w:rPr>
          <w:rFonts w:cstheme="minorHAnsi"/>
          <w:sz w:val="24"/>
          <w:szCs w:val="24"/>
        </w:rPr>
        <w:t> </w:t>
      </w:r>
      <w:r w:rsidRPr="00524D9F">
        <w:rPr>
          <w:rFonts w:cstheme="minorHAnsi"/>
          <w:b/>
          <w:bCs/>
          <w:sz w:val="24"/>
          <w:szCs w:val="24"/>
        </w:rPr>
        <w:t>2011</w:t>
      </w:r>
      <w:r w:rsidRPr="00524D9F">
        <w:rPr>
          <w:rFonts w:cstheme="minorHAnsi"/>
          <w:sz w:val="24"/>
          <w:szCs w:val="24"/>
        </w:rPr>
        <w:t>, </w:t>
      </w:r>
      <w:r w:rsidRPr="00524D9F">
        <w:rPr>
          <w:rFonts w:cstheme="minorHAnsi"/>
          <w:i/>
          <w:iCs/>
          <w:sz w:val="24"/>
          <w:szCs w:val="24"/>
        </w:rPr>
        <w:t>81</w:t>
      </w:r>
      <w:r w:rsidRPr="00524D9F">
        <w:rPr>
          <w:rFonts w:cstheme="minorHAnsi"/>
          <w:sz w:val="24"/>
          <w:szCs w:val="24"/>
        </w:rPr>
        <w:t xml:space="preserve">, 209–240. </w:t>
      </w:r>
    </w:p>
    <w:p w14:paraId="1EA0EDF2" w14:textId="506743C2"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Fenske, R.H.; Porter, J.D.; DuBrock, C.P. Tracking financial aid and persistence of women, minority, and needy students in science, engineering, and mathematics. </w:t>
      </w:r>
      <w:r w:rsidRPr="00524D9F">
        <w:rPr>
          <w:rFonts w:cstheme="minorHAnsi"/>
          <w:i/>
          <w:iCs/>
          <w:sz w:val="24"/>
          <w:szCs w:val="24"/>
        </w:rPr>
        <w:t>Res. High. Educ.</w:t>
      </w:r>
      <w:r w:rsidRPr="00524D9F">
        <w:rPr>
          <w:rFonts w:cstheme="minorHAnsi"/>
          <w:sz w:val="24"/>
          <w:szCs w:val="24"/>
        </w:rPr>
        <w:t> </w:t>
      </w:r>
      <w:r w:rsidRPr="00524D9F">
        <w:rPr>
          <w:rFonts w:cstheme="minorHAnsi"/>
          <w:b/>
          <w:bCs/>
          <w:sz w:val="24"/>
          <w:szCs w:val="24"/>
        </w:rPr>
        <w:t>2000</w:t>
      </w:r>
      <w:r w:rsidRPr="00524D9F">
        <w:rPr>
          <w:rFonts w:cstheme="minorHAnsi"/>
          <w:sz w:val="24"/>
          <w:szCs w:val="24"/>
        </w:rPr>
        <w:t>, </w:t>
      </w:r>
      <w:r w:rsidRPr="00524D9F">
        <w:rPr>
          <w:rFonts w:cstheme="minorHAnsi"/>
          <w:i/>
          <w:iCs/>
          <w:sz w:val="24"/>
          <w:szCs w:val="24"/>
        </w:rPr>
        <w:t>41</w:t>
      </w:r>
      <w:r w:rsidRPr="00524D9F">
        <w:rPr>
          <w:rFonts w:cstheme="minorHAnsi"/>
          <w:sz w:val="24"/>
          <w:szCs w:val="24"/>
        </w:rPr>
        <w:t xml:space="preserve">, 67–94. </w:t>
      </w:r>
    </w:p>
    <w:p w14:paraId="1ED5194F" w14:textId="65032E55"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Anderson, E.; Kim, D. </w:t>
      </w:r>
      <w:r w:rsidRPr="00524D9F">
        <w:rPr>
          <w:rFonts w:cstheme="minorHAnsi"/>
          <w:i/>
          <w:iCs/>
          <w:sz w:val="24"/>
          <w:szCs w:val="24"/>
        </w:rPr>
        <w:t>Increasing the Success of Minority Students in Science and Technology</w:t>
      </w:r>
      <w:r w:rsidRPr="00524D9F">
        <w:rPr>
          <w:rFonts w:cstheme="minorHAnsi"/>
          <w:sz w:val="24"/>
          <w:szCs w:val="24"/>
        </w:rPr>
        <w:t xml:space="preserve">; American Council on Education: Washington, DC, USA, 2006. </w:t>
      </w:r>
    </w:p>
    <w:p w14:paraId="7038AE9C" w14:textId="5FAB808D"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Barr, D.A.; Gonzalez, M.E.; Wanat, S.F. Underrepresented Minorities and the Health Professions Pipeline Reply. </w:t>
      </w:r>
      <w:r w:rsidRPr="00524D9F">
        <w:rPr>
          <w:rFonts w:cstheme="minorHAnsi"/>
          <w:i/>
          <w:iCs/>
          <w:sz w:val="24"/>
          <w:szCs w:val="24"/>
        </w:rPr>
        <w:t>Acad. Med.</w:t>
      </w:r>
      <w:r w:rsidRPr="00524D9F">
        <w:rPr>
          <w:rFonts w:cstheme="minorHAnsi"/>
          <w:sz w:val="24"/>
          <w:szCs w:val="24"/>
        </w:rPr>
        <w:t> </w:t>
      </w:r>
      <w:r w:rsidRPr="00524D9F">
        <w:rPr>
          <w:rFonts w:cstheme="minorHAnsi"/>
          <w:b/>
          <w:bCs/>
          <w:sz w:val="24"/>
          <w:szCs w:val="24"/>
        </w:rPr>
        <w:t>2009</w:t>
      </w:r>
      <w:r w:rsidRPr="00524D9F">
        <w:rPr>
          <w:rFonts w:cstheme="minorHAnsi"/>
          <w:sz w:val="24"/>
          <w:szCs w:val="24"/>
        </w:rPr>
        <w:t>, </w:t>
      </w:r>
      <w:r w:rsidRPr="00524D9F">
        <w:rPr>
          <w:rFonts w:cstheme="minorHAnsi"/>
          <w:i/>
          <w:iCs/>
          <w:sz w:val="24"/>
          <w:szCs w:val="24"/>
        </w:rPr>
        <w:t>84</w:t>
      </w:r>
      <w:r w:rsidRPr="00524D9F">
        <w:rPr>
          <w:rFonts w:cstheme="minorHAnsi"/>
          <w:sz w:val="24"/>
          <w:szCs w:val="24"/>
        </w:rPr>
        <w:t xml:space="preserve">, 7. </w:t>
      </w:r>
    </w:p>
    <w:p w14:paraId="498F7861" w14:textId="6FA22E3A"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Ehrenberg, R.G. Analyzing the factors that influence persistence rates in STEM field, majors: Introduction to the symposium. </w:t>
      </w:r>
      <w:r w:rsidRPr="00524D9F">
        <w:rPr>
          <w:rFonts w:cstheme="minorHAnsi"/>
          <w:i/>
          <w:iCs/>
          <w:sz w:val="24"/>
          <w:szCs w:val="24"/>
        </w:rPr>
        <w:t>Econ. Educ. Rev.</w:t>
      </w:r>
      <w:r w:rsidRPr="00524D9F">
        <w:rPr>
          <w:rFonts w:cstheme="minorHAnsi"/>
          <w:sz w:val="24"/>
          <w:szCs w:val="24"/>
        </w:rPr>
        <w:t> </w:t>
      </w:r>
      <w:r w:rsidRPr="00524D9F">
        <w:rPr>
          <w:rFonts w:cstheme="minorHAnsi"/>
          <w:b/>
          <w:bCs/>
          <w:sz w:val="24"/>
          <w:szCs w:val="24"/>
        </w:rPr>
        <w:t>2010</w:t>
      </w:r>
      <w:r w:rsidRPr="00524D9F">
        <w:rPr>
          <w:rFonts w:cstheme="minorHAnsi"/>
          <w:sz w:val="24"/>
          <w:szCs w:val="24"/>
        </w:rPr>
        <w:t>, </w:t>
      </w:r>
      <w:r w:rsidRPr="00524D9F">
        <w:rPr>
          <w:rFonts w:cstheme="minorHAnsi"/>
          <w:i/>
          <w:iCs/>
          <w:sz w:val="24"/>
          <w:szCs w:val="24"/>
        </w:rPr>
        <w:t>29</w:t>
      </w:r>
      <w:r w:rsidRPr="00524D9F">
        <w:rPr>
          <w:rFonts w:cstheme="minorHAnsi"/>
          <w:sz w:val="24"/>
          <w:szCs w:val="24"/>
        </w:rPr>
        <w:t xml:space="preserve">, 888–891. </w:t>
      </w:r>
    </w:p>
    <w:p w14:paraId="2009F5AF" w14:textId="77777777"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Chen, X. </w:t>
      </w:r>
      <w:r w:rsidRPr="00524D9F">
        <w:rPr>
          <w:rFonts w:cstheme="minorHAnsi"/>
          <w:i/>
          <w:iCs/>
          <w:sz w:val="24"/>
          <w:szCs w:val="24"/>
        </w:rPr>
        <w:t>STEM Attrition: College Students’ Paths into and out of STEM Fields</w:t>
      </w:r>
      <w:r w:rsidRPr="00524D9F">
        <w:rPr>
          <w:rFonts w:cstheme="minorHAnsi"/>
          <w:sz w:val="24"/>
          <w:szCs w:val="24"/>
        </w:rPr>
        <w:t>; National Center for Education Statistics, Institute of Education Sciences, U.S. Department of Education: Washington, DC, USA, 2013.</w:t>
      </w:r>
    </w:p>
    <w:p w14:paraId="39230940" w14:textId="7C840636"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Ost, B. The role of peers and grades in determining major persistence in the sciences. </w:t>
      </w:r>
      <w:r w:rsidRPr="00524D9F">
        <w:rPr>
          <w:rFonts w:cstheme="minorHAnsi"/>
          <w:i/>
          <w:iCs/>
          <w:sz w:val="24"/>
          <w:szCs w:val="24"/>
        </w:rPr>
        <w:t>Econ. Educ. Rev.</w:t>
      </w:r>
      <w:r w:rsidRPr="00524D9F">
        <w:rPr>
          <w:rFonts w:cstheme="minorHAnsi"/>
          <w:sz w:val="24"/>
          <w:szCs w:val="24"/>
        </w:rPr>
        <w:t> </w:t>
      </w:r>
      <w:r w:rsidRPr="00524D9F">
        <w:rPr>
          <w:rFonts w:cstheme="minorHAnsi"/>
          <w:b/>
          <w:bCs/>
          <w:sz w:val="24"/>
          <w:szCs w:val="24"/>
        </w:rPr>
        <w:t>2010</w:t>
      </w:r>
      <w:r w:rsidRPr="00524D9F">
        <w:rPr>
          <w:rFonts w:cstheme="minorHAnsi"/>
          <w:sz w:val="24"/>
          <w:szCs w:val="24"/>
        </w:rPr>
        <w:t>, </w:t>
      </w:r>
      <w:r w:rsidRPr="00524D9F">
        <w:rPr>
          <w:rFonts w:cstheme="minorHAnsi"/>
          <w:i/>
          <w:iCs/>
          <w:sz w:val="24"/>
          <w:szCs w:val="24"/>
        </w:rPr>
        <w:t>29</w:t>
      </w:r>
      <w:r w:rsidRPr="00524D9F">
        <w:rPr>
          <w:rFonts w:cstheme="minorHAnsi"/>
          <w:sz w:val="24"/>
          <w:szCs w:val="24"/>
        </w:rPr>
        <w:t xml:space="preserve">, 923–934. </w:t>
      </w:r>
    </w:p>
    <w:p w14:paraId="1026AB74" w14:textId="6A606EAD"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lastRenderedPageBreak/>
        <w:t>Seymour, E.; Hewitt, N.M. </w:t>
      </w:r>
      <w:r w:rsidRPr="00524D9F">
        <w:rPr>
          <w:rFonts w:cstheme="minorHAnsi"/>
          <w:i/>
          <w:iCs/>
          <w:sz w:val="24"/>
          <w:szCs w:val="24"/>
        </w:rPr>
        <w:t>Talking about Leaving: Why Undergraduates Leave the Sciences</w:t>
      </w:r>
      <w:r w:rsidRPr="00524D9F">
        <w:rPr>
          <w:rFonts w:cstheme="minorHAnsi"/>
          <w:sz w:val="24"/>
          <w:szCs w:val="24"/>
        </w:rPr>
        <w:t xml:space="preserve">; Westview Press: Boulder, CO, USA, 1997; 429p. </w:t>
      </w:r>
    </w:p>
    <w:p w14:paraId="368C3464" w14:textId="794296FE"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 xml:space="preserve">Heilbronner, N.N. Stepping </w:t>
      </w:r>
      <w:proofErr w:type="gramStart"/>
      <w:r w:rsidRPr="00524D9F">
        <w:rPr>
          <w:rFonts w:cstheme="minorHAnsi"/>
          <w:sz w:val="24"/>
          <w:szCs w:val="24"/>
        </w:rPr>
        <w:t>Onto</w:t>
      </w:r>
      <w:proofErr w:type="gramEnd"/>
      <w:r w:rsidRPr="00524D9F">
        <w:rPr>
          <w:rFonts w:cstheme="minorHAnsi"/>
          <w:sz w:val="24"/>
          <w:szCs w:val="24"/>
        </w:rPr>
        <w:t xml:space="preserve"> the STEM Pathway: Factors Affecting Talented Students’ Declaration of STEM Majors in College. </w:t>
      </w:r>
      <w:r w:rsidRPr="00524D9F">
        <w:rPr>
          <w:rFonts w:cstheme="minorHAnsi"/>
          <w:i/>
          <w:iCs/>
          <w:sz w:val="24"/>
          <w:szCs w:val="24"/>
        </w:rPr>
        <w:t>J. Educ. Gift.</w:t>
      </w:r>
      <w:r w:rsidRPr="00524D9F">
        <w:rPr>
          <w:rFonts w:cstheme="minorHAnsi"/>
          <w:sz w:val="24"/>
          <w:szCs w:val="24"/>
        </w:rPr>
        <w:t> </w:t>
      </w:r>
      <w:r w:rsidRPr="00524D9F">
        <w:rPr>
          <w:rFonts w:cstheme="minorHAnsi"/>
          <w:b/>
          <w:bCs/>
          <w:sz w:val="24"/>
          <w:szCs w:val="24"/>
        </w:rPr>
        <w:t>2011</w:t>
      </w:r>
      <w:r w:rsidRPr="00524D9F">
        <w:rPr>
          <w:rFonts w:cstheme="minorHAnsi"/>
          <w:sz w:val="24"/>
          <w:szCs w:val="24"/>
        </w:rPr>
        <w:t>, </w:t>
      </w:r>
      <w:r w:rsidRPr="00524D9F">
        <w:rPr>
          <w:rFonts w:cstheme="minorHAnsi"/>
          <w:i/>
          <w:iCs/>
          <w:sz w:val="24"/>
          <w:szCs w:val="24"/>
        </w:rPr>
        <w:t>34</w:t>
      </w:r>
      <w:r w:rsidRPr="00524D9F">
        <w:rPr>
          <w:rFonts w:cstheme="minorHAnsi"/>
          <w:sz w:val="24"/>
          <w:szCs w:val="24"/>
        </w:rPr>
        <w:t xml:space="preserve">, 876–899. </w:t>
      </w:r>
    </w:p>
    <w:p w14:paraId="3BC2C375" w14:textId="6493D3B6"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Walmsley, F. Course for Underprepared Chemistry Student. </w:t>
      </w:r>
      <w:r w:rsidRPr="00524D9F">
        <w:rPr>
          <w:rFonts w:cstheme="minorHAnsi"/>
          <w:i/>
          <w:iCs/>
          <w:sz w:val="24"/>
          <w:szCs w:val="24"/>
        </w:rPr>
        <w:t>J. Chem. Educ.</w:t>
      </w:r>
      <w:r w:rsidRPr="00524D9F">
        <w:rPr>
          <w:rFonts w:cstheme="minorHAnsi"/>
          <w:sz w:val="24"/>
          <w:szCs w:val="24"/>
        </w:rPr>
        <w:t> </w:t>
      </w:r>
      <w:r w:rsidRPr="00524D9F">
        <w:rPr>
          <w:rFonts w:cstheme="minorHAnsi"/>
          <w:b/>
          <w:bCs/>
          <w:sz w:val="24"/>
          <w:szCs w:val="24"/>
        </w:rPr>
        <w:t>1977</w:t>
      </w:r>
      <w:r w:rsidRPr="00524D9F">
        <w:rPr>
          <w:rFonts w:cstheme="minorHAnsi"/>
          <w:sz w:val="24"/>
          <w:szCs w:val="24"/>
        </w:rPr>
        <w:t>, </w:t>
      </w:r>
      <w:r w:rsidRPr="00524D9F">
        <w:rPr>
          <w:rFonts w:cstheme="minorHAnsi"/>
          <w:i/>
          <w:iCs/>
          <w:sz w:val="24"/>
          <w:szCs w:val="24"/>
        </w:rPr>
        <w:t>54</w:t>
      </w:r>
      <w:r w:rsidRPr="00524D9F">
        <w:rPr>
          <w:rFonts w:cstheme="minorHAnsi"/>
          <w:sz w:val="24"/>
          <w:szCs w:val="24"/>
        </w:rPr>
        <w:t xml:space="preserve">, 314–315. </w:t>
      </w:r>
    </w:p>
    <w:p w14:paraId="39D14542" w14:textId="32B4D405"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Botch, B.; Day, R.; Vining, W.; Stewart, B.; Rath, K.; Peterfreund, A.; Hart, D. Effects on student achievement in general chemistry following participation in an online preparatory course-</w:t>
      </w:r>
      <w:proofErr w:type="spellStart"/>
      <w:r w:rsidRPr="00524D9F">
        <w:rPr>
          <w:rFonts w:cstheme="minorHAnsi"/>
          <w:sz w:val="24"/>
          <w:szCs w:val="24"/>
        </w:rPr>
        <w:t>ChemPrep</w:t>
      </w:r>
      <w:proofErr w:type="spellEnd"/>
      <w:r w:rsidRPr="00524D9F">
        <w:rPr>
          <w:rFonts w:cstheme="minorHAnsi"/>
          <w:sz w:val="24"/>
          <w:szCs w:val="24"/>
        </w:rPr>
        <w:t>, a voluntary, self-paced, online introduction to chemistry. </w:t>
      </w:r>
      <w:r w:rsidRPr="00524D9F">
        <w:rPr>
          <w:rFonts w:cstheme="minorHAnsi"/>
          <w:i/>
          <w:iCs/>
          <w:sz w:val="24"/>
          <w:szCs w:val="24"/>
        </w:rPr>
        <w:t>J. Chem. Educ.</w:t>
      </w:r>
      <w:r w:rsidRPr="00524D9F">
        <w:rPr>
          <w:rFonts w:cstheme="minorHAnsi"/>
          <w:sz w:val="24"/>
          <w:szCs w:val="24"/>
        </w:rPr>
        <w:t> </w:t>
      </w:r>
      <w:r w:rsidRPr="00524D9F">
        <w:rPr>
          <w:rFonts w:cstheme="minorHAnsi"/>
          <w:b/>
          <w:bCs/>
          <w:sz w:val="24"/>
          <w:szCs w:val="24"/>
        </w:rPr>
        <w:t>2007</w:t>
      </w:r>
      <w:r w:rsidRPr="00524D9F">
        <w:rPr>
          <w:rFonts w:cstheme="minorHAnsi"/>
          <w:sz w:val="24"/>
          <w:szCs w:val="24"/>
        </w:rPr>
        <w:t>, </w:t>
      </w:r>
      <w:r w:rsidRPr="00524D9F">
        <w:rPr>
          <w:rFonts w:cstheme="minorHAnsi"/>
          <w:i/>
          <w:iCs/>
          <w:sz w:val="24"/>
          <w:szCs w:val="24"/>
        </w:rPr>
        <w:t>84</w:t>
      </w:r>
      <w:r w:rsidRPr="00524D9F">
        <w:rPr>
          <w:rFonts w:cstheme="minorHAnsi"/>
          <w:sz w:val="24"/>
          <w:szCs w:val="24"/>
        </w:rPr>
        <w:t xml:space="preserve">, 547–553. </w:t>
      </w:r>
    </w:p>
    <w:p w14:paraId="2C5AC214" w14:textId="1F7B7992"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 xml:space="preserve">Bentley, A.B.; </w:t>
      </w:r>
      <w:proofErr w:type="spellStart"/>
      <w:r w:rsidRPr="00524D9F">
        <w:rPr>
          <w:rFonts w:cstheme="minorHAnsi"/>
          <w:sz w:val="24"/>
          <w:szCs w:val="24"/>
        </w:rPr>
        <w:t>Gellene</w:t>
      </w:r>
      <w:proofErr w:type="spellEnd"/>
      <w:r w:rsidRPr="00524D9F">
        <w:rPr>
          <w:rFonts w:cstheme="minorHAnsi"/>
          <w:sz w:val="24"/>
          <w:szCs w:val="24"/>
        </w:rPr>
        <w:t>, G.I. A Six-Year Study of the Effects of a Remedial Course in the Chemistry Curriculum. </w:t>
      </w:r>
      <w:r w:rsidRPr="00524D9F">
        <w:rPr>
          <w:rFonts w:cstheme="minorHAnsi"/>
          <w:i/>
          <w:iCs/>
          <w:sz w:val="24"/>
          <w:szCs w:val="24"/>
        </w:rPr>
        <w:t>J. Chem. Educ.</w:t>
      </w:r>
      <w:r w:rsidRPr="00524D9F">
        <w:rPr>
          <w:rFonts w:cstheme="minorHAnsi"/>
          <w:sz w:val="24"/>
          <w:szCs w:val="24"/>
        </w:rPr>
        <w:t> </w:t>
      </w:r>
      <w:r w:rsidRPr="00524D9F">
        <w:rPr>
          <w:rFonts w:cstheme="minorHAnsi"/>
          <w:b/>
          <w:bCs/>
          <w:sz w:val="24"/>
          <w:szCs w:val="24"/>
        </w:rPr>
        <w:t>2005</w:t>
      </w:r>
      <w:r w:rsidRPr="00524D9F">
        <w:rPr>
          <w:rFonts w:cstheme="minorHAnsi"/>
          <w:sz w:val="24"/>
          <w:szCs w:val="24"/>
        </w:rPr>
        <w:t>, </w:t>
      </w:r>
      <w:r w:rsidRPr="00524D9F">
        <w:rPr>
          <w:rFonts w:cstheme="minorHAnsi"/>
          <w:i/>
          <w:iCs/>
          <w:sz w:val="24"/>
          <w:szCs w:val="24"/>
        </w:rPr>
        <w:t>82</w:t>
      </w:r>
      <w:r w:rsidRPr="00524D9F">
        <w:rPr>
          <w:rFonts w:cstheme="minorHAnsi"/>
          <w:sz w:val="24"/>
          <w:szCs w:val="24"/>
        </w:rPr>
        <w:t xml:space="preserve">, 125–130. </w:t>
      </w:r>
    </w:p>
    <w:p w14:paraId="30D44F96" w14:textId="49084C8E"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Lewis, S.E.; Lewis, J.E. Predicting at-risk students in general chemistry: Comparing formal thought to a general achievement measure. </w:t>
      </w:r>
      <w:r w:rsidRPr="00524D9F">
        <w:rPr>
          <w:rFonts w:cstheme="minorHAnsi"/>
          <w:i/>
          <w:iCs/>
          <w:sz w:val="24"/>
          <w:szCs w:val="24"/>
        </w:rPr>
        <w:t xml:space="preserve">Chem. Educ. Res. </w:t>
      </w:r>
      <w:proofErr w:type="spellStart"/>
      <w:r w:rsidRPr="00524D9F">
        <w:rPr>
          <w:rFonts w:cstheme="minorHAnsi"/>
          <w:i/>
          <w:iCs/>
          <w:sz w:val="24"/>
          <w:szCs w:val="24"/>
        </w:rPr>
        <w:t>Pract</w:t>
      </w:r>
      <w:proofErr w:type="spellEnd"/>
      <w:r w:rsidRPr="00524D9F">
        <w:rPr>
          <w:rFonts w:cstheme="minorHAnsi"/>
          <w:i/>
          <w:iCs/>
          <w:sz w:val="24"/>
          <w:szCs w:val="24"/>
        </w:rPr>
        <w:t>.</w:t>
      </w:r>
      <w:r w:rsidRPr="00524D9F">
        <w:rPr>
          <w:rFonts w:cstheme="minorHAnsi"/>
          <w:sz w:val="24"/>
          <w:szCs w:val="24"/>
        </w:rPr>
        <w:t> </w:t>
      </w:r>
      <w:r w:rsidRPr="00524D9F">
        <w:rPr>
          <w:rFonts w:cstheme="minorHAnsi"/>
          <w:b/>
          <w:bCs/>
          <w:sz w:val="24"/>
          <w:szCs w:val="24"/>
        </w:rPr>
        <w:t>2007</w:t>
      </w:r>
      <w:r w:rsidRPr="00524D9F">
        <w:rPr>
          <w:rFonts w:cstheme="minorHAnsi"/>
          <w:sz w:val="24"/>
          <w:szCs w:val="24"/>
        </w:rPr>
        <w:t>, </w:t>
      </w:r>
      <w:r w:rsidRPr="00524D9F">
        <w:rPr>
          <w:rFonts w:cstheme="minorHAnsi"/>
          <w:i/>
          <w:iCs/>
          <w:sz w:val="24"/>
          <w:szCs w:val="24"/>
        </w:rPr>
        <w:t>8</w:t>
      </w:r>
      <w:r w:rsidRPr="00524D9F">
        <w:rPr>
          <w:rFonts w:cstheme="minorHAnsi"/>
          <w:sz w:val="24"/>
          <w:szCs w:val="24"/>
        </w:rPr>
        <w:t xml:space="preserve">, 32–51. </w:t>
      </w:r>
    </w:p>
    <w:p w14:paraId="5BFDEA8F" w14:textId="583E5509" w:rsidR="00524D9F" w:rsidRPr="00524D9F" w:rsidRDefault="00524D9F" w:rsidP="00390E39">
      <w:pPr>
        <w:numPr>
          <w:ilvl w:val="0"/>
          <w:numId w:val="15"/>
        </w:numPr>
        <w:spacing w:after="0"/>
        <w:rPr>
          <w:rFonts w:cstheme="minorHAnsi"/>
          <w:sz w:val="24"/>
          <w:szCs w:val="24"/>
        </w:rPr>
      </w:pPr>
      <w:proofErr w:type="spellStart"/>
      <w:r w:rsidRPr="00524D9F">
        <w:rPr>
          <w:rFonts w:cstheme="minorHAnsi"/>
          <w:sz w:val="24"/>
          <w:szCs w:val="24"/>
        </w:rPr>
        <w:t>Cracolice</w:t>
      </w:r>
      <w:proofErr w:type="spellEnd"/>
      <w:r w:rsidRPr="00524D9F">
        <w:rPr>
          <w:rFonts w:cstheme="minorHAnsi"/>
          <w:sz w:val="24"/>
          <w:szCs w:val="24"/>
        </w:rPr>
        <w:t>, M.S.; Busby, B.D. Preparation for College General Chemistry: More than Just a Matter of Content Knowledge Acquisition. </w:t>
      </w:r>
      <w:r w:rsidRPr="00524D9F">
        <w:rPr>
          <w:rFonts w:cstheme="minorHAnsi"/>
          <w:i/>
          <w:iCs/>
          <w:sz w:val="24"/>
          <w:szCs w:val="24"/>
        </w:rPr>
        <w:t>J. Chem. Educ.</w:t>
      </w:r>
      <w:r w:rsidRPr="00524D9F">
        <w:rPr>
          <w:rFonts w:cstheme="minorHAnsi"/>
          <w:sz w:val="24"/>
          <w:szCs w:val="24"/>
        </w:rPr>
        <w:t> </w:t>
      </w:r>
      <w:r w:rsidRPr="00524D9F">
        <w:rPr>
          <w:rFonts w:cstheme="minorHAnsi"/>
          <w:b/>
          <w:bCs/>
          <w:sz w:val="24"/>
          <w:szCs w:val="24"/>
        </w:rPr>
        <w:t>2015</w:t>
      </w:r>
      <w:r w:rsidRPr="00524D9F">
        <w:rPr>
          <w:rFonts w:cstheme="minorHAnsi"/>
          <w:sz w:val="24"/>
          <w:szCs w:val="24"/>
        </w:rPr>
        <w:t>, </w:t>
      </w:r>
      <w:r w:rsidRPr="00524D9F">
        <w:rPr>
          <w:rFonts w:cstheme="minorHAnsi"/>
          <w:i/>
          <w:iCs/>
          <w:sz w:val="24"/>
          <w:szCs w:val="24"/>
        </w:rPr>
        <w:t>92</w:t>
      </w:r>
      <w:r w:rsidRPr="00524D9F">
        <w:rPr>
          <w:rFonts w:cstheme="minorHAnsi"/>
          <w:sz w:val="24"/>
          <w:szCs w:val="24"/>
        </w:rPr>
        <w:t xml:space="preserve">, 1790–1797. </w:t>
      </w:r>
    </w:p>
    <w:p w14:paraId="371C4B36" w14:textId="2FBAA7E6"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Hunter, N.W. Chemistry Prep Course That Seems to Work. </w:t>
      </w:r>
      <w:r w:rsidRPr="00524D9F">
        <w:rPr>
          <w:rFonts w:cstheme="minorHAnsi"/>
          <w:i/>
          <w:iCs/>
          <w:sz w:val="24"/>
          <w:szCs w:val="24"/>
        </w:rPr>
        <w:t>J. Chem. Educ.</w:t>
      </w:r>
      <w:r w:rsidRPr="00524D9F">
        <w:rPr>
          <w:rFonts w:cstheme="minorHAnsi"/>
          <w:sz w:val="24"/>
          <w:szCs w:val="24"/>
        </w:rPr>
        <w:t> </w:t>
      </w:r>
      <w:r w:rsidRPr="00524D9F">
        <w:rPr>
          <w:rFonts w:cstheme="minorHAnsi"/>
          <w:b/>
          <w:bCs/>
          <w:sz w:val="24"/>
          <w:szCs w:val="24"/>
        </w:rPr>
        <w:t>1976</w:t>
      </w:r>
      <w:r w:rsidRPr="00524D9F">
        <w:rPr>
          <w:rFonts w:cstheme="minorHAnsi"/>
          <w:sz w:val="24"/>
          <w:szCs w:val="24"/>
        </w:rPr>
        <w:t>, </w:t>
      </w:r>
      <w:r w:rsidRPr="00524D9F">
        <w:rPr>
          <w:rFonts w:cstheme="minorHAnsi"/>
          <w:i/>
          <w:iCs/>
          <w:sz w:val="24"/>
          <w:szCs w:val="24"/>
        </w:rPr>
        <w:t>53</w:t>
      </w:r>
      <w:r w:rsidRPr="00524D9F">
        <w:rPr>
          <w:rFonts w:cstheme="minorHAnsi"/>
          <w:sz w:val="24"/>
          <w:szCs w:val="24"/>
        </w:rPr>
        <w:t xml:space="preserve">, 301. </w:t>
      </w:r>
    </w:p>
    <w:p w14:paraId="537E3999" w14:textId="3535AF10"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 xml:space="preserve">Freeman, W.A. Relative Long-Term Benefits of a </w:t>
      </w:r>
      <w:proofErr w:type="gramStart"/>
      <w:r w:rsidRPr="00524D9F">
        <w:rPr>
          <w:rFonts w:cstheme="minorHAnsi"/>
          <w:sz w:val="24"/>
          <w:szCs w:val="24"/>
        </w:rPr>
        <w:t>Psi</w:t>
      </w:r>
      <w:proofErr w:type="gramEnd"/>
      <w:r w:rsidRPr="00524D9F">
        <w:rPr>
          <w:rFonts w:cstheme="minorHAnsi"/>
          <w:sz w:val="24"/>
          <w:szCs w:val="24"/>
        </w:rPr>
        <w:t xml:space="preserve"> and a Traditional-Style Remedial Chemistry Course. </w:t>
      </w:r>
      <w:r w:rsidRPr="00524D9F">
        <w:rPr>
          <w:rFonts w:cstheme="minorHAnsi"/>
          <w:i/>
          <w:iCs/>
          <w:sz w:val="24"/>
          <w:szCs w:val="24"/>
        </w:rPr>
        <w:t>J. Chem. Educ.</w:t>
      </w:r>
      <w:r w:rsidRPr="00524D9F">
        <w:rPr>
          <w:rFonts w:cstheme="minorHAnsi"/>
          <w:sz w:val="24"/>
          <w:szCs w:val="24"/>
        </w:rPr>
        <w:t> </w:t>
      </w:r>
      <w:r w:rsidRPr="00524D9F">
        <w:rPr>
          <w:rFonts w:cstheme="minorHAnsi"/>
          <w:b/>
          <w:bCs/>
          <w:sz w:val="24"/>
          <w:szCs w:val="24"/>
        </w:rPr>
        <w:t>1984</w:t>
      </w:r>
      <w:r w:rsidRPr="00524D9F">
        <w:rPr>
          <w:rFonts w:cstheme="minorHAnsi"/>
          <w:sz w:val="24"/>
          <w:szCs w:val="24"/>
        </w:rPr>
        <w:t>, </w:t>
      </w:r>
      <w:r w:rsidRPr="00524D9F">
        <w:rPr>
          <w:rFonts w:cstheme="minorHAnsi"/>
          <w:i/>
          <w:iCs/>
          <w:sz w:val="24"/>
          <w:szCs w:val="24"/>
        </w:rPr>
        <w:t>61</w:t>
      </w:r>
      <w:r w:rsidRPr="00524D9F">
        <w:rPr>
          <w:rFonts w:cstheme="minorHAnsi"/>
          <w:sz w:val="24"/>
          <w:szCs w:val="24"/>
        </w:rPr>
        <w:t xml:space="preserve">, 617–619. </w:t>
      </w:r>
    </w:p>
    <w:p w14:paraId="2C747A66" w14:textId="4CCB0CED"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Pickering, M. Helping High-Risk Freshman Chemist. </w:t>
      </w:r>
      <w:r w:rsidRPr="00524D9F">
        <w:rPr>
          <w:rFonts w:cstheme="minorHAnsi"/>
          <w:i/>
          <w:iCs/>
          <w:sz w:val="24"/>
          <w:szCs w:val="24"/>
        </w:rPr>
        <w:t>J. Chem. Educ.</w:t>
      </w:r>
      <w:r w:rsidRPr="00524D9F">
        <w:rPr>
          <w:rFonts w:cstheme="minorHAnsi"/>
          <w:sz w:val="24"/>
          <w:szCs w:val="24"/>
        </w:rPr>
        <w:t> </w:t>
      </w:r>
      <w:r w:rsidRPr="00524D9F">
        <w:rPr>
          <w:rFonts w:cstheme="minorHAnsi"/>
          <w:b/>
          <w:bCs/>
          <w:sz w:val="24"/>
          <w:szCs w:val="24"/>
        </w:rPr>
        <w:t>1975</w:t>
      </w:r>
      <w:r w:rsidRPr="00524D9F">
        <w:rPr>
          <w:rFonts w:cstheme="minorHAnsi"/>
          <w:sz w:val="24"/>
          <w:szCs w:val="24"/>
        </w:rPr>
        <w:t>, </w:t>
      </w:r>
      <w:r w:rsidRPr="00524D9F">
        <w:rPr>
          <w:rFonts w:cstheme="minorHAnsi"/>
          <w:i/>
          <w:iCs/>
          <w:sz w:val="24"/>
          <w:szCs w:val="24"/>
        </w:rPr>
        <w:t>52</w:t>
      </w:r>
      <w:r w:rsidRPr="00524D9F">
        <w:rPr>
          <w:rFonts w:cstheme="minorHAnsi"/>
          <w:sz w:val="24"/>
          <w:szCs w:val="24"/>
        </w:rPr>
        <w:t xml:space="preserve">, 512–514. </w:t>
      </w:r>
    </w:p>
    <w:p w14:paraId="0B887067" w14:textId="5A943AC2" w:rsidR="00524D9F" w:rsidRPr="00524D9F" w:rsidRDefault="00524D9F" w:rsidP="00390E39">
      <w:pPr>
        <w:numPr>
          <w:ilvl w:val="0"/>
          <w:numId w:val="15"/>
        </w:numPr>
        <w:spacing w:after="0"/>
        <w:rPr>
          <w:rFonts w:cstheme="minorHAnsi"/>
          <w:sz w:val="24"/>
          <w:szCs w:val="24"/>
        </w:rPr>
      </w:pPr>
      <w:proofErr w:type="spellStart"/>
      <w:r w:rsidRPr="00524D9F">
        <w:rPr>
          <w:rFonts w:cstheme="minorHAnsi"/>
          <w:sz w:val="24"/>
          <w:szCs w:val="24"/>
        </w:rPr>
        <w:t>Meckstro</w:t>
      </w:r>
      <w:proofErr w:type="spellEnd"/>
      <w:r w:rsidRPr="00524D9F">
        <w:rPr>
          <w:rFonts w:cstheme="minorHAnsi"/>
          <w:sz w:val="24"/>
          <w:szCs w:val="24"/>
        </w:rPr>
        <w:t>, W.K. Chemistry Course for Underprepared Students. </w:t>
      </w:r>
      <w:r w:rsidRPr="00524D9F">
        <w:rPr>
          <w:rFonts w:cstheme="minorHAnsi"/>
          <w:i/>
          <w:iCs/>
          <w:sz w:val="24"/>
          <w:szCs w:val="24"/>
        </w:rPr>
        <w:t>J. Chem. Educ.</w:t>
      </w:r>
      <w:r w:rsidRPr="00524D9F">
        <w:rPr>
          <w:rFonts w:cstheme="minorHAnsi"/>
          <w:sz w:val="24"/>
          <w:szCs w:val="24"/>
        </w:rPr>
        <w:t> </w:t>
      </w:r>
      <w:r w:rsidRPr="00524D9F">
        <w:rPr>
          <w:rFonts w:cstheme="minorHAnsi"/>
          <w:b/>
          <w:bCs/>
          <w:sz w:val="24"/>
          <w:szCs w:val="24"/>
        </w:rPr>
        <w:t>1974</w:t>
      </w:r>
      <w:r w:rsidRPr="00524D9F">
        <w:rPr>
          <w:rFonts w:cstheme="minorHAnsi"/>
          <w:sz w:val="24"/>
          <w:szCs w:val="24"/>
        </w:rPr>
        <w:t>, </w:t>
      </w:r>
      <w:r w:rsidRPr="00524D9F">
        <w:rPr>
          <w:rFonts w:cstheme="minorHAnsi"/>
          <w:i/>
          <w:iCs/>
          <w:sz w:val="24"/>
          <w:szCs w:val="24"/>
        </w:rPr>
        <w:t>51</w:t>
      </w:r>
      <w:r w:rsidRPr="00524D9F">
        <w:rPr>
          <w:rFonts w:cstheme="minorHAnsi"/>
          <w:sz w:val="24"/>
          <w:szCs w:val="24"/>
        </w:rPr>
        <w:t xml:space="preserve">, 329. </w:t>
      </w:r>
    </w:p>
    <w:p w14:paraId="0C4CCEA0" w14:textId="5A11404D"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 xml:space="preserve">Pedersen, L. </w:t>
      </w:r>
      <w:proofErr w:type="gramStart"/>
      <w:r w:rsidRPr="00524D9F">
        <w:rPr>
          <w:rFonts w:cstheme="minorHAnsi"/>
          <w:sz w:val="24"/>
          <w:szCs w:val="24"/>
        </w:rPr>
        <w:t>Lower Level</w:t>
      </w:r>
      <w:proofErr w:type="gramEnd"/>
      <w:r w:rsidRPr="00524D9F">
        <w:rPr>
          <w:rFonts w:cstheme="minorHAnsi"/>
          <w:sz w:val="24"/>
          <w:szCs w:val="24"/>
        </w:rPr>
        <w:t xml:space="preserve"> Freshman Chemistry—How to Choose Audience. </w:t>
      </w:r>
      <w:r w:rsidRPr="00524D9F">
        <w:rPr>
          <w:rFonts w:cstheme="minorHAnsi"/>
          <w:i/>
          <w:iCs/>
          <w:sz w:val="24"/>
          <w:szCs w:val="24"/>
        </w:rPr>
        <w:t>J. Chem. Educ.</w:t>
      </w:r>
      <w:r w:rsidRPr="00524D9F">
        <w:rPr>
          <w:rFonts w:cstheme="minorHAnsi"/>
          <w:sz w:val="24"/>
          <w:szCs w:val="24"/>
        </w:rPr>
        <w:t> </w:t>
      </w:r>
      <w:r w:rsidRPr="00524D9F">
        <w:rPr>
          <w:rFonts w:cstheme="minorHAnsi"/>
          <w:b/>
          <w:bCs/>
          <w:sz w:val="24"/>
          <w:szCs w:val="24"/>
        </w:rPr>
        <w:t>1976</w:t>
      </w:r>
      <w:r w:rsidRPr="00524D9F">
        <w:rPr>
          <w:rFonts w:cstheme="minorHAnsi"/>
          <w:sz w:val="24"/>
          <w:szCs w:val="24"/>
        </w:rPr>
        <w:t>, </w:t>
      </w:r>
      <w:r w:rsidRPr="00524D9F">
        <w:rPr>
          <w:rFonts w:cstheme="minorHAnsi"/>
          <w:i/>
          <w:iCs/>
          <w:sz w:val="24"/>
          <w:szCs w:val="24"/>
        </w:rPr>
        <w:t>53</w:t>
      </w:r>
      <w:r w:rsidRPr="00524D9F">
        <w:rPr>
          <w:rFonts w:cstheme="minorHAnsi"/>
          <w:sz w:val="24"/>
          <w:szCs w:val="24"/>
        </w:rPr>
        <w:t xml:space="preserve">, 418. </w:t>
      </w:r>
    </w:p>
    <w:p w14:paraId="799F943B" w14:textId="7E53024B"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 xml:space="preserve">Buchwitz, B.J.; Beyer, C.H.; Peterson, J.E.; Pitre, E.; Lalic, N.; Sampson, P.D.; </w:t>
      </w:r>
      <w:proofErr w:type="spellStart"/>
      <w:r w:rsidRPr="00524D9F">
        <w:rPr>
          <w:rFonts w:cstheme="minorHAnsi"/>
          <w:sz w:val="24"/>
          <w:szCs w:val="24"/>
        </w:rPr>
        <w:t>Wakimoto</w:t>
      </w:r>
      <w:proofErr w:type="spellEnd"/>
      <w:r w:rsidRPr="00524D9F">
        <w:rPr>
          <w:rFonts w:cstheme="minorHAnsi"/>
          <w:sz w:val="24"/>
          <w:szCs w:val="24"/>
        </w:rPr>
        <w:t>, B.T. Facilitating Long-Term Changes in Student Approaches to Learning Science. </w:t>
      </w:r>
      <w:proofErr w:type="spellStart"/>
      <w:r w:rsidRPr="00524D9F">
        <w:rPr>
          <w:rFonts w:cstheme="minorHAnsi"/>
          <w:i/>
          <w:iCs/>
          <w:sz w:val="24"/>
          <w:szCs w:val="24"/>
        </w:rPr>
        <w:t>Cbe</w:t>
      </w:r>
      <w:proofErr w:type="spellEnd"/>
      <w:r w:rsidRPr="00524D9F">
        <w:rPr>
          <w:rFonts w:cstheme="minorHAnsi"/>
          <w:i/>
          <w:iCs/>
          <w:sz w:val="24"/>
          <w:szCs w:val="24"/>
        </w:rPr>
        <w:t>-Life Sci. Educ.</w:t>
      </w:r>
      <w:r w:rsidRPr="00524D9F">
        <w:rPr>
          <w:rFonts w:cstheme="minorHAnsi"/>
          <w:sz w:val="24"/>
          <w:szCs w:val="24"/>
        </w:rPr>
        <w:t> </w:t>
      </w:r>
      <w:r w:rsidRPr="00524D9F">
        <w:rPr>
          <w:rFonts w:cstheme="minorHAnsi"/>
          <w:b/>
          <w:bCs/>
          <w:sz w:val="24"/>
          <w:szCs w:val="24"/>
        </w:rPr>
        <w:t>2012</w:t>
      </w:r>
      <w:r w:rsidRPr="00524D9F">
        <w:rPr>
          <w:rFonts w:cstheme="minorHAnsi"/>
          <w:sz w:val="24"/>
          <w:szCs w:val="24"/>
        </w:rPr>
        <w:t>, </w:t>
      </w:r>
      <w:r w:rsidRPr="00524D9F">
        <w:rPr>
          <w:rFonts w:cstheme="minorHAnsi"/>
          <w:i/>
          <w:iCs/>
          <w:sz w:val="24"/>
          <w:szCs w:val="24"/>
        </w:rPr>
        <w:t>11</w:t>
      </w:r>
      <w:r w:rsidRPr="00524D9F">
        <w:rPr>
          <w:rFonts w:cstheme="minorHAnsi"/>
          <w:sz w:val="24"/>
          <w:szCs w:val="24"/>
        </w:rPr>
        <w:t xml:space="preserve">, 273–282. </w:t>
      </w:r>
    </w:p>
    <w:p w14:paraId="7A069FE7" w14:textId="20A1ED06" w:rsidR="00524D9F" w:rsidRPr="00524D9F" w:rsidRDefault="00524D9F" w:rsidP="00390E39">
      <w:pPr>
        <w:numPr>
          <w:ilvl w:val="0"/>
          <w:numId w:val="15"/>
        </w:numPr>
        <w:spacing w:after="0"/>
        <w:rPr>
          <w:rFonts w:cstheme="minorHAnsi"/>
          <w:sz w:val="24"/>
          <w:szCs w:val="24"/>
        </w:rPr>
      </w:pPr>
      <w:proofErr w:type="spellStart"/>
      <w:r w:rsidRPr="00524D9F">
        <w:rPr>
          <w:rFonts w:cstheme="minorHAnsi"/>
          <w:sz w:val="24"/>
          <w:szCs w:val="24"/>
        </w:rPr>
        <w:t>Krannich</w:t>
      </w:r>
      <w:proofErr w:type="spellEnd"/>
      <w:r w:rsidRPr="00524D9F">
        <w:rPr>
          <w:rFonts w:cstheme="minorHAnsi"/>
          <w:sz w:val="24"/>
          <w:szCs w:val="24"/>
        </w:rPr>
        <w:t>, L.K.; Patick, D.; Pevear, J. A pre-general chemistry course for the underprepared student. </w:t>
      </w:r>
      <w:r w:rsidRPr="00524D9F">
        <w:rPr>
          <w:rFonts w:cstheme="minorHAnsi"/>
          <w:i/>
          <w:iCs/>
          <w:sz w:val="24"/>
          <w:szCs w:val="24"/>
        </w:rPr>
        <w:t>J. Chem. Educ.</w:t>
      </w:r>
      <w:r w:rsidRPr="00524D9F">
        <w:rPr>
          <w:rFonts w:cstheme="minorHAnsi"/>
          <w:sz w:val="24"/>
          <w:szCs w:val="24"/>
        </w:rPr>
        <w:t> </w:t>
      </w:r>
      <w:r w:rsidRPr="00524D9F">
        <w:rPr>
          <w:rFonts w:cstheme="minorHAnsi"/>
          <w:b/>
          <w:bCs/>
          <w:sz w:val="24"/>
          <w:szCs w:val="24"/>
        </w:rPr>
        <w:t>1977</w:t>
      </w:r>
      <w:r w:rsidRPr="00524D9F">
        <w:rPr>
          <w:rFonts w:cstheme="minorHAnsi"/>
          <w:sz w:val="24"/>
          <w:szCs w:val="24"/>
        </w:rPr>
        <w:t>, </w:t>
      </w:r>
      <w:r w:rsidRPr="00524D9F">
        <w:rPr>
          <w:rFonts w:cstheme="minorHAnsi"/>
          <w:i/>
          <w:iCs/>
          <w:sz w:val="24"/>
          <w:szCs w:val="24"/>
        </w:rPr>
        <w:t>54</w:t>
      </w:r>
      <w:r w:rsidRPr="00524D9F">
        <w:rPr>
          <w:rFonts w:cstheme="minorHAnsi"/>
          <w:sz w:val="24"/>
          <w:szCs w:val="24"/>
        </w:rPr>
        <w:t xml:space="preserve">, 730. </w:t>
      </w:r>
    </w:p>
    <w:p w14:paraId="6B316683" w14:textId="12C2F48C"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 xml:space="preserve">Jones, K.B.; </w:t>
      </w:r>
      <w:proofErr w:type="spellStart"/>
      <w:r w:rsidRPr="00524D9F">
        <w:rPr>
          <w:rFonts w:cstheme="minorHAnsi"/>
          <w:sz w:val="24"/>
          <w:szCs w:val="24"/>
        </w:rPr>
        <w:t>Gellene</w:t>
      </w:r>
      <w:proofErr w:type="spellEnd"/>
      <w:r w:rsidRPr="00524D9F">
        <w:rPr>
          <w:rFonts w:cstheme="minorHAnsi"/>
          <w:sz w:val="24"/>
          <w:szCs w:val="24"/>
        </w:rPr>
        <w:t>, G.I. Understanding attrition in an introductory chemistry sequence following successful completion of a remedial course. </w:t>
      </w:r>
      <w:r w:rsidRPr="00524D9F">
        <w:rPr>
          <w:rFonts w:cstheme="minorHAnsi"/>
          <w:i/>
          <w:iCs/>
          <w:sz w:val="24"/>
          <w:szCs w:val="24"/>
        </w:rPr>
        <w:t>J. Chem. Educ.</w:t>
      </w:r>
      <w:r w:rsidRPr="00524D9F">
        <w:rPr>
          <w:rFonts w:cstheme="minorHAnsi"/>
          <w:sz w:val="24"/>
          <w:szCs w:val="24"/>
        </w:rPr>
        <w:t> </w:t>
      </w:r>
      <w:r w:rsidRPr="00524D9F">
        <w:rPr>
          <w:rFonts w:cstheme="minorHAnsi"/>
          <w:b/>
          <w:bCs/>
          <w:sz w:val="24"/>
          <w:szCs w:val="24"/>
        </w:rPr>
        <w:t>2005</w:t>
      </w:r>
      <w:r w:rsidRPr="00524D9F">
        <w:rPr>
          <w:rFonts w:cstheme="minorHAnsi"/>
          <w:sz w:val="24"/>
          <w:szCs w:val="24"/>
        </w:rPr>
        <w:t>, </w:t>
      </w:r>
      <w:r w:rsidRPr="00524D9F">
        <w:rPr>
          <w:rFonts w:cstheme="minorHAnsi"/>
          <w:i/>
          <w:iCs/>
          <w:sz w:val="24"/>
          <w:szCs w:val="24"/>
        </w:rPr>
        <w:t>82</w:t>
      </w:r>
      <w:r w:rsidRPr="00524D9F">
        <w:rPr>
          <w:rFonts w:cstheme="minorHAnsi"/>
          <w:sz w:val="24"/>
          <w:szCs w:val="24"/>
        </w:rPr>
        <w:t xml:space="preserve">, 1241–1245. </w:t>
      </w:r>
    </w:p>
    <w:p w14:paraId="6136AAB2" w14:textId="47CE9AE7"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Reid, S.A.; MacBride, L.; Nobile, L.; Fiedler, A.T.; Gardinier, J.R. Implementation and evaluation of an adaptive online summer preparatory course for general chemistry: Whom does it benefit? </w:t>
      </w:r>
      <w:r w:rsidRPr="00524D9F">
        <w:rPr>
          <w:rFonts w:cstheme="minorHAnsi"/>
          <w:i/>
          <w:iCs/>
          <w:sz w:val="24"/>
          <w:szCs w:val="24"/>
        </w:rPr>
        <w:t xml:space="preserve">Chem. Educ. Res. </w:t>
      </w:r>
      <w:proofErr w:type="spellStart"/>
      <w:r w:rsidRPr="00524D9F">
        <w:rPr>
          <w:rFonts w:cstheme="minorHAnsi"/>
          <w:i/>
          <w:iCs/>
          <w:sz w:val="24"/>
          <w:szCs w:val="24"/>
        </w:rPr>
        <w:t>Pract</w:t>
      </w:r>
      <w:proofErr w:type="spellEnd"/>
      <w:r w:rsidRPr="00524D9F">
        <w:rPr>
          <w:rFonts w:cstheme="minorHAnsi"/>
          <w:i/>
          <w:iCs/>
          <w:sz w:val="24"/>
          <w:szCs w:val="24"/>
        </w:rPr>
        <w:t>.</w:t>
      </w:r>
      <w:r w:rsidRPr="00524D9F">
        <w:rPr>
          <w:rFonts w:cstheme="minorHAnsi"/>
          <w:sz w:val="24"/>
          <w:szCs w:val="24"/>
        </w:rPr>
        <w:t> </w:t>
      </w:r>
      <w:r w:rsidRPr="00524D9F">
        <w:rPr>
          <w:rFonts w:cstheme="minorHAnsi"/>
          <w:b/>
          <w:bCs/>
          <w:sz w:val="24"/>
          <w:szCs w:val="24"/>
        </w:rPr>
        <w:t>2021</w:t>
      </w:r>
      <w:r w:rsidRPr="00524D9F">
        <w:rPr>
          <w:rFonts w:cstheme="minorHAnsi"/>
          <w:sz w:val="24"/>
          <w:szCs w:val="24"/>
        </w:rPr>
        <w:t>, </w:t>
      </w:r>
      <w:r w:rsidRPr="00524D9F">
        <w:rPr>
          <w:rFonts w:cstheme="minorHAnsi"/>
          <w:i/>
          <w:iCs/>
          <w:sz w:val="24"/>
          <w:szCs w:val="24"/>
        </w:rPr>
        <w:t>22</w:t>
      </w:r>
      <w:r w:rsidRPr="00524D9F">
        <w:rPr>
          <w:rFonts w:cstheme="minorHAnsi"/>
          <w:sz w:val="24"/>
          <w:szCs w:val="24"/>
        </w:rPr>
        <w:t xml:space="preserve">, 303–311. </w:t>
      </w:r>
    </w:p>
    <w:p w14:paraId="093F594A" w14:textId="53B0A388"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Locke, E.A. An empirical study of lecture notetaking among college students. </w:t>
      </w:r>
      <w:r w:rsidRPr="00524D9F">
        <w:rPr>
          <w:rFonts w:cstheme="minorHAnsi"/>
          <w:i/>
          <w:iCs/>
          <w:sz w:val="24"/>
          <w:szCs w:val="24"/>
        </w:rPr>
        <w:t>J. Educ. Res.</w:t>
      </w:r>
      <w:r w:rsidRPr="00524D9F">
        <w:rPr>
          <w:rFonts w:cstheme="minorHAnsi"/>
          <w:sz w:val="24"/>
          <w:szCs w:val="24"/>
        </w:rPr>
        <w:t> </w:t>
      </w:r>
      <w:r w:rsidRPr="00524D9F">
        <w:rPr>
          <w:rFonts w:cstheme="minorHAnsi"/>
          <w:b/>
          <w:bCs/>
          <w:sz w:val="24"/>
          <w:szCs w:val="24"/>
        </w:rPr>
        <w:t>1977</w:t>
      </w:r>
      <w:r w:rsidRPr="00524D9F">
        <w:rPr>
          <w:rFonts w:cstheme="minorHAnsi"/>
          <w:sz w:val="24"/>
          <w:szCs w:val="24"/>
        </w:rPr>
        <w:t>, </w:t>
      </w:r>
      <w:r w:rsidRPr="00524D9F">
        <w:rPr>
          <w:rFonts w:cstheme="minorHAnsi"/>
          <w:i/>
          <w:iCs/>
          <w:sz w:val="24"/>
          <w:szCs w:val="24"/>
        </w:rPr>
        <w:t>77</w:t>
      </w:r>
      <w:r w:rsidRPr="00524D9F">
        <w:rPr>
          <w:rFonts w:cstheme="minorHAnsi"/>
          <w:sz w:val="24"/>
          <w:szCs w:val="24"/>
        </w:rPr>
        <w:t>, 93–99</w:t>
      </w:r>
      <w:r w:rsidR="00CF288A">
        <w:rPr>
          <w:rFonts w:cstheme="minorHAnsi"/>
          <w:sz w:val="24"/>
          <w:szCs w:val="24"/>
        </w:rPr>
        <w:t>.</w:t>
      </w:r>
    </w:p>
    <w:p w14:paraId="5E513191" w14:textId="7EB7E427"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Vyas, V.S.; Kemp, B.; Reid, S.A. Zeroing in on the best early-course metrics to identify at-risk students in general chemistry: An adaptive learning pre-assessment vs. traditional diagnostic exam. </w:t>
      </w:r>
      <w:r w:rsidRPr="00524D9F">
        <w:rPr>
          <w:rFonts w:cstheme="minorHAnsi"/>
          <w:i/>
          <w:iCs/>
          <w:sz w:val="24"/>
          <w:szCs w:val="24"/>
        </w:rPr>
        <w:t>Int. J. Sci. Educ.</w:t>
      </w:r>
      <w:r w:rsidRPr="00524D9F">
        <w:rPr>
          <w:rFonts w:cstheme="minorHAnsi"/>
          <w:sz w:val="24"/>
          <w:szCs w:val="24"/>
        </w:rPr>
        <w:t> </w:t>
      </w:r>
      <w:r w:rsidRPr="00524D9F">
        <w:rPr>
          <w:rFonts w:cstheme="minorHAnsi"/>
          <w:b/>
          <w:bCs/>
          <w:sz w:val="24"/>
          <w:szCs w:val="24"/>
        </w:rPr>
        <w:t>2021</w:t>
      </w:r>
      <w:r w:rsidRPr="00524D9F">
        <w:rPr>
          <w:rFonts w:cstheme="minorHAnsi"/>
          <w:sz w:val="24"/>
          <w:szCs w:val="24"/>
        </w:rPr>
        <w:t>, </w:t>
      </w:r>
      <w:r w:rsidRPr="00524D9F">
        <w:rPr>
          <w:rFonts w:cstheme="minorHAnsi"/>
          <w:i/>
          <w:iCs/>
          <w:sz w:val="24"/>
          <w:szCs w:val="24"/>
        </w:rPr>
        <w:t>43</w:t>
      </w:r>
      <w:r w:rsidRPr="00524D9F">
        <w:rPr>
          <w:rFonts w:cstheme="minorHAnsi"/>
          <w:sz w:val="24"/>
          <w:szCs w:val="24"/>
        </w:rPr>
        <w:t xml:space="preserve">, 552–569. </w:t>
      </w:r>
    </w:p>
    <w:p w14:paraId="6BE75EAA" w14:textId="15C71796"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Hyers, A.D.; Joslin, M.N. The First Year Seminar as a Predictor of Academic Achievement and Persistence. </w:t>
      </w:r>
      <w:r w:rsidRPr="00524D9F">
        <w:rPr>
          <w:rFonts w:cstheme="minorHAnsi"/>
          <w:i/>
          <w:iCs/>
          <w:sz w:val="24"/>
          <w:szCs w:val="24"/>
        </w:rPr>
        <w:t xml:space="preserve">J. </w:t>
      </w:r>
      <w:proofErr w:type="spellStart"/>
      <w:r w:rsidRPr="00524D9F">
        <w:rPr>
          <w:rFonts w:cstheme="minorHAnsi"/>
          <w:i/>
          <w:iCs/>
          <w:sz w:val="24"/>
          <w:szCs w:val="24"/>
        </w:rPr>
        <w:t>Freshm</w:t>
      </w:r>
      <w:proofErr w:type="spellEnd"/>
      <w:r w:rsidRPr="00524D9F">
        <w:rPr>
          <w:rFonts w:cstheme="minorHAnsi"/>
          <w:i/>
          <w:iCs/>
          <w:sz w:val="24"/>
          <w:szCs w:val="24"/>
        </w:rPr>
        <w:t>. Year Exp.</w:t>
      </w:r>
      <w:r w:rsidRPr="00524D9F">
        <w:rPr>
          <w:rFonts w:cstheme="minorHAnsi"/>
          <w:sz w:val="24"/>
          <w:szCs w:val="24"/>
        </w:rPr>
        <w:t> </w:t>
      </w:r>
      <w:r w:rsidRPr="00524D9F">
        <w:rPr>
          <w:rFonts w:cstheme="minorHAnsi"/>
          <w:b/>
          <w:bCs/>
          <w:sz w:val="24"/>
          <w:szCs w:val="24"/>
        </w:rPr>
        <w:t>1998</w:t>
      </w:r>
      <w:r w:rsidRPr="00524D9F">
        <w:rPr>
          <w:rFonts w:cstheme="minorHAnsi"/>
          <w:sz w:val="24"/>
          <w:szCs w:val="24"/>
        </w:rPr>
        <w:t>, </w:t>
      </w:r>
      <w:r w:rsidRPr="00524D9F">
        <w:rPr>
          <w:rFonts w:cstheme="minorHAnsi"/>
          <w:i/>
          <w:iCs/>
          <w:sz w:val="24"/>
          <w:szCs w:val="24"/>
        </w:rPr>
        <w:t>10</w:t>
      </w:r>
      <w:r w:rsidRPr="00524D9F">
        <w:rPr>
          <w:rFonts w:cstheme="minorHAnsi"/>
          <w:sz w:val="24"/>
          <w:szCs w:val="24"/>
        </w:rPr>
        <w:t xml:space="preserve">, 7–30. </w:t>
      </w:r>
    </w:p>
    <w:p w14:paraId="26279B8B" w14:textId="30962968"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Mills, P.; Sweeney, W.; Bonner, S.M. Using the First Exam for Student Placement in Beginning Chemistry Courses. </w:t>
      </w:r>
      <w:r w:rsidRPr="00524D9F">
        <w:rPr>
          <w:rFonts w:cstheme="minorHAnsi"/>
          <w:i/>
          <w:iCs/>
          <w:sz w:val="24"/>
          <w:szCs w:val="24"/>
        </w:rPr>
        <w:t>J. Chem. Educ.</w:t>
      </w:r>
      <w:r w:rsidRPr="00524D9F">
        <w:rPr>
          <w:rFonts w:cstheme="minorHAnsi"/>
          <w:sz w:val="24"/>
          <w:szCs w:val="24"/>
        </w:rPr>
        <w:t> </w:t>
      </w:r>
      <w:r w:rsidRPr="00524D9F">
        <w:rPr>
          <w:rFonts w:cstheme="minorHAnsi"/>
          <w:b/>
          <w:bCs/>
          <w:sz w:val="24"/>
          <w:szCs w:val="24"/>
        </w:rPr>
        <w:t>2009</w:t>
      </w:r>
      <w:r w:rsidRPr="00524D9F">
        <w:rPr>
          <w:rFonts w:cstheme="minorHAnsi"/>
          <w:sz w:val="24"/>
          <w:szCs w:val="24"/>
        </w:rPr>
        <w:t>, </w:t>
      </w:r>
      <w:r w:rsidRPr="00524D9F">
        <w:rPr>
          <w:rFonts w:cstheme="minorHAnsi"/>
          <w:i/>
          <w:iCs/>
          <w:sz w:val="24"/>
          <w:szCs w:val="24"/>
        </w:rPr>
        <w:t>86</w:t>
      </w:r>
      <w:r w:rsidRPr="00524D9F">
        <w:rPr>
          <w:rFonts w:cstheme="minorHAnsi"/>
          <w:sz w:val="24"/>
          <w:szCs w:val="24"/>
        </w:rPr>
        <w:t xml:space="preserve">, 738–743. </w:t>
      </w:r>
    </w:p>
    <w:p w14:paraId="5886D9AB" w14:textId="79A411F5"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lastRenderedPageBreak/>
        <w:t>Ornelles, C. Providing classroom-based intervention to at-risk students to support their academic engagement and interactions with peers. </w:t>
      </w:r>
      <w:r w:rsidRPr="00524D9F">
        <w:rPr>
          <w:rFonts w:cstheme="minorHAnsi"/>
          <w:i/>
          <w:iCs/>
          <w:sz w:val="24"/>
          <w:szCs w:val="24"/>
        </w:rPr>
        <w:t>Prev. Sch. Fail. Altern. Educ. Child. Youth</w:t>
      </w:r>
      <w:r w:rsidRPr="00524D9F">
        <w:rPr>
          <w:rFonts w:cstheme="minorHAnsi"/>
          <w:sz w:val="24"/>
          <w:szCs w:val="24"/>
        </w:rPr>
        <w:t> </w:t>
      </w:r>
      <w:r w:rsidRPr="00524D9F">
        <w:rPr>
          <w:rFonts w:cstheme="minorHAnsi"/>
          <w:b/>
          <w:bCs/>
          <w:sz w:val="24"/>
          <w:szCs w:val="24"/>
        </w:rPr>
        <w:t>2007</w:t>
      </w:r>
      <w:r w:rsidRPr="00524D9F">
        <w:rPr>
          <w:rFonts w:cstheme="minorHAnsi"/>
          <w:sz w:val="24"/>
          <w:szCs w:val="24"/>
        </w:rPr>
        <w:t>, </w:t>
      </w:r>
      <w:r w:rsidRPr="00524D9F">
        <w:rPr>
          <w:rFonts w:cstheme="minorHAnsi"/>
          <w:i/>
          <w:iCs/>
          <w:sz w:val="24"/>
          <w:szCs w:val="24"/>
        </w:rPr>
        <w:t>51</w:t>
      </w:r>
      <w:r w:rsidRPr="00524D9F">
        <w:rPr>
          <w:rFonts w:cstheme="minorHAnsi"/>
          <w:sz w:val="24"/>
          <w:szCs w:val="24"/>
        </w:rPr>
        <w:t xml:space="preserve">, 3–12. </w:t>
      </w:r>
    </w:p>
    <w:p w14:paraId="48595B79" w14:textId="6F7BDD0F"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Hake, R.R. Interactive-engagement versus traditional methods: A six-thousand-student survey of mechanics test data for introductory physics courses. </w:t>
      </w:r>
      <w:r w:rsidRPr="00524D9F">
        <w:rPr>
          <w:rFonts w:cstheme="minorHAnsi"/>
          <w:i/>
          <w:iCs/>
          <w:sz w:val="24"/>
          <w:szCs w:val="24"/>
        </w:rPr>
        <w:t>Am. J. Phys.</w:t>
      </w:r>
      <w:r w:rsidRPr="00524D9F">
        <w:rPr>
          <w:rFonts w:cstheme="minorHAnsi"/>
          <w:sz w:val="24"/>
          <w:szCs w:val="24"/>
        </w:rPr>
        <w:t> </w:t>
      </w:r>
      <w:r w:rsidRPr="00524D9F">
        <w:rPr>
          <w:rFonts w:cstheme="minorHAnsi"/>
          <w:b/>
          <w:bCs/>
          <w:sz w:val="24"/>
          <w:szCs w:val="24"/>
        </w:rPr>
        <w:t>1998</w:t>
      </w:r>
      <w:r w:rsidRPr="00524D9F">
        <w:rPr>
          <w:rFonts w:cstheme="minorHAnsi"/>
          <w:sz w:val="24"/>
          <w:szCs w:val="24"/>
        </w:rPr>
        <w:t>, </w:t>
      </w:r>
      <w:r w:rsidRPr="00524D9F">
        <w:rPr>
          <w:rFonts w:cstheme="minorHAnsi"/>
          <w:i/>
          <w:iCs/>
          <w:sz w:val="24"/>
          <w:szCs w:val="24"/>
        </w:rPr>
        <w:t>66</w:t>
      </w:r>
      <w:r w:rsidRPr="00524D9F">
        <w:rPr>
          <w:rFonts w:cstheme="minorHAnsi"/>
          <w:sz w:val="24"/>
          <w:szCs w:val="24"/>
        </w:rPr>
        <w:t xml:space="preserve">, 64–74. </w:t>
      </w:r>
    </w:p>
    <w:p w14:paraId="27170F72" w14:textId="74772EA8"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Michael, J. Where’s the evidence that active learning works? </w:t>
      </w:r>
      <w:r w:rsidRPr="00524D9F">
        <w:rPr>
          <w:rFonts w:cstheme="minorHAnsi"/>
          <w:i/>
          <w:iCs/>
          <w:sz w:val="24"/>
          <w:szCs w:val="24"/>
        </w:rPr>
        <w:t>Adv. Physiol. Educ.</w:t>
      </w:r>
      <w:r w:rsidRPr="00524D9F">
        <w:rPr>
          <w:rFonts w:cstheme="minorHAnsi"/>
          <w:sz w:val="24"/>
          <w:szCs w:val="24"/>
        </w:rPr>
        <w:t> </w:t>
      </w:r>
      <w:r w:rsidRPr="00524D9F">
        <w:rPr>
          <w:rFonts w:cstheme="minorHAnsi"/>
          <w:b/>
          <w:bCs/>
          <w:sz w:val="24"/>
          <w:szCs w:val="24"/>
        </w:rPr>
        <w:t>2006</w:t>
      </w:r>
      <w:r w:rsidRPr="00524D9F">
        <w:rPr>
          <w:rFonts w:cstheme="minorHAnsi"/>
          <w:sz w:val="24"/>
          <w:szCs w:val="24"/>
        </w:rPr>
        <w:t>, </w:t>
      </w:r>
      <w:r w:rsidRPr="00524D9F">
        <w:rPr>
          <w:rFonts w:cstheme="minorHAnsi"/>
          <w:i/>
          <w:iCs/>
          <w:sz w:val="24"/>
          <w:szCs w:val="24"/>
        </w:rPr>
        <w:t>30</w:t>
      </w:r>
      <w:r w:rsidRPr="00524D9F">
        <w:rPr>
          <w:rFonts w:cstheme="minorHAnsi"/>
          <w:sz w:val="24"/>
          <w:szCs w:val="24"/>
        </w:rPr>
        <w:t xml:space="preserve">, 159–167. </w:t>
      </w:r>
    </w:p>
    <w:p w14:paraId="3AB83DC3" w14:textId="0AFC305B"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Wenderoth, M.P.; Freeman, S.; O’Connor, E. Prescribed active learning increases performance in introductory biology. </w:t>
      </w:r>
      <w:proofErr w:type="spellStart"/>
      <w:r w:rsidRPr="00524D9F">
        <w:rPr>
          <w:rFonts w:cstheme="minorHAnsi"/>
          <w:i/>
          <w:iCs/>
          <w:sz w:val="24"/>
          <w:szCs w:val="24"/>
        </w:rPr>
        <w:t>Faseb</w:t>
      </w:r>
      <w:proofErr w:type="spellEnd"/>
      <w:r w:rsidRPr="00524D9F">
        <w:rPr>
          <w:rFonts w:cstheme="minorHAnsi"/>
          <w:i/>
          <w:iCs/>
          <w:sz w:val="24"/>
          <w:szCs w:val="24"/>
        </w:rPr>
        <w:t xml:space="preserve"> J.</w:t>
      </w:r>
      <w:r w:rsidRPr="00524D9F">
        <w:rPr>
          <w:rFonts w:cstheme="minorHAnsi"/>
          <w:sz w:val="24"/>
          <w:szCs w:val="24"/>
        </w:rPr>
        <w:t> </w:t>
      </w:r>
      <w:r w:rsidRPr="00524D9F">
        <w:rPr>
          <w:rFonts w:cstheme="minorHAnsi"/>
          <w:b/>
          <w:bCs/>
          <w:sz w:val="24"/>
          <w:szCs w:val="24"/>
        </w:rPr>
        <w:t>2007</w:t>
      </w:r>
      <w:r w:rsidRPr="00524D9F">
        <w:rPr>
          <w:rFonts w:cstheme="minorHAnsi"/>
          <w:sz w:val="24"/>
          <w:szCs w:val="24"/>
        </w:rPr>
        <w:t>, </w:t>
      </w:r>
      <w:r w:rsidRPr="00524D9F">
        <w:rPr>
          <w:rFonts w:cstheme="minorHAnsi"/>
          <w:i/>
          <w:iCs/>
          <w:sz w:val="24"/>
          <w:szCs w:val="24"/>
        </w:rPr>
        <w:t>21</w:t>
      </w:r>
      <w:r w:rsidRPr="00524D9F">
        <w:rPr>
          <w:rFonts w:cstheme="minorHAnsi"/>
          <w:sz w:val="24"/>
          <w:szCs w:val="24"/>
        </w:rPr>
        <w:t xml:space="preserve">, A220. </w:t>
      </w:r>
    </w:p>
    <w:p w14:paraId="49264844" w14:textId="2B6A1CF0"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 xml:space="preserve">Haak, D.C.; </w:t>
      </w:r>
      <w:proofErr w:type="spellStart"/>
      <w:r w:rsidRPr="00524D9F">
        <w:rPr>
          <w:rFonts w:cstheme="minorHAnsi"/>
          <w:sz w:val="24"/>
          <w:szCs w:val="24"/>
        </w:rPr>
        <w:t>HilleRisLambers</w:t>
      </w:r>
      <w:proofErr w:type="spellEnd"/>
      <w:r w:rsidRPr="00524D9F">
        <w:rPr>
          <w:rFonts w:cstheme="minorHAnsi"/>
          <w:sz w:val="24"/>
          <w:szCs w:val="24"/>
        </w:rPr>
        <w:t>, J.; Pitre, E.; Freeman, S. Increased Structure and Active Learning Reduce the Achievement Gap in Introductory Biology. </w:t>
      </w:r>
      <w:r w:rsidRPr="00524D9F">
        <w:rPr>
          <w:rFonts w:cstheme="minorHAnsi"/>
          <w:i/>
          <w:iCs/>
          <w:sz w:val="24"/>
          <w:szCs w:val="24"/>
        </w:rPr>
        <w:t>Science</w:t>
      </w:r>
      <w:r w:rsidRPr="00524D9F">
        <w:rPr>
          <w:rFonts w:cstheme="minorHAnsi"/>
          <w:sz w:val="24"/>
          <w:szCs w:val="24"/>
        </w:rPr>
        <w:t> </w:t>
      </w:r>
      <w:r w:rsidRPr="00524D9F">
        <w:rPr>
          <w:rFonts w:cstheme="minorHAnsi"/>
          <w:b/>
          <w:bCs/>
          <w:sz w:val="24"/>
          <w:szCs w:val="24"/>
        </w:rPr>
        <w:t>2011</w:t>
      </w:r>
      <w:r w:rsidRPr="00524D9F">
        <w:rPr>
          <w:rFonts w:cstheme="minorHAnsi"/>
          <w:sz w:val="24"/>
          <w:szCs w:val="24"/>
        </w:rPr>
        <w:t>, </w:t>
      </w:r>
      <w:r w:rsidRPr="00524D9F">
        <w:rPr>
          <w:rFonts w:cstheme="minorHAnsi"/>
          <w:i/>
          <w:iCs/>
          <w:sz w:val="24"/>
          <w:szCs w:val="24"/>
        </w:rPr>
        <w:t>332</w:t>
      </w:r>
      <w:r w:rsidRPr="00524D9F">
        <w:rPr>
          <w:rFonts w:cstheme="minorHAnsi"/>
          <w:sz w:val="24"/>
          <w:szCs w:val="24"/>
        </w:rPr>
        <w:t xml:space="preserve">, 1213–1216. </w:t>
      </w:r>
    </w:p>
    <w:p w14:paraId="5CAF3E28" w14:textId="2FCA8A4C"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Freeman, S.; Eddy, S.L.; McDonough, M.; Smith, M.K.; Okoroafor, N.; Jordt, H.; Wenderoth, M.P. Active learning increases student performance in science, engineering, and mathematics. </w:t>
      </w:r>
      <w:r w:rsidRPr="00524D9F">
        <w:rPr>
          <w:rFonts w:cstheme="minorHAnsi"/>
          <w:i/>
          <w:iCs/>
          <w:sz w:val="24"/>
          <w:szCs w:val="24"/>
        </w:rPr>
        <w:t>Proc. Natl. Acad. Sci. USA</w:t>
      </w:r>
      <w:r w:rsidRPr="00524D9F">
        <w:rPr>
          <w:rFonts w:cstheme="minorHAnsi"/>
          <w:sz w:val="24"/>
          <w:szCs w:val="24"/>
        </w:rPr>
        <w:t> </w:t>
      </w:r>
      <w:r w:rsidRPr="00524D9F">
        <w:rPr>
          <w:rFonts w:cstheme="minorHAnsi"/>
          <w:b/>
          <w:bCs/>
          <w:sz w:val="24"/>
          <w:szCs w:val="24"/>
        </w:rPr>
        <w:t>2014</w:t>
      </w:r>
      <w:r w:rsidRPr="00524D9F">
        <w:rPr>
          <w:rFonts w:cstheme="minorHAnsi"/>
          <w:sz w:val="24"/>
          <w:szCs w:val="24"/>
        </w:rPr>
        <w:t>, </w:t>
      </w:r>
      <w:r w:rsidRPr="00524D9F">
        <w:rPr>
          <w:rFonts w:cstheme="minorHAnsi"/>
          <w:i/>
          <w:iCs/>
          <w:sz w:val="24"/>
          <w:szCs w:val="24"/>
        </w:rPr>
        <w:t>111</w:t>
      </w:r>
      <w:r w:rsidRPr="00524D9F">
        <w:rPr>
          <w:rFonts w:cstheme="minorHAnsi"/>
          <w:sz w:val="24"/>
          <w:szCs w:val="24"/>
        </w:rPr>
        <w:t xml:space="preserve">, 8410–8415. </w:t>
      </w:r>
    </w:p>
    <w:p w14:paraId="49F05C1F" w14:textId="335F4C2F"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 xml:space="preserve">Deslauriers, L.; </w:t>
      </w:r>
      <w:proofErr w:type="spellStart"/>
      <w:r w:rsidRPr="00524D9F">
        <w:rPr>
          <w:rFonts w:cstheme="minorHAnsi"/>
          <w:sz w:val="24"/>
          <w:szCs w:val="24"/>
        </w:rPr>
        <w:t>Schelew</w:t>
      </w:r>
      <w:proofErr w:type="spellEnd"/>
      <w:r w:rsidRPr="00524D9F">
        <w:rPr>
          <w:rFonts w:cstheme="minorHAnsi"/>
          <w:sz w:val="24"/>
          <w:szCs w:val="24"/>
        </w:rPr>
        <w:t>, E.; Wieman, C. Improved Learning in a Large-Enrollment Physics Class. </w:t>
      </w:r>
      <w:r w:rsidRPr="00524D9F">
        <w:rPr>
          <w:rFonts w:cstheme="minorHAnsi"/>
          <w:i/>
          <w:iCs/>
          <w:sz w:val="24"/>
          <w:szCs w:val="24"/>
        </w:rPr>
        <w:t>Science</w:t>
      </w:r>
      <w:r w:rsidRPr="00524D9F">
        <w:rPr>
          <w:rFonts w:cstheme="minorHAnsi"/>
          <w:sz w:val="24"/>
          <w:szCs w:val="24"/>
        </w:rPr>
        <w:t> </w:t>
      </w:r>
      <w:r w:rsidRPr="00524D9F">
        <w:rPr>
          <w:rFonts w:cstheme="minorHAnsi"/>
          <w:b/>
          <w:bCs/>
          <w:sz w:val="24"/>
          <w:szCs w:val="24"/>
        </w:rPr>
        <w:t>2011</w:t>
      </w:r>
      <w:r w:rsidRPr="00524D9F">
        <w:rPr>
          <w:rFonts w:cstheme="minorHAnsi"/>
          <w:sz w:val="24"/>
          <w:szCs w:val="24"/>
        </w:rPr>
        <w:t>, </w:t>
      </w:r>
      <w:r w:rsidRPr="00524D9F">
        <w:rPr>
          <w:rFonts w:cstheme="minorHAnsi"/>
          <w:i/>
          <w:iCs/>
          <w:sz w:val="24"/>
          <w:szCs w:val="24"/>
        </w:rPr>
        <w:t>332</w:t>
      </w:r>
      <w:r w:rsidRPr="00524D9F">
        <w:rPr>
          <w:rFonts w:cstheme="minorHAnsi"/>
          <w:sz w:val="24"/>
          <w:szCs w:val="24"/>
        </w:rPr>
        <w:t xml:space="preserve">, 862–864. </w:t>
      </w:r>
    </w:p>
    <w:p w14:paraId="250AF811" w14:textId="77199A09"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Bidwell, A. Flipped Classroom May Help Weaker STEM Students U.S. News and World Report [Online]. 2014. Available online: </w:t>
      </w:r>
      <w:r w:rsidRPr="003D5C42">
        <w:rPr>
          <w:rFonts w:cstheme="minorHAnsi"/>
          <w:b/>
          <w:bCs/>
          <w:sz w:val="24"/>
          <w:szCs w:val="24"/>
        </w:rPr>
        <w:t>http://www.usnews.com/news/stem-solutions/articles/2014/08/05/taking-a-page-from-humanities-college-engineering-gets-flipped</w:t>
      </w:r>
      <w:r w:rsidRPr="00524D9F">
        <w:rPr>
          <w:rFonts w:cstheme="minorHAnsi"/>
          <w:sz w:val="24"/>
          <w:szCs w:val="24"/>
        </w:rPr>
        <w:t> (accessed on 5 August 2015).</w:t>
      </w:r>
    </w:p>
    <w:p w14:paraId="30DB5FBF" w14:textId="235037A3"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Long, K. Washington College Instructors Are “Flipping” the Way They Teach the Seattle Times [Online]. 2012. Available online: </w:t>
      </w:r>
      <w:r w:rsidRPr="003D5C42">
        <w:rPr>
          <w:rFonts w:cstheme="minorHAnsi"/>
          <w:b/>
          <w:bCs/>
          <w:sz w:val="24"/>
          <w:szCs w:val="24"/>
        </w:rPr>
        <w:t>http://www.seattletimes.com/seattle-news/washington-college-instructors-are-flipping-the-way-they-teach/</w:t>
      </w:r>
      <w:r w:rsidRPr="00524D9F">
        <w:rPr>
          <w:rFonts w:cstheme="minorHAnsi"/>
          <w:sz w:val="24"/>
          <w:szCs w:val="24"/>
        </w:rPr>
        <w:t> (accessed on 1 August 2015).</w:t>
      </w:r>
    </w:p>
    <w:p w14:paraId="6AF4E55F" w14:textId="54D6655E" w:rsidR="00524D9F" w:rsidRPr="00524D9F" w:rsidRDefault="00524D9F" w:rsidP="00390E39">
      <w:pPr>
        <w:numPr>
          <w:ilvl w:val="0"/>
          <w:numId w:val="15"/>
        </w:numPr>
        <w:spacing w:after="0"/>
        <w:rPr>
          <w:rFonts w:cstheme="minorHAnsi"/>
          <w:sz w:val="24"/>
          <w:szCs w:val="24"/>
        </w:rPr>
      </w:pPr>
      <w:proofErr w:type="spellStart"/>
      <w:r w:rsidRPr="00524D9F">
        <w:rPr>
          <w:rFonts w:cstheme="minorHAnsi"/>
          <w:sz w:val="24"/>
          <w:szCs w:val="24"/>
        </w:rPr>
        <w:t>Fautch</w:t>
      </w:r>
      <w:proofErr w:type="spellEnd"/>
      <w:r w:rsidRPr="00524D9F">
        <w:rPr>
          <w:rFonts w:cstheme="minorHAnsi"/>
          <w:sz w:val="24"/>
          <w:szCs w:val="24"/>
        </w:rPr>
        <w:t>, J.M. The flipped classroom for teaching organic chemistry in small classes: Is it effective? </w:t>
      </w:r>
      <w:r w:rsidRPr="00524D9F">
        <w:rPr>
          <w:rFonts w:cstheme="minorHAnsi"/>
          <w:i/>
          <w:iCs/>
          <w:sz w:val="24"/>
          <w:szCs w:val="24"/>
        </w:rPr>
        <w:t xml:space="preserve">Chem. Educ. Res. </w:t>
      </w:r>
      <w:proofErr w:type="spellStart"/>
      <w:r w:rsidRPr="00524D9F">
        <w:rPr>
          <w:rFonts w:cstheme="minorHAnsi"/>
          <w:i/>
          <w:iCs/>
          <w:sz w:val="24"/>
          <w:szCs w:val="24"/>
        </w:rPr>
        <w:t>Pract</w:t>
      </w:r>
      <w:proofErr w:type="spellEnd"/>
      <w:r w:rsidRPr="00524D9F">
        <w:rPr>
          <w:rFonts w:cstheme="minorHAnsi"/>
          <w:i/>
          <w:iCs/>
          <w:sz w:val="24"/>
          <w:szCs w:val="24"/>
        </w:rPr>
        <w:t>.</w:t>
      </w:r>
      <w:r w:rsidRPr="00524D9F">
        <w:rPr>
          <w:rFonts w:cstheme="minorHAnsi"/>
          <w:sz w:val="24"/>
          <w:szCs w:val="24"/>
        </w:rPr>
        <w:t> </w:t>
      </w:r>
      <w:r w:rsidRPr="00524D9F">
        <w:rPr>
          <w:rFonts w:cstheme="minorHAnsi"/>
          <w:b/>
          <w:bCs/>
          <w:sz w:val="24"/>
          <w:szCs w:val="24"/>
        </w:rPr>
        <w:t>2015</w:t>
      </w:r>
      <w:r w:rsidRPr="00524D9F">
        <w:rPr>
          <w:rFonts w:cstheme="minorHAnsi"/>
          <w:sz w:val="24"/>
          <w:szCs w:val="24"/>
        </w:rPr>
        <w:t>, </w:t>
      </w:r>
      <w:r w:rsidRPr="00524D9F">
        <w:rPr>
          <w:rFonts w:cstheme="minorHAnsi"/>
          <w:i/>
          <w:iCs/>
          <w:sz w:val="24"/>
          <w:szCs w:val="24"/>
        </w:rPr>
        <w:t>16</w:t>
      </w:r>
      <w:r w:rsidRPr="00524D9F">
        <w:rPr>
          <w:rFonts w:cstheme="minorHAnsi"/>
          <w:sz w:val="24"/>
          <w:szCs w:val="24"/>
        </w:rPr>
        <w:t xml:space="preserve">, 179–186. </w:t>
      </w:r>
    </w:p>
    <w:p w14:paraId="50105630" w14:textId="48743C57"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Armbruster, P.; Patel, M.; Johnson, E.; Weiss, M. Active Learning and Student-centered Pedagogy Improve Student Attitudes and Performance in Introductory Biology. </w:t>
      </w:r>
      <w:r w:rsidRPr="00524D9F">
        <w:rPr>
          <w:rFonts w:cstheme="minorHAnsi"/>
          <w:i/>
          <w:iCs/>
          <w:sz w:val="24"/>
          <w:szCs w:val="24"/>
        </w:rPr>
        <w:t>CBE-Life Sci. Educ.</w:t>
      </w:r>
      <w:r w:rsidRPr="00524D9F">
        <w:rPr>
          <w:rFonts w:cstheme="minorHAnsi"/>
          <w:sz w:val="24"/>
          <w:szCs w:val="24"/>
        </w:rPr>
        <w:t> </w:t>
      </w:r>
      <w:r w:rsidRPr="00524D9F">
        <w:rPr>
          <w:rFonts w:cstheme="minorHAnsi"/>
          <w:b/>
          <w:bCs/>
          <w:sz w:val="24"/>
          <w:szCs w:val="24"/>
        </w:rPr>
        <w:t>2009</w:t>
      </w:r>
      <w:r w:rsidRPr="00524D9F">
        <w:rPr>
          <w:rFonts w:cstheme="minorHAnsi"/>
          <w:sz w:val="24"/>
          <w:szCs w:val="24"/>
        </w:rPr>
        <w:t>, </w:t>
      </w:r>
      <w:r w:rsidRPr="00524D9F">
        <w:rPr>
          <w:rFonts w:cstheme="minorHAnsi"/>
          <w:i/>
          <w:iCs/>
          <w:sz w:val="24"/>
          <w:szCs w:val="24"/>
        </w:rPr>
        <w:t>8</w:t>
      </w:r>
      <w:r w:rsidRPr="00524D9F">
        <w:rPr>
          <w:rFonts w:cstheme="minorHAnsi"/>
          <w:sz w:val="24"/>
          <w:szCs w:val="24"/>
        </w:rPr>
        <w:t xml:space="preserve">, 203–213. </w:t>
      </w:r>
    </w:p>
    <w:p w14:paraId="1DC73FD7" w14:textId="52E2D47A"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Freeman, S.; O’Connor, E.; Parks, J.W.; Cunningham, M.; Hurley, D.; Haak, D.; Dirks, C.; Wenderoth, M.P. Prescribed Active Learning Increases Performance in Introductory Biology. </w:t>
      </w:r>
      <w:r w:rsidRPr="00524D9F">
        <w:rPr>
          <w:rFonts w:cstheme="minorHAnsi"/>
          <w:i/>
          <w:iCs/>
          <w:sz w:val="24"/>
          <w:szCs w:val="24"/>
        </w:rPr>
        <w:t>CBE-Life Sci. Educ.</w:t>
      </w:r>
      <w:r w:rsidRPr="00524D9F">
        <w:rPr>
          <w:rFonts w:cstheme="minorHAnsi"/>
          <w:sz w:val="24"/>
          <w:szCs w:val="24"/>
        </w:rPr>
        <w:t> </w:t>
      </w:r>
      <w:r w:rsidRPr="00524D9F">
        <w:rPr>
          <w:rFonts w:cstheme="minorHAnsi"/>
          <w:b/>
          <w:bCs/>
          <w:sz w:val="24"/>
          <w:szCs w:val="24"/>
        </w:rPr>
        <w:t>2007</w:t>
      </w:r>
      <w:r w:rsidRPr="00524D9F">
        <w:rPr>
          <w:rFonts w:cstheme="minorHAnsi"/>
          <w:sz w:val="24"/>
          <w:szCs w:val="24"/>
        </w:rPr>
        <w:t>, </w:t>
      </w:r>
      <w:r w:rsidRPr="00524D9F">
        <w:rPr>
          <w:rFonts w:cstheme="minorHAnsi"/>
          <w:i/>
          <w:iCs/>
          <w:sz w:val="24"/>
          <w:szCs w:val="24"/>
        </w:rPr>
        <w:t>6</w:t>
      </w:r>
      <w:r w:rsidRPr="00524D9F">
        <w:rPr>
          <w:rFonts w:cstheme="minorHAnsi"/>
          <w:sz w:val="24"/>
          <w:szCs w:val="24"/>
        </w:rPr>
        <w:t xml:space="preserve">, 132–139. </w:t>
      </w:r>
    </w:p>
    <w:p w14:paraId="7FE8CAC2" w14:textId="65A2AA06"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Freeman, S.; Haak, D.; Wenderoth, M.P. Increased Course Structure Improves Performance in Introductory Biology. </w:t>
      </w:r>
      <w:r w:rsidRPr="00524D9F">
        <w:rPr>
          <w:rFonts w:cstheme="minorHAnsi"/>
          <w:i/>
          <w:iCs/>
          <w:sz w:val="24"/>
          <w:szCs w:val="24"/>
        </w:rPr>
        <w:t>CBE-Life Sci. Educ.</w:t>
      </w:r>
      <w:r w:rsidRPr="00524D9F">
        <w:rPr>
          <w:rFonts w:cstheme="minorHAnsi"/>
          <w:sz w:val="24"/>
          <w:szCs w:val="24"/>
        </w:rPr>
        <w:t> </w:t>
      </w:r>
      <w:r w:rsidRPr="00524D9F">
        <w:rPr>
          <w:rFonts w:cstheme="minorHAnsi"/>
          <w:b/>
          <w:bCs/>
          <w:sz w:val="24"/>
          <w:szCs w:val="24"/>
        </w:rPr>
        <w:t>2011</w:t>
      </w:r>
      <w:r w:rsidRPr="00524D9F">
        <w:rPr>
          <w:rFonts w:cstheme="minorHAnsi"/>
          <w:sz w:val="24"/>
          <w:szCs w:val="24"/>
        </w:rPr>
        <w:t>, </w:t>
      </w:r>
      <w:r w:rsidRPr="00524D9F">
        <w:rPr>
          <w:rFonts w:cstheme="minorHAnsi"/>
          <w:i/>
          <w:iCs/>
          <w:sz w:val="24"/>
          <w:szCs w:val="24"/>
        </w:rPr>
        <w:t>10</w:t>
      </w:r>
      <w:r w:rsidRPr="00524D9F">
        <w:rPr>
          <w:rFonts w:cstheme="minorHAnsi"/>
          <w:sz w:val="24"/>
          <w:szCs w:val="24"/>
        </w:rPr>
        <w:t xml:space="preserve">, 175–186. </w:t>
      </w:r>
    </w:p>
    <w:p w14:paraId="20B76266" w14:textId="4EC608D1"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Dweck, C.S. Motivational Processes Affecting Learning. </w:t>
      </w:r>
      <w:r w:rsidRPr="00524D9F">
        <w:rPr>
          <w:rFonts w:cstheme="minorHAnsi"/>
          <w:i/>
          <w:iCs/>
          <w:sz w:val="24"/>
          <w:szCs w:val="24"/>
        </w:rPr>
        <w:t>Am. Psychol.</w:t>
      </w:r>
      <w:r w:rsidRPr="00524D9F">
        <w:rPr>
          <w:rFonts w:cstheme="minorHAnsi"/>
          <w:sz w:val="24"/>
          <w:szCs w:val="24"/>
        </w:rPr>
        <w:t> </w:t>
      </w:r>
      <w:r w:rsidRPr="00524D9F">
        <w:rPr>
          <w:rFonts w:cstheme="minorHAnsi"/>
          <w:b/>
          <w:bCs/>
          <w:sz w:val="24"/>
          <w:szCs w:val="24"/>
        </w:rPr>
        <w:t>1986</w:t>
      </w:r>
      <w:r w:rsidRPr="00524D9F">
        <w:rPr>
          <w:rFonts w:cstheme="minorHAnsi"/>
          <w:sz w:val="24"/>
          <w:szCs w:val="24"/>
        </w:rPr>
        <w:t>, </w:t>
      </w:r>
      <w:r w:rsidRPr="00524D9F">
        <w:rPr>
          <w:rFonts w:cstheme="minorHAnsi"/>
          <w:i/>
          <w:iCs/>
          <w:sz w:val="24"/>
          <w:szCs w:val="24"/>
        </w:rPr>
        <w:t>41</w:t>
      </w:r>
      <w:r w:rsidRPr="00524D9F">
        <w:rPr>
          <w:rFonts w:cstheme="minorHAnsi"/>
          <w:sz w:val="24"/>
          <w:szCs w:val="24"/>
        </w:rPr>
        <w:t xml:space="preserve">, 1040–1048. </w:t>
      </w:r>
    </w:p>
    <w:p w14:paraId="3646A884" w14:textId="762C7059"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Benenson, J.F.; Dweck, C.S. The Development of Trait Explanations and Self-Evaluations in the Academic and Social Domains. </w:t>
      </w:r>
      <w:r w:rsidRPr="00524D9F">
        <w:rPr>
          <w:rFonts w:cstheme="minorHAnsi"/>
          <w:i/>
          <w:iCs/>
          <w:sz w:val="24"/>
          <w:szCs w:val="24"/>
        </w:rPr>
        <w:t>Child. Dev.</w:t>
      </w:r>
      <w:r w:rsidRPr="00524D9F">
        <w:rPr>
          <w:rFonts w:cstheme="minorHAnsi"/>
          <w:sz w:val="24"/>
          <w:szCs w:val="24"/>
        </w:rPr>
        <w:t> </w:t>
      </w:r>
      <w:r w:rsidRPr="00524D9F">
        <w:rPr>
          <w:rFonts w:cstheme="minorHAnsi"/>
          <w:b/>
          <w:bCs/>
          <w:sz w:val="24"/>
          <w:szCs w:val="24"/>
        </w:rPr>
        <w:t>1986</w:t>
      </w:r>
      <w:r w:rsidRPr="00524D9F">
        <w:rPr>
          <w:rFonts w:cstheme="minorHAnsi"/>
          <w:sz w:val="24"/>
          <w:szCs w:val="24"/>
        </w:rPr>
        <w:t>, </w:t>
      </w:r>
      <w:r w:rsidRPr="00524D9F">
        <w:rPr>
          <w:rFonts w:cstheme="minorHAnsi"/>
          <w:i/>
          <w:iCs/>
          <w:sz w:val="24"/>
          <w:szCs w:val="24"/>
        </w:rPr>
        <w:t>57</w:t>
      </w:r>
      <w:r w:rsidRPr="00524D9F">
        <w:rPr>
          <w:rFonts w:cstheme="minorHAnsi"/>
          <w:sz w:val="24"/>
          <w:szCs w:val="24"/>
        </w:rPr>
        <w:t xml:space="preserve">, 1179–1187. </w:t>
      </w:r>
    </w:p>
    <w:p w14:paraId="4FBB920A" w14:textId="10BEF9C3"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Elliott, E.S.; Dweck, C.S. Goals—An Approach to Motivation and Achievement. </w:t>
      </w:r>
      <w:r w:rsidRPr="00524D9F">
        <w:rPr>
          <w:rFonts w:cstheme="minorHAnsi"/>
          <w:i/>
          <w:iCs/>
          <w:sz w:val="24"/>
          <w:szCs w:val="24"/>
        </w:rPr>
        <w:t>J. Pers. Soc. Psychol.</w:t>
      </w:r>
      <w:r w:rsidRPr="00524D9F">
        <w:rPr>
          <w:rFonts w:cstheme="minorHAnsi"/>
          <w:sz w:val="24"/>
          <w:szCs w:val="24"/>
        </w:rPr>
        <w:t> </w:t>
      </w:r>
      <w:r w:rsidRPr="00524D9F">
        <w:rPr>
          <w:rFonts w:cstheme="minorHAnsi"/>
          <w:b/>
          <w:bCs/>
          <w:sz w:val="24"/>
          <w:szCs w:val="24"/>
        </w:rPr>
        <w:t>1988</w:t>
      </w:r>
      <w:r w:rsidRPr="00524D9F">
        <w:rPr>
          <w:rFonts w:cstheme="minorHAnsi"/>
          <w:sz w:val="24"/>
          <w:szCs w:val="24"/>
        </w:rPr>
        <w:t>, </w:t>
      </w:r>
      <w:r w:rsidRPr="00524D9F">
        <w:rPr>
          <w:rFonts w:cstheme="minorHAnsi"/>
          <w:i/>
          <w:iCs/>
          <w:sz w:val="24"/>
          <w:szCs w:val="24"/>
        </w:rPr>
        <w:t>54</w:t>
      </w:r>
      <w:r w:rsidRPr="00524D9F">
        <w:rPr>
          <w:rFonts w:cstheme="minorHAnsi"/>
          <w:sz w:val="24"/>
          <w:szCs w:val="24"/>
        </w:rPr>
        <w:t xml:space="preserve">, 5–12. </w:t>
      </w:r>
    </w:p>
    <w:p w14:paraId="69DE6B69" w14:textId="1AE4FAB1"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Dweck, C.S. Self-Theories and Goals—Their Role in Motivation, Personality, and Development. </w:t>
      </w:r>
      <w:r w:rsidRPr="00524D9F">
        <w:rPr>
          <w:rFonts w:cstheme="minorHAnsi"/>
          <w:i/>
          <w:iCs/>
          <w:sz w:val="24"/>
          <w:szCs w:val="24"/>
        </w:rPr>
        <w:t xml:space="preserve">Neb. Symp. </w:t>
      </w:r>
      <w:proofErr w:type="spellStart"/>
      <w:r w:rsidRPr="00524D9F">
        <w:rPr>
          <w:rFonts w:cstheme="minorHAnsi"/>
          <w:i/>
          <w:iCs/>
          <w:sz w:val="24"/>
          <w:szCs w:val="24"/>
        </w:rPr>
        <w:t>Motiv</w:t>
      </w:r>
      <w:proofErr w:type="spellEnd"/>
      <w:r w:rsidRPr="00524D9F">
        <w:rPr>
          <w:rFonts w:cstheme="minorHAnsi"/>
          <w:i/>
          <w:iCs/>
          <w:sz w:val="24"/>
          <w:szCs w:val="24"/>
        </w:rPr>
        <w:t>.</w:t>
      </w:r>
      <w:r w:rsidRPr="00524D9F">
        <w:rPr>
          <w:rFonts w:cstheme="minorHAnsi"/>
          <w:sz w:val="24"/>
          <w:szCs w:val="24"/>
        </w:rPr>
        <w:t> </w:t>
      </w:r>
      <w:r w:rsidRPr="00524D9F">
        <w:rPr>
          <w:rFonts w:cstheme="minorHAnsi"/>
          <w:b/>
          <w:bCs/>
          <w:sz w:val="24"/>
          <w:szCs w:val="24"/>
        </w:rPr>
        <w:t>1991</w:t>
      </w:r>
      <w:r w:rsidRPr="00524D9F">
        <w:rPr>
          <w:rFonts w:cstheme="minorHAnsi"/>
          <w:sz w:val="24"/>
          <w:szCs w:val="24"/>
        </w:rPr>
        <w:t>, </w:t>
      </w:r>
      <w:r w:rsidRPr="00524D9F">
        <w:rPr>
          <w:rFonts w:cstheme="minorHAnsi"/>
          <w:i/>
          <w:iCs/>
          <w:sz w:val="24"/>
          <w:szCs w:val="24"/>
        </w:rPr>
        <w:t>38</w:t>
      </w:r>
      <w:r w:rsidRPr="00524D9F">
        <w:rPr>
          <w:rFonts w:cstheme="minorHAnsi"/>
          <w:sz w:val="24"/>
          <w:szCs w:val="24"/>
        </w:rPr>
        <w:t xml:space="preserve">, 199–235. </w:t>
      </w:r>
    </w:p>
    <w:p w14:paraId="14CB9CEC" w14:textId="61BB8C89"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 xml:space="preserve">Claro, S.; </w:t>
      </w:r>
      <w:proofErr w:type="spellStart"/>
      <w:r w:rsidRPr="00524D9F">
        <w:rPr>
          <w:rFonts w:cstheme="minorHAnsi"/>
          <w:sz w:val="24"/>
          <w:szCs w:val="24"/>
        </w:rPr>
        <w:t>Paunesku</w:t>
      </w:r>
      <w:proofErr w:type="spellEnd"/>
      <w:r w:rsidRPr="00524D9F">
        <w:rPr>
          <w:rFonts w:cstheme="minorHAnsi"/>
          <w:sz w:val="24"/>
          <w:szCs w:val="24"/>
        </w:rPr>
        <w:t>, D.; Dweck, C.S. Growth mindset tempers the effects of poverty on academic achievement. </w:t>
      </w:r>
      <w:r w:rsidRPr="00524D9F">
        <w:rPr>
          <w:rFonts w:cstheme="minorHAnsi"/>
          <w:i/>
          <w:iCs/>
          <w:sz w:val="24"/>
          <w:szCs w:val="24"/>
        </w:rPr>
        <w:t>Proc. Natl. Acad. Sci. USA</w:t>
      </w:r>
      <w:r w:rsidRPr="00524D9F">
        <w:rPr>
          <w:rFonts w:cstheme="minorHAnsi"/>
          <w:sz w:val="24"/>
          <w:szCs w:val="24"/>
        </w:rPr>
        <w:t> </w:t>
      </w:r>
      <w:r w:rsidRPr="00524D9F">
        <w:rPr>
          <w:rFonts w:cstheme="minorHAnsi"/>
          <w:b/>
          <w:bCs/>
          <w:sz w:val="24"/>
          <w:szCs w:val="24"/>
        </w:rPr>
        <w:t>2016</w:t>
      </w:r>
      <w:r w:rsidRPr="00524D9F">
        <w:rPr>
          <w:rFonts w:cstheme="minorHAnsi"/>
          <w:sz w:val="24"/>
          <w:szCs w:val="24"/>
        </w:rPr>
        <w:t>, </w:t>
      </w:r>
      <w:r w:rsidRPr="00524D9F">
        <w:rPr>
          <w:rFonts w:cstheme="minorHAnsi"/>
          <w:i/>
          <w:iCs/>
          <w:sz w:val="24"/>
          <w:szCs w:val="24"/>
        </w:rPr>
        <w:t>113</w:t>
      </w:r>
      <w:r w:rsidRPr="00524D9F">
        <w:rPr>
          <w:rFonts w:cstheme="minorHAnsi"/>
          <w:sz w:val="24"/>
          <w:szCs w:val="24"/>
        </w:rPr>
        <w:t xml:space="preserve">, 8664–8668. </w:t>
      </w:r>
    </w:p>
    <w:p w14:paraId="624FD449" w14:textId="2C53D070"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lastRenderedPageBreak/>
        <w:t>Dweck, C.S.; Leggett, E.L. A Social Cognitive Approach to Motivation and Personality. </w:t>
      </w:r>
      <w:r w:rsidRPr="00524D9F">
        <w:rPr>
          <w:rFonts w:cstheme="minorHAnsi"/>
          <w:i/>
          <w:iCs/>
          <w:sz w:val="24"/>
          <w:szCs w:val="24"/>
        </w:rPr>
        <w:t>Psychol. Rev.</w:t>
      </w:r>
      <w:r w:rsidRPr="00524D9F">
        <w:rPr>
          <w:rFonts w:cstheme="minorHAnsi"/>
          <w:sz w:val="24"/>
          <w:szCs w:val="24"/>
        </w:rPr>
        <w:t> </w:t>
      </w:r>
      <w:r w:rsidRPr="00524D9F">
        <w:rPr>
          <w:rFonts w:cstheme="minorHAnsi"/>
          <w:b/>
          <w:bCs/>
          <w:sz w:val="24"/>
          <w:szCs w:val="24"/>
        </w:rPr>
        <w:t>1988</w:t>
      </w:r>
      <w:r w:rsidRPr="00524D9F">
        <w:rPr>
          <w:rFonts w:cstheme="minorHAnsi"/>
          <w:sz w:val="24"/>
          <w:szCs w:val="24"/>
        </w:rPr>
        <w:t>, </w:t>
      </w:r>
      <w:r w:rsidRPr="00524D9F">
        <w:rPr>
          <w:rFonts w:cstheme="minorHAnsi"/>
          <w:i/>
          <w:iCs/>
          <w:sz w:val="24"/>
          <w:szCs w:val="24"/>
        </w:rPr>
        <w:t>95</w:t>
      </w:r>
      <w:r w:rsidRPr="00524D9F">
        <w:rPr>
          <w:rFonts w:cstheme="minorHAnsi"/>
          <w:sz w:val="24"/>
          <w:szCs w:val="24"/>
        </w:rPr>
        <w:t xml:space="preserve">, 256–273. </w:t>
      </w:r>
    </w:p>
    <w:p w14:paraId="2B8FEA75" w14:textId="44DAC752"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Fink, A.; Cahill, M.J.; McDaniel, M.A.; Hoffman, A.; Frey, R.F. Improving general chemistry performance through a growth mindset intervention: Selective effects on underrepresented minorities. </w:t>
      </w:r>
      <w:r w:rsidRPr="00524D9F">
        <w:rPr>
          <w:rFonts w:cstheme="minorHAnsi"/>
          <w:i/>
          <w:iCs/>
          <w:sz w:val="24"/>
          <w:szCs w:val="24"/>
        </w:rPr>
        <w:t xml:space="preserve">Chem. Educ. Res. </w:t>
      </w:r>
      <w:proofErr w:type="spellStart"/>
      <w:r w:rsidRPr="00524D9F">
        <w:rPr>
          <w:rFonts w:cstheme="minorHAnsi"/>
          <w:i/>
          <w:iCs/>
          <w:sz w:val="24"/>
          <w:szCs w:val="24"/>
        </w:rPr>
        <w:t>Pract</w:t>
      </w:r>
      <w:proofErr w:type="spellEnd"/>
      <w:r w:rsidRPr="00524D9F">
        <w:rPr>
          <w:rFonts w:cstheme="minorHAnsi"/>
          <w:i/>
          <w:iCs/>
          <w:sz w:val="24"/>
          <w:szCs w:val="24"/>
        </w:rPr>
        <w:t>.</w:t>
      </w:r>
      <w:r w:rsidRPr="00524D9F">
        <w:rPr>
          <w:rFonts w:cstheme="minorHAnsi"/>
          <w:sz w:val="24"/>
          <w:szCs w:val="24"/>
        </w:rPr>
        <w:t> </w:t>
      </w:r>
      <w:r w:rsidRPr="00524D9F">
        <w:rPr>
          <w:rFonts w:cstheme="minorHAnsi"/>
          <w:b/>
          <w:bCs/>
          <w:sz w:val="24"/>
          <w:szCs w:val="24"/>
        </w:rPr>
        <w:t>2018</w:t>
      </w:r>
      <w:r w:rsidRPr="00524D9F">
        <w:rPr>
          <w:rFonts w:cstheme="minorHAnsi"/>
          <w:sz w:val="24"/>
          <w:szCs w:val="24"/>
        </w:rPr>
        <w:t>, </w:t>
      </w:r>
      <w:r w:rsidRPr="00524D9F">
        <w:rPr>
          <w:rFonts w:cstheme="minorHAnsi"/>
          <w:i/>
          <w:iCs/>
          <w:sz w:val="24"/>
          <w:szCs w:val="24"/>
        </w:rPr>
        <w:t>19</w:t>
      </w:r>
      <w:r w:rsidRPr="00524D9F">
        <w:rPr>
          <w:rFonts w:cstheme="minorHAnsi"/>
          <w:sz w:val="24"/>
          <w:szCs w:val="24"/>
        </w:rPr>
        <w:t xml:space="preserve">, 783–806. </w:t>
      </w:r>
    </w:p>
    <w:p w14:paraId="4B226099" w14:textId="2E6B8C0F"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Wang, Y.; Rocabado, G.A.; Lewis, J.E.; Lewis, S.E. Prompts to Promote Success: Evaluating Utility Value and Growth Mindset Interventions on General Chemistry Students’ Attitude and Academic Performance. </w:t>
      </w:r>
      <w:r w:rsidRPr="00524D9F">
        <w:rPr>
          <w:rFonts w:cstheme="minorHAnsi"/>
          <w:i/>
          <w:iCs/>
          <w:sz w:val="24"/>
          <w:szCs w:val="24"/>
        </w:rPr>
        <w:t>J. Chem. Educ.</w:t>
      </w:r>
      <w:r w:rsidRPr="00524D9F">
        <w:rPr>
          <w:rFonts w:cstheme="minorHAnsi"/>
          <w:sz w:val="24"/>
          <w:szCs w:val="24"/>
        </w:rPr>
        <w:t> </w:t>
      </w:r>
      <w:r w:rsidRPr="00524D9F">
        <w:rPr>
          <w:rFonts w:cstheme="minorHAnsi"/>
          <w:b/>
          <w:bCs/>
          <w:sz w:val="24"/>
          <w:szCs w:val="24"/>
        </w:rPr>
        <w:t>2021</w:t>
      </w:r>
      <w:r w:rsidRPr="00524D9F">
        <w:rPr>
          <w:rFonts w:cstheme="minorHAnsi"/>
          <w:sz w:val="24"/>
          <w:szCs w:val="24"/>
        </w:rPr>
        <w:t>, </w:t>
      </w:r>
      <w:r w:rsidRPr="00524D9F">
        <w:rPr>
          <w:rFonts w:cstheme="minorHAnsi"/>
          <w:i/>
          <w:iCs/>
          <w:sz w:val="24"/>
          <w:szCs w:val="24"/>
        </w:rPr>
        <w:t>98</w:t>
      </w:r>
      <w:r w:rsidRPr="00524D9F">
        <w:rPr>
          <w:rFonts w:cstheme="minorHAnsi"/>
          <w:sz w:val="24"/>
          <w:szCs w:val="24"/>
        </w:rPr>
        <w:t xml:space="preserve">, 1476–1488. </w:t>
      </w:r>
    </w:p>
    <w:p w14:paraId="00E09C1C" w14:textId="2BFC6C99"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 xml:space="preserve">Yeager, D.S.; Hanselman, P.; Walton, G.M.; Murray, J.S.; Crosnoe, R.; Muller, C.; Tipton, E.; Schneider, B.; </w:t>
      </w:r>
      <w:proofErr w:type="spellStart"/>
      <w:r w:rsidRPr="00524D9F">
        <w:rPr>
          <w:rFonts w:cstheme="minorHAnsi"/>
          <w:sz w:val="24"/>
          <w:szCs w:val="24"/>
        </w:rPr>
        <w:t>Hulleman</w:t>
      </w:r>
      <w:proofErr w:type="spellEnd"/>
      <w:r w:rsidRPr="00524D9F">
        <w:rPr>
          <w:rFonts w:cstheme="minorHAnsi"/>
          <w:sz w:val="24"/>
          <w:szCs w:val="24"/>
        </w:rPr>
        <w:t>, C.S.; Hinojosa, C.P.; et al. A national experiment reveals where a growth mindset improves achievement. </w:t>
      </w:r>
      <w:r w:rsidRPr="00524D9F">
        <w:rPr>
          <w:rFonts w:cstheme="minorHAnsi"/>
          <w:i/>
          <w:iCs/>
          <w:sz w:val="24"/>
          <w:szCs w:val="24"/>
        </w:rPr>
        <w:t>Nature</w:t>
      </w:r>
      <w:r w:rsidRPr="00524D9F">
        <w:rPr>
          <w:rFonts w:cstheme="minorHAnsi"/>
          <w:sz w:val="24"/>
          <w:szCs w:val="24"/>
        </w:rPr>
        <w:t> </w:t>
      </w:r>
      <w:r w:rsidRPr="00524D9F">
        <w:rPr>
          <w:rFonts w:cstheme="minorHAnsi"/>
          <w:b/>
          <w:bCs/>
          <w:sz w:val="24"/>
          <w:szCs w:val="24"/>
        </w:rPr>
        <w:t>2019</w:t>
      </w:r>
      <w:r w:rsidRPr="00524D9F">
        <w:rPr>
          <w:rFonts w:cstheme="minorHAnsi"/>
          <w:sz w:val="24"/>
          <w:szCs w:val="24"/>
        </w:rPr>
        <w:t>, </w:t>
      </w:r>
      <w:r w:rsidRPr="00524D9F">
        <w:rPr>
          <w:rFonts w:cstheme="minorHAnsi"/>
          <w:i/>
          <w:iCs/>
          <w:sz w:val="24"/>
          <w:szCs w:val="24"/>
        </w:rPr>
        <w:t>573</w:t>
      </w:r>
      <w:r w:rsidRPr="00524D9F">
        <w:rPr>
          <w:rFonts w:cstheme="minorHAnsi"/>
          <w:sz w:val="24"/>
          <w:szCs w:val="24"/>
        </w:rPr>
        <w:t xml:space="preserve">, 364–369. </w:t>
      </w:r>
    </w:p>
    <w:p w14:paraId="43D19F6F" w14:textId="0D9B6490"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Burnette, J.L.; Hoyt, C.L.; Russell, V.M.; Lawson, B.; Dweck, C.S.; Finkel, E. A Growth Mind-Set Intervention Improves Interest but Not Academic Performance in the Field of Computer Science. </w:t>
      </w:r>
      <w:r w:rsidRPr="00524D9F">
        <w:rPr>
          <w:rFonts w:cstheme="minorHAnsi"/>
          <w:i/>
          <w:iCs/>
          <w:sz w:val="24"/>
          <w:szCs w:val="24"/>
        </w:rPr>
        <w:t>Soc. Psychol. Pers. Sci.</w:t>
      </w:r>
      <w:r w:rsidRPr="00524D9F">
        <w:rPr>
          <w:rFonts w:cstheme="minorHAnsi"/>
          <w:sz w:val="24"/>
          <w:szCs w:val="24"/>
        </w:rPr>
        <w:t> </w:t>
      </w:r>
      <w:r w:rsidRPr="00524D9F">
        <w:rPr>
          <w:rFonts w:cstheme="minorHAnsi"/>
          <w:b/>
          <w:bCs/>
          <w:sz w:val="24"/>
          <w:szCs w:val="24"/>
        </w:rPr>
        <w:t>2020</w:t>
      </w:r>
      <w:r w:rsidRPr="00524D9F">
        <w:rPr>
          <w:rFonts w:cstheme="minorHAnsi"/>
          <w:sz w:val="24"/>
          <w:szCs w:val="24"/>
        </w:rPr>
        <w:t>, </w:t>
      </w:r>
      <w:r w:rsidRPr="00524D9F">
        <w:rPr>
          <w:rFonts w:cstheme="minorHAnsi"/>
          <w:i/>
          <w:iCs/>
          <w:sz w:val="24"/>
          <w:szCs w:val="24"/>
        </w:rPr>
        <w:t>11</w:t>
      </w:r>
      <w:r w:rsidRPr="00524D9F">
        <w:rPr>
          <w:rFonts w:cstheme="minorHAnsi"/>
          <w:sz w:val="24"/>
          <w:szCs w:val="24"/>
        </w:rPr>
        <w:t xml:space="preserve">, 107–116. </w:t>
      </w:r>
    </w:p>
    <w:p w14:paraId="5BDE472E" w14:textId="541E061A"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Li, Y.; Bates, T.C. You Can’t Change Your Basic Ability, but You Work at Things, and That’ s How We Get Hard Things Done: Testing the Role of Growth Mindset on Response to Setbacks, Educational Attainment, and Cognitive Ability. </w:t>
      </w:r>
      <w:r w:rsidRPr="00524D9F">
        <w:rPr>
          <w:rFonts w:cstheme="minorHAnsi"/>
          <w:i/>
          <w:iCs/>
          <w:sz w:val="24"/>
          <w:szCs w:val="24"/>
        </w:rPr>
        <w:t>J. Exp. Psychol. Gen.</w:t>
      </w:r>
      <w:r w:rsidRPr="00524D9F">
        <w:rPr>
          <w:rFonts w:cstheme="minorHAnsi"/>
          <w:sz w:val="24"/>
          <w:szCs w:val="24"/>
        </w:rPr>
        <w:t> </w:t>
      </w:r>
      <w:r w:rsidRPr="00524D9F">
        <w:rPr>
          <w:rFonts w:cstheme="minorHAnsi"/>
          <w:b/>
          <w:bCs/>
          <w:sz w:val="24"/>
          <w:szCs w:val="24"/>
        </w:rPr>
        <w:t>2019</w:t>
      </w:r>
      <w:r w:rsidRPr="00524D9F">
        <w:rPr>
          <w:rFonts w:cstheme="minorHAnsi"/>
          <w:sz w:val="24"/>
          <w:szCs w:val="24"/>
        </w:rPr>
        <w:t>, </w:t>
      </w:r>
      <w:r w:rsidRPr="00524D9F">
        <w:rPr>
          <w:rFonts w:cstheme="minorHAnsi"/>
          <w:i/>
          <w:iCs/>
          <w:sz w:val="24"/>
          <w:szCs w:val="24"/>
        </w:rPr>
        <w:t>148</w:t>
      </w:r>
      <w:r w:rsidRPr="00524D9F">
        <w:rPr>
          <w:rFonts w:cstheme="minorHAnsi"/>
          <w:sz w:val="24"/>
          <w:szCs w:val="24"/>
        </w:rPr>
        <w:t xml:space="preserve">, 1640–1655. </w:t>
      </w:r>
    </w:p>
    <w:p w14:paraId="795D9D8D" w14:textId="5599C64E"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 xml:space="preserve">Yeager, D.S.; Dweck, C.S. What Can Be Learned </w:t>
      </w:r>
      <w:proofErr w:type="gramStart"/>
      <w:r w:rsidRPr="00524D9F">
        <w:rPr>
          <w:rFonts w:cstheme="minorHAnsi"/>
          <w:sz w:val="24"/>
          <w:szCs w:val="24"/>
        </w:rPr>
        <w:t>From</w:t>
      </w:r>
      <w:proofErr w:type="gramEnd"/>
      <w:r w:rsidRPr="00524D9F">
        <w:rPr>
          <w:rFonts w:cstheme="minorHAnsi"/>
          <w:sz w:val="24"/>
          <w:szCs w:val="24"/>
        </w:rPr>
        <w:t xml:space="preserve"> Growth Mindset Controversies? </w:t>
      </w:r>
      <w:r w:rsidRPr="00524D9F">
        <w:rPr>
          <w:rFonts w:cstheme="minorHAnsi"/>
          <w:i/>
          <w:iCs/>
          <w:sz w:val="24"/>
          <w:szCs w:val="24"/>
        </w:rPr>
        <w:t>Am. Psychol.</w:t>
      </w:r>
      <w:r w:rsidRPr="00524D9F">
        <w:rPr>
          <w:rFonts w:cstheme="minorHAnsi"/>
          <w:sz w:val="24"/>
          <w:szCs w:val="24"/>
        </w:rPr>
        <w:t> </w:t>
      </w:r>
      <w:r w:rsidRPr="00524D9F">
        <w:rPr>
          <w:rFonts w:cstheme="minorHAnsi"/>
          <w:b/>
          <w:bCs/>
          <w:sz w:val="24"/>
          <w:szCs w:val="24"/>
        </w:rPr>
        <w:t>2020</w:t>
      </w:r>
      <w:r w:rsidRPr="00524D9F">
        <w:rPr>
          <w:rFonts w:cstheme="minorHAnsi"/>
          <w:sz w:val="24"/>
          <w:szCs w:val="24"/>
        </w:rPr>
        <w:t>, </w:t>
      </w:r>
      <w:r w:rsidRPr="00524D9F">
        <w:rPr>
          <w:rFonts w:cstheme="minorHAnsi"/>
          <w:i/>
          <w:iCs/>
          <w:sz w:val="24"/>
          <w:szCs w:val="24"/>
        </w:rPr>
        <w:t>75</w:t>
      </w:r>
      <w:r w:rsidRPr="00524D9F">
        <w:rPr>
          <w:rFonts w:cstheme="minorHAnsi"/>
          <w:sz w:val="24"/>
          <w:szCs w:val="24"/>
        </w:rPr>
        <w:t xml:space="preserve">, 1269–1284. </w:t>
      </w:r>
    </w:p>
    <w:p w14:paraId="1772355E" w14:textId="07597EB3" w:rsidR="00524D9F" w:rsidRPr="00524D9F" w:rsidRDefault="00524D9F" w:rsidP="00390E39">
      <w:pPr>
        <w:numPr>
          <w:ilvl w:val="0"/>
          <w:numId w:val="15"/>
        </w:numPr>
        <w:spacing w:after="0"/>
        <w:rPr>
          <w:rFonts w:cstheme="minorHAnsi"/>
          <w:sz w:val="24"/>
          <w:szCs w:val="24"/>
        </w:rPr>
      </w:pPr>
      <w:r w:rsidRPr="00524D9F">
        <w:rPr>
          <w:rFonts w:cstheme="minorHAnsi"/>
          <w:sz w:val="24"/>
          <w:szCs w:val="24"/>
        </w:rPr>
        <w:t>Pauk, W.; Owens, R.J.Q. The Cornell System: Take Effective Notes. In </w:t>
      </w:r>
      <w:r w:rsidRPr="00524D9F">
        <w:rPr>
          <w:rFonts w:cstheme="minorHAnsi"/>
          <w:i/>
          <w:iCs/>
          <w:sz w:val="24"/>
          <w:szCs w:val="24"/>
        </w:rPr>
        <w:t>How to Study in College</w:t>
      </w:r>
      <w:r w:rsidRPr="00524D9F">
        <w:rPr>
          <w:rFonts w:cstheme="minorHAnsi"/>
          <w:sz w:val="24"/>
          <w:szCs w:val="24"/>
        </w:rPr>
        <w:t xml:space="preserve">; Wadsworth: Boston, MA, USA, 2010; pp. 235–277. </w:t>
      </w:r>
    </w:p>
    <w:tbl>
      <w:tblPr>
        <w:tblW w:w="10260" w:type="dxa"/>
        <w:tblBorders>
          <w:top w:val="single" w:sz="2" w:space="0" w:color="DDDDDD"/>
          <w:left w:val="single" w:sz="2" w:space="0" w:color="DDDDDD"/>
          <w:bottom w:val="single" w:sz="2" w:space="0" w:color="DDDDDD"/>
          <w:right w:val="single" w:sz="2"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216"/>
        <w:gridCol w:w="10044"/>
      </w:tblGrid>
      <w:tr w:rsidR="00524D9F" w:rsidRPr="00524D9F" w14:paraId="60305F39" w14:textId="77777777" w:rsidTr="00524D9F">
        <w:tc>
          <w:tcPr>
            <w:tcW w:w="0" w:type="auto"/>
            <w:tcBorders>
              <w:bottom w:val="single" w:sz="6" w:space="0" w:color="EDEDED"/>
            </w:tcBorders>
            <w:shd w:val="clear" w:color="auto" w:fill="FFFFFF"/>
            <w:tcMar>
              <w:top w:w="75" w:type="dxa"/>
              <w:left w:w="105" w:type="dxa"/>
              <w:bottom w:w="75" w:type="dxa"/>
              <w:right w:w="105" w:type="dxa"/>
            </w:tcMar>
            <w:hideMark/>
          </w:tcPr>
          <w:p w14:paraId="13761677" w14:textId="77777777" w:rsidR="00524D9F" w:rsidRPr="00524D9F" w:rsidRDefault="00524D9F" w:rsidP="00524D9F">
            <w:pPr>
              <w:rPr>
                <w:rFonts w:cstheme="minorHAnsi"/>
                <w:sz w:val="24"/>
                <w:szCs w:val="24"/>
              </w:rPr>
            </w:pPr>
          </w:p>
        </w:tc>
        <w:tc>
          <w:tcPr>
            <w:tcW w:w="0" w:type="auto"/>
            <w:tcBorders>
              <w:bottom w:val="single" w:sz="6" w:space="0" w:color="EDEDED"/>
            </w:tcBorders>
            <w:shd w:val="clear" w:color="auto" w:fill="FFFFFF"/>
            <w:tcMar>
              <w:top w:w="75" w:type="dxa"/>
              <w:left w:w="105" w:type="dxa"/>
              <w:bottom w:w="75" w:type="dxa"/>
              <w:right w:w="105" w:type="dxa"/>
            </w:tcMar>
            <w:hideMark/>
          </w:tcPr>
          <w:p w14:paraId="3448995D" w14:textId="77777777" w:rsidR="00524D9F" w:rsidRPr="00524D9F" w:rsidRDefault="00524D9F" w:rsidP="00524D9F">
            <w:pPr>
              <w:rPr>
                <w:rFonts w:cstheme="minorHAnsi"/>
                <w:sz w:val="24"/>
                <w:szCs w:val="24"/>
              </w:rPr>
            </w:pPr>
            <w:r w:rsidRPr="00524D9F">
              <w:rPr>
                <w:rFonts w:cstheme="minorHAnsi"/>
                <w:b/>
                <w:bCs/>
                <w:sz w:val="24"/>
                <w:szCs w:val="24"/>
              </w:rPr>
              <w:t>Disclaimer/Publisher’s Note:</w:t>
            </w:r>
            <w:r w:rsidRPr="00524D9F">
              <w:rPr>
                <w:rFonts w:cstheme="minorHAnsi"/>
                <w:sz w:val="24"/>
                <w:szCs w:val="24"/>
              </w:rPr>
              <w:t xml:space="preserve"> The statements, opinions and data contained in all publications are solely those of the individual author(s) and contributor(s) and not of MDPI and/or the editor(s). MDPI and/or the editor(s) disclaim responsibility for any injury to people or property resulting from any ideas, methods, </w:t>
            </w:r>
            <w:proofErr w:type="gramStart"/>
            <w:r w:rsidRPr="00524D9F">
              <w:rPr>
                <w:rFonts w:cstheme="minorHAnsi"/>
                <w:sz w:val="24"/>
                <w:szCs w:val="24"/>
              </w:rPr>
              <w:t>instructions</w:t>
            </w:r>
            <w:proofErr w:type="gramEnd"/>
            <w:r w:rsidRPr="00524D9F">
              <w:rPr>
                <w:rFonts w:cstheme="minorHAnsi"/>
                <w:sz w:val="24"/>
                <w:szCs w:val="24"/>
              </w:rPr>
              <w:t xml:space="preserve"> or products referred to in the content.</w:t>
            </w:r>
          </w:p>
        </w:tc>
      </w:tr>
    </w:tbl>
    <w:p w14:paraId="3AC1F0C3" w14:textId="11BC7679" w:rsidR="00524D9F" w:rsidRPr="00524D9F" w:rsidRDefault="00524D9F" w:rsidP="00524D9F">
      <w:pPr>
        <w:rPr>
          <w:rFonts w:cstheme="minorHAnsi"/>
          <w:sz w:val="24"/>
          <w:szCs w:val="24"/>
        </w:rPr>
      </w:pPr>
      <w:r w:rsidRPr="00524D9F">
        <w:rPr>
          <w:rFonts w:cstheme="minorHAnsi"/>
          <w:sz w:val="24"/>
          <w:szCs w:val="24"/>
        </w:rPr>
        <w:br/>
        <w:t>© 2023 by the author. Licensee MDPI, Basel, Switzerland. This article is an open access article distributed under the terms and conditions of the Creative Commons Attribution (CC BY) license (</w:t>
      </w:r>
      <w:r w:rsidRPr="003D5C42">
        <w:rPr>
          <w:rFonts w:cstheme="minorHAnsi"/>
          <w:b/>
          <w:bCs/>
          <w:sz w:val="24"/>
          <w:szCs w:val="24"/>
        </w:rPr>
        <w:t>https://creativecommons.org/licenses/by/4.0/</w:t>
      </w:r>
      <w:r w:rsidRPr="00524D9F">
        <w:rPr>
          <w:rFonts w:cstheme="minorHAnsi"/>
          <w:sz w:val="24"/>
          <w:szCs w:val="24"/>
        </w:rPr>
        <w:t>).</w:t>
      </w:r>
    </w:p>
    <w:p w14:paraId="0E815921" w14:textId="77777777" w:rsidR="00C969A6" w:rsidRDefault="00C969A6" w:rsidP="00D14423">
      <w:pPr>
        <w:rPr>
          <w:rFonts w:cstheme="minorHAnsi"/>
          <w:sz w:val="24"/>
          <w:szCs w:val="24"/>
        </w:rPr>
      </w:pPr>
    </w:p>
    <w:sectPr w:rsidR="00C969A6"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715F80"/>
    <w:multiLevelType w:val="multilevel"/>
    <w:tmpl w:val="0FF46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C247E38"/>
    <w:multiLevelType w:val="multilevel"/>
    <w:tmpl w:val="0C7C4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143BC7"/>
    <w:multiLevelType w:val="multilevel"/>
    <w:tmpl w:val="FDE4A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166D5"/>
    <w:multiLevelType w:val="hybridMultilevel"/>
    <w:tmpl w:val="509494D6"/>
    <w:lvl w:ilvl="0" w:tplc="B6A8C44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12"/>
  </w:num>
  <w:num w:numId="3" w16cid:durableId="962153638">
    <w:abstractNumId w:val="10"/>
  </w:num>
  <w:num w:numId="4" w16cid:durableId="121774372">
    <w:abstractNumId w:val="5"/>
  </w:num>
  <w:num w:numId="5" w16cid:durableId="305858795">
    <w:abstractNumId w:val="13"/>
  </w:num>
  <w:num w:numId="6" w16cid:durableId="1447777595">
    <w:abstractNumId w:val="0"/>
  </w:num>
  <w:num w:numId="7" w16cid:durableId="2079396860">
    <w:abstractNumId w:val="7"/>
  </w:num>
  <w:num w:numId="8" w16cid:durableId="1478113196">
    <w:abstractNumId w:val="2"/>
  </w:num>
  <w:num w:numId="9" w16cid:durableId="197006999">
    <w:abstractNumId w:val="14"/>
  </w:num>
  <w:num w:numId="10" w16cid:durableId="1647974180">
    <w:abstractNumId w:val="8"/>
  </w:num>
  <w:num w:numId="11" w16cid:durableId="1968853996">
    <w:abstractNumId w:val="15"/>
  </w:num>
  <w:num w:numId="12" w16cid:durableId="588538078">
    <w:abstractNumId w:val="9"/>
  </w:num>
  <w:num w:numId="13" w16cid:durableId="569078178">
    <w:abstractNumId w:val="4"/>
  </w:num>
  <w:num w:numId="14" w16cid:durableId="298609033">
    <w:abstractNumId w:val="6"/>
  </w:num>
  <w:num w:numId="15" w16cid:durableId="2077042978">
    <w:abstractNumId w:val="3"/>
  </w:num>
  <w:num w:numId="16" w16cid:durableId="186544056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KVzXyewY7E6+Tf97H9CkgwqnCRTL/6vPK/UYIDuqNUCVogHkflqpZ3CwJxQZqUyiJ0XgR0RfVrzjoyA6RjwKkA==" w:salt="yKz8v7cZUejMkfudeS4SC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1E50"/>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059C"/>
    <w:rsid w:val="001E18FE"/>
    <w:rsid w:val="001F70BC"/>
    <w:rsid w:val="001F7FBE"/>
    <w:rsid w:val="002016B1"/>
    <w:rsid w:val="00201875"/>
    <w:rsid w:val="00201AFD"/>
    <w:rsid w:val="00201FDC"/>
    <w:rsid w:val="002022D8"/>
    <w:rsid w:val="00206486"/>
    <w:rsid w:val="00206CC8"/>
    <w:rsid w:val="00211422"/>
    <w:rsid w:val="00212109"/>
    <w:rsid w:val="0022353B"/>
    <w:rsid w:val="00224240"/>
    <w:rsid w:val="00225ECD"/>
    <w:rsid w:val="00226FA2"/>
    <w:rsid w:val="0024134B"/>
    <w:rsid w:val="00251132"/>
    <w:rsid w:val="002528D7"/>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0714"/>
    <w:rsid w:val="002C17A7"/>
    <w:rsid w:val="002C2DA5"/>
    <w:rsid w:val="002C3968"/>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0E39"/>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D5C42"/>
    <w:rsid w:val="003E05B7"/>
    <w:rsid w:val="003E0C0A"/>
    <w:rsid w:val="003E6CFF"/>
    <w:rsid w:val="004010E3"/>
    <w:rsid w:val="004055B8"/>
    <w:rsid w:val="0040709D"/>
    <w:rsid w:val="0040778E"/>
    <w:rsid w:val="004122F9"/>
    <w:rsid w:val="004124D3"/>
    <w:rsid w:val="004139BA"/>
    <w:rsid w:val="00414591"/>
    <w:rsid w:val="00414823"/>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4F7713"/>
    <w:rsid w:val="0050408D"/>
    <w:rsid w:val="00504C6A"/>
    <w:rsid w:val="00510364"/>
    <w:rsid w:val="005116C9"/>
    <w:rsid w:val="00511BEE"/>
    <w:rsid w:val="00511CEE"/>
    <w:rsid w:val="005175E9"/>
    <w:rsid w:val="00517FEF"/>
    <w:rsid w:val="00520368"/>
    <w:rsid w:val="00524D9F"/>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2C65"/>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E22"/>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77D05"/>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62C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016"/>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31A6"/>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E51A3"/>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137D"/>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6CD1"/>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8797B"/>
    <w:rsid w:val="00A915ED"/>
    <w:rsid w:val="00A91CF2"/>
    <w:rsid w:val="00A93BA4"/>
    <w:rsid w:val="00A9416E"/>
    <w:rsid w:val="00AA432C"/>
    <w:rsid w:val="00AA493D"/>
    <w:rsid w:val="00AB4807"/>
    <w:rsid w:val="00AB4813"/>
    <w:rsid w:val="00AC0052"/>
    <w:rsid w:val="00AC04D6"/>
    <w:rsid w:val="00AC428F"/>
    <w:rsid w:val="00AD0685"/>
    <w:rsid w:val="00AD1009"/>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675B"/>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0BB"/>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4470"/>
    <w:rsid w:val="00BC540B"/>
    <w:rsid w:val="00BC7302"/>
    <w:rsid w:val="00BD01F3"/>
    <w:rsid w:val="00BD0D8D"/>
    <w:rsid w:val="00BD439F"/>
    <w:rsid w:val="00BD4F14"/>
    <w:rsid w:val="00BE2644"/>
    <w:rsid w:val="00BE42F3"/>
    <w:rsid w:val="00BE551C"/>
    <w:rsid w:val="00BF6ECD"/>
    <w:rsid w:val="00BF7198"/>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0628"/>
    <w:rsid w:val="00C83CEB"/>
    <w:rsid w:val="00C85BDD"/>
    <w:rsid w:val="00C86B81"/>
    <w:rsid w:val="00C91557"/>
    <w:rsid w:val="00C92F74"/>
    <w:rsid w:val="00C969A6"/>
    <w:rsid w:val="00C97015"/>
    <w:rsid w:val="00CA1C19"/>
    <w:rsid w:val="00CA204D"/>
    <w:rsid w:val="00CA2E14"/>
    <w:rsid w:val="00CA60CD"/>
    <w:rsid w:val="00CB06D2"/>
    <w:rsid w:val="00CB10E9"/>
    <w:rsid w:val="00CB11D6"/>
    <w:rsid w:val="00CB5475"/>
    <w:rsid w:val="00CB665E"/>
    <w:rsid w:val="00CB6E09"/>
    <w:rsid w:val="00CC09A7"/>
    <w:rsid w:val="00CC0FD9"/>
    <w:rsid w:val="00CC1F8F"/>
    <w:rsid w:val="00CC2C8A"/>
    <w:rsid w:val="00CD139B"/>
    <w:rsid w:val="00CD46DC"/>
    <w:rsid w:val="00CD5E59"/>
    <w:rsid w:val="00CD7831"/>
    <w:rsid w:val="00CE05D4"/>
    <w:rsid w:val="00CE4712"/>
    <w:rsid w:val="00CE7AC2"/>
    <w:rsid w:val="00CF288A"/>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542D6"/>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203"/>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italic">
    <w:name w:val="html-italic"/>
    <w:basedOn w:val="DefaultParagraphFont"/>
    <w:rsid w:val="00524D9F"/>
  </w:style>
  <w:style w:type="character" w:customStyle="1" w:styleId="underline">
    <w:name w:val="underline"/>
    <w:basedOn w:val="DefaultParagraphFont"/>
    <w:rsid w:val="00524D9F"/>
  </w:style>
  <w:style w:type="paragraph" w:customStyle="1" w:styleId="html-x">
    <w:name w:val="html-x"/>
    <w:basedOn w:val="Normal"/>
    <w:rsid w:val="00524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524D9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934753528">
      <w:bodyDiv w:val="1"/>
      <w:marLeft w:val="0"/>
      <w:marRight w:val="0"/>
      <w:marTop w:val="0"/>
      <w:marBottom w:val="0"/>
      <w:divBdr>
        <w:top w:val="none" w:sz="0" w:space="0" w:color="auto"/>
        <w:left w:val="none" w:sz="0" w:space="0" w:color="auto"/>
        <w:bottom w:val="none" w:sz="0" w:space="0" w:color="auto"/>
        <w:right w:val="none" w:sz="0" w:space="0" w:color="auto"/>
      </w:divBdr>
      <w:divsChild>
        <w:div w:id="1869487711">
          <w:marLeft w:val="0"/>
          <w:marRight w:val="0"/>
          <w:marTop w:val="0"/>
          <w:marBottom w:val="0"/>
          <w:divBdr>
            <w:top w:val="none" w:sz="0" w:space="0" w:color="auto"/>
            <w:left w:val="none" w:sz="0" w:space="0" w:color="auto"/>
            <w:bottom w:val="none" w:sz="0" w:space="0" w:color="auto"/>
            <w:right w:val="none" w:sz="0" w:space="0" w:color="auto"/>
          </w:divBdr>
          <w:divsChild>
            <w:div w:id="1648172123">
              <w:marLeft w:val="0"/>
              <w:marRight w:val="0"/>
              <w:marTop w:val="0"/>
              <w:marBottom w:val="0"/>
              <w:divBdr>
                <w:top w:val="none" w:sz="0" w:space="0" w:color="auto"/>
                <w:left w:val="none" w:sz="0" w:space="0" w:color="auto"/>
                <w:bottom w:val="none" w:sz="0" w:space="0" w:color="auto"/>
                <w:right w:val="none" w:sz="0" w:space="0" w:color="auto"/>
              </w:divBdr>
              <w:divsChild>
                <w:div w:id="201670237">
                  <w:marLeft w:val="0"/>
                  <w:marRight w:val="0"/>
                  <w:marTop w:val="0"/>
                  <w:marBottom w:val="0"/>
                  <w:divBdr>
                    <w:top w:val="none" w:sz="0" w:space="0" w:color="auto"/>
                    <w:left w:val="none" w:sz="0" w:space="0" w:color="auto"/>
                    <w:bottom w:val="none" w:sz="0" w:space="0" w:color="auto"/>
                    <w:right w:val="none" w:sz="0" w:space="0" w:color="auto"/>
                  </w:divBdr>
                </w:div>
                <w:div w:id="785272303">
                  <w:marLeft w:val="0"/>
                  <w:marRight w:val="0"/>
                  <w:marTop w:val="75"/>
                  <w:marBottom w:val="0"/>
                  <w:divBdr>
                    <w:top w:val="none" w:sz="0" w:space="0" w:color="auto"/>
                    <w:left w:val="none" w:sz="0" w:space="0" w:color="auto"/>
                    <w:bottom w:val="none" w:sz="0" w:space="0" w:color="auto"/>
                    <w:right w:val="none" w:sz="0" w:space="0" w:color="auto"/>
                  </w:divBdr>
                  <w:divsChild>
                    <w:div w:id="1780758743">
                      <w:marLeft w:val="0"/>
                      <w:marRight w:val="0"/>
                      <w:marTop w:val="0"/>
                      <w:marBottom w:val="120"/>
                      <w:divBdr>
                        <w:top w:val="none" w:sz="0" w:space="0" w:color="auto"/>
                        <w:left w:val="none" w:sz="0" w:space="0" w:color="auto"/>
                        <w:bottom w:val="none" w:sz="0" w:space="0" w:color="auto"/>
                        <w:right w:val="none" w:sz="0" w:space="0" w:color="auto"/>
                      </w:divBdr>
                      <w:divsChild>
                        <w:div w:id="9039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2305710">
          <w:marLeft w:val="0"/>
          <w:marRight w:val="0"/>
          <w:marTop w:val="0"/>
          <w:marBottom w:val="0"/>
          <w:divBdr>
            <w:top w:val="none" w:sz="0" w:space="0" w:color="auto"/>
            <w:left w:val="none" w:sz="0" w:space="0" w:color="auto"/>
            <w:bottom w:val="none" w:sz="0" w:space="0" w:color="auto"/>
            <w:right w:val="none" w:sz="0" w:space="0" w:color="auto"/>
          </w:divBdr>
          <w:divsChild>
            <w:div w:id="1374886284">
              <w:marLeft w:val="0"/>
              <w:marRight w:val="0"/>
              <w:marTop w:val="360"/>
              <w:marBottom w:val="0"/>
              <w:divBdr>
                <w:top w:val="none" w:sz="0" w:space="0" w:color="auto"/>
                <w:left w:val="none" w:sz="0" w:space="0" w:color="auto"/>
                <w:bottom w:val="none" w:sz="0" w:space="0" w:color="auto"/>
                <w:right w:val="none" w:sz="0" w:space="0" w:color="auto"/>
              </w:divBdr>
              <w:divsChild>
                <w:div w:id="840776398">
                  <w:marLeft w:val="0"/>
                  <w:marRight w:val="0"/>
                  <w:marTop w:val="0"/>
                  <w:marBottom w:val="0"/>
                  <w:divBdr>
                    <w:top w:val="none" w:sz="0" w:space="0" w:color="auto"/>
                    <w:left w:val="none" w:sz="0" w:space="0" w:color="auto"/>
                    <w:bottom w:val="none" w:sz="0" w:space="0" w:color="auto"/>
                    <w:right w:val="none" w:sz="0" w:space="0" w:color="auto"/>
                  </w:divBdr>
                </w:div>
                <w:div w:id="322048517">
                  <w:marLeft w:val="0"/>
                  <w:marRight w:val="0"/>
                  <w:marTop w:val="0"/>
                  <w:marBottom w:val="0"/>
                  <w:divBdr>
                    <w:top w:val="none" w:sz="0" w:space="0" w:color="auto"/>
                    <w:left w:val="none" w:sz="0" w:space="0" w:color="auto"/>
                    <w:bottom w:val="none" w:sz="0" w:space="0" w:color="auto"/>
                    <w:right w:val="none" w:sz="0" w:space="0" w:color="auto"/>
                  </w:divBdr>
                </w:div>
                <w:div w:id="1193229019">
                  <w:marLeft w:val="0"/>
                  <w:marRight w:val="0"/>
                  <w:marTop w:val="0"/>
                  <w:marBottom w:val="0"/>
                  <w:divBdr>
                    <w:top w:val="none" w:sz="0" w:space="0" w:color="auto"/>
                    <w:left w:val="none" w:sz="0" w:space="0" w:color="auto"/>
                    <w:bottom w:val="none" w:sz="0" w:space="0" w:color="auto"/>
                    <w:right w:val="none" w:sz="0" w:space="0" w:color="auto"/>
                  </w:divBdr>
                </w:div>
                <w:div w:id="252208093">
                  <w:marLeft w:val="0"/>
                  <w:marRight w:val="0"/>
                  <w:marTop w:val="0"/>
                  <w:marBottom w:val="0"/>
                  <w:divBdr>
                    <w:top w:val="none" w:sz="0" w:space="0" w:color="auto"/>
                    <w:left w:val="none" w:sz="0" w:space="0" w:color="auto"/>
                    <w:bottom w:val="none" w:sz="0" w:space="0" w:color="auto"/>
                    <w:right w:val="none" w:sz="0" w:space="0" w:color="auto"/>
                  </w:divBdr>
                </w:div>
                <w:div w:id="944844498">
                  <w:marLeft w:val="0"/>
                  <w:marRight w:val="0"/>
                  <w:marTop w:val="0"/>
                  <w:marBottom w:val="0"/>
                  <w:divBdr>
                    <w:top w:val="none" w:sz="0" w:space="0" w:color="auto"/>
                    <w:left w:val="none" w:sz="0" w:space="0" w:color="auto"/>
                    <w:bottom w:val="none" w:sz="0" w:space="0" w:color="auto"/>
                    <w:right w:val="none" w:sz="0" w:space="0" w:color="auto"/>
                  </w:divBdr>
                </w:div>
                <w:div w:id="1429351461">
                  <w:marLeft w:val="0"/>
                  <w:marRight w:val="0"/>
                  <w:marTop w:val="0"/>
                  <w:marBottom w:val="0"/>
                  <w:divBdr>
                    <w:top w:val="none" w:sz="0" w:space="0" w:color="auto"/>
                    <w:left w:val="none" w:sz="0" w:space="0" w:color="auto"/>
                    <w:bottom w:val="none" w:sz="0" w:space="0" w:color="auto"/>
                    <w:right w:val="none" w:sz="0" w:space="0" w:color="auto"/>
                  </w:divBdr>
                </w:div>
                <w:div w:id="398943986">
                  <w:marLeft w:val="0"/>
                  <w:marRight w:val="0"/>
                  <w:marTop w:val="0"/>
                  <w:marBottom w:val="0"/>
                  <w:divBdr>
                    <w:top w:val="none" w:sz="0" w:space="0" w:color="auto"/>
                    <w:left w:val="none" w:sz="0" w:space="0" w:color="auto"/>
                    <w:bottom w:val="none" w:sz="0" w:space="0" w:color="auto"/>
                    <w:right w:val="none" w:sz="0" w:space="0" w:color="auto"/>
                  </w:divBdr>
                </w:div>
                <w:div w:id="1918973555">
                  <w:marLeft w:val="0"/>
                  <w:marRight w:val="0"/>
                  <w:marTop w:val="0"/>
                  <w:marBottom w:val="0"/>
                  <w:divBdr>
                    <w:top w:val="none" w:sz="0" w:space="0" w:color="auto"/>
                    <w:left w:val="none" w:sz="0" w:space="0" w:color="auto"/>
                    <w:bottom w:val="none" w:sz="0" w:space="0" w:color="auto"/>
                    <w:right w:val="none" w:sz="0" w:space="0" w:color="auto"/>
                  </w:divBdr>
                </w:div>
                <w:div w:id="697048288">
                  <w:marLeft w:val="0"/>
                  <w:marRight w:val="0"/>
                  <w:marTop w:val="240"/>
                  <w:marBottom w:val="240"/>
                  <w:divBdr>
                    <w:top w:val="none" w:sz="0" w:space="0" w:color="auto"/>
                    <w:left w:val="none" w:sz="0" w:space="0" w:color="auto"/>
                    <w:bottom w:val="none" w:sz="0" w:space="0" w:color="auto"/>
                    <w:right w:val="none" w:sz="0" w:space="0" w:color="auto"/>
                  </w:divBdr>
                  <w:divsChild>
                    <w:div w:id="2028096451">
                      <w:marLeft w:val="102"/>
                      <w:marRight w:val="205"/>
                      <w:marTop w:val="240"/>
                      <w:marBottom w:val="240"/>
                      <w:divBdr>
                        <w:top w:val="none" w:sz="0" w:space="0" w:color="auto"/>
                        <w:left w:val="none" w:sz="0" w:space="0" w:color="auto"/>
                        <w:bottom w:val="none" w:sz="0" w:space="0" w:color="auto"/>
                        <w:right w:val="none" w:sz="0" w:space="0" w:color="auto"/>
                      </w:divBdr>
                      <w:divsChild>
                        <w:div w:id="184833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741972">
                  <w:marLeft w:val="0"/>
                  <w:marRight w:val="0"/>
                  <w:marTop w:val="0"/>
                  <w:marBottom w:val="0"/>
                  <w:divBdr>
                    <w:top w:val="none" w:sz="0" w:space="0" w:color="auto"/>
                    <w:left w:val="none" w:sz="0" w:space="0" w:color="auto"/>
                    <w:bottom w:val="none" w:sz="0" w:space="0" w:color="auto"/>
                    <w:right w:val="none" w:sz="0" w:space="0" w:color="auto"/>
                  </w:divBdr>
                </w:div>
                <w:div w:id="497229215">
                  <w:marLeft w:val="0"/>
                  <w:marRight w:val="0"/>
                  <w:marTop w:val="0"/>
                  <w:marBottom w:val="0"/>
                  <w:divBdr>
                    <w:top w:val="none" w:sz="0" w:space="0" w:color="auto"/>
                    <w:left w:val="none" w:sz="0" w:space="0" w:color="auto"/>
                    <w:bottom w:val="none" w:sz="0" w:space="0" w:color="auto"/>
                    <w:right w:val="none" w:sz="0" w:space="0" w:color="auto"/>
                  </w:divBdr>
                </w:div>
                <w:div w:id="1702585723">
                  <w:marLeft w:val="0"/>
                  <w:marRight w:val="0"/>
                  <w:marTop w:val="0"/>
                  <w:marBottom w:val="0"/>
                  <w:divBdr>
                    <w:top w:val="none" w:sz="0" w:space="0" w:color="auto"/>
                    <w:left w:val="none" w:sz="0" w:space="0" w:color="auto"/>
                    <w:bottom w:val="none" w:sz="0" w:space="0" w:color="auto"/>
                    <w:right w:val="none" w:sz="0" w:space="0" w:color="auto"/>
                  </w:divBdr>
                </w:div>
                <w:div w:id="1249655760">
                  <w:marLeft w:val="0"/>
                  <w:marRight w:val="0"/>
                  <w:marTop w:val="0"/>
                  <w:marBottom w:val="0"/>
                  <w:divBdr>
                    <w:top w:val="none" w:sz="0" w:space="0" w:color="auto"/>
                    <w:left w:val="none" w:sz="0" w:space="0" w:color="auto"/>
                    <w:bottom w:val="none" w:sz="0" w:space="0" w:color="auto"/>
                    <w:right w:val="none" w:sz="0" w:space="0" w:color="auto"/>
                  </w:divBdr>
                </w:div>
                <w:div w:id="1668433967">
                  <w:marLeft w:val="0"/>
                  <w:marRight w:val="0"/>
                  <w:marTop w:val="240"/>
                  <w:marBottom w:val="240"/>
                  <w:divBdr>
                    <w:top w:val="none" w:sz="0" w:space="0" w:color="auto"/>
                    <w:left w:val="none" w:sz="0" w:space="0" w:color="auto"/>
                    <w:bottom w:val="none" w:sz="0" w:space="0" w:color="auto"/>
                    <w:right w:val="none" w:sz="0" w:space="0" w:color="auto"/>
                  </w:divBdr>
                  <w:divsChild>
                    <w:div w:id="310331419">
                      <w:marLeft w:val="102"/>
                      <w:marRight w:val="205"/>
                      <w:marTop w:val="240"/>
                      <w:marBottom w:val="240"/>
                      <w:divBdr>
                        <w:top w:val="none" w:sz="0" w:space="0" w:color="auto"/>
                        <w:left w:val="none" w:sz="0" w:space="0" w:color="auto"/>
                        <w:bottom w:val="none" w:sz="0" w:space="0" w:color="auto"/>
                        <w:right w:val="none" w:sz="0" w:space="0" w:color="auto"/>
                      </w:divBdr>
                      <w:divsChild>
                        <w:div w:id="83376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007329">
                  <w:marLeft w:val="0"/>
                  <w:marRight w:val="0"/>
                  <w:marTop w:val="0"/>
                  <w:marBottom w:val="0"/>
                  <w:divBdr>
                    <w:top w:val="none" w:sz="0" w:space="0" w:color="auto"/>
                    <w:left w:val="none" w:sz="0" w:space="0" w:color="auto"/>
                    <w:bottom w:val="none" w:sz="0" w:space="0" w:color="auto"/>
                    <w:right w:val="none" w:sz="0" w:space="0" w:color="auto"/>
                  </w:divBdr>
                </w:div>
                <w:div w:id="1138189153">
                  <w:marLeft w:val="0"/>
                  <w:marRight w:val="0"/>
                  <w:marTop w:val="0"/>
                  <w:marBottom w:val="0"/>
                  <w:divBdr>
                    <w:top w:val="none" w:sz="0" w:space="0" w:color="auto"/>
                    <w:left w:val="none" w:sz="0" w:space="0" w:color="auto"/>
                    <w:bottom w:val="none" w:sz="0" w:space="0" w:color="auto"/>
                    <w:right w:val="none" w:sz="0" w:space="0" w:color="auto"/>
                  </w:divBdr>
                </w:div>
                <w:div w:id="784467288">
                  <w:marLeft w:val="0"/>
                  <w:marRight w:val="0"/>
                  <w:marTop w:val="0"/>
                  <w:marBottom w:val="0"/>
                  <w:divBdr>
                    <w:top w:val="none" w:sz="0" w:space="0" w:color="auto"/>
                    <w:left w:val="none" w:sz="0" w:space="0" w:color="auto"/>
                    <w:bottom w:val="none" w:sz="0" w:space="0" w:color="auto"/>
                    <w:right w:val="none" w:sz="0" w:space="0" w:color="auto"/>
                  </w:divBdr>
                </w:div>
                <w:div w:id="216431640">
                  <w:marLeft w:val="0"/>
                  <w:marRight w:val="0"/>
                  <w:marTop w:val="0"/>
                  <w:marBottom w:val="0"/>
                  <w:divBdr>
                    <w:top w:val="none" w:sz="0" w:space="0" w:color="auto"/>
                    <w:left w:val="none" w:sz="0" w:space="0" w:color="auto"/>
                    <w:bottom w:val="none" w:sz="0" w:space="0" w:color="auto"/>
                    <w:right w:val="none" w:sz="0" w:space="0" w:color="auto"/>
                  </w:divBdr>
                </w:div>
                <w:div w:id="80030624">
                  <w:marLeft w:val="0"/>
                  <w:marRight w:val="0"/>
                  <w:marTop w:val="240"/>
                  <w:marBottom w:val="240"/>
                  <w:divBdr>
                    <w:top w:val="none" w:sz="0" w:space="0" w:color="auto"/>
                    <w:left w:val="none" w:sz="0" w:space="0" w:color="auto"/>
                    <w:bottom w:val="none" w:sz="0" w:space="0" w:color="auto"/>
                    <w:right w:val="none" w:sz="0" w:space="0" w:color="auto"/>
                  </w:divBdr>
                  <w:divsChild>
                    <w:div w:id="716663629">
                      <w:marLeft w:val="102"/>
                      <w:marRight w:val="205"/>
                      <w:marTop w:val="240"/>
                      <w:marBottom w:val="240"/>
                      <w:divBdr>
                        <w:top w:val="none" w:sz="0" w:space="0" w:color="auto"/>
                        <w:left w:val="none" w:sz="0" w:space="0" w:color="auto"/>
                        <w:bottom w:val="none" w:sz="0" w:space="0" w:color="auto"/>
                        <w:right w:val="none" w:sz="0" w:space="0" w:color="auto"/>
                      </w:divBdr>
                      <w:divsChild>
                        <w:div w:id="168689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673882">
                  <w:marLeft w:val="0"/>
                  <w:marRight w:val="0"/>
                  <w:marTop w:val="0"/>
                  <w:marBottom w:val="0"/>
                  <w:divBdr>
                    <w:top w:val="none" w:sz="0" w:space="0" w:color="auto"/>
                    <w:left w:val="none" w:sz="0" w:space="0" w:color="auto"/>
                    <w:bottom w:val="none" w:sz="0" w:space="0" w:color="auto"/>
                    <w:right w:val="none" w:sz="0" w:space="0" w:color="auto"/>
                  </w:divBdr>
                </w:div>
                <w:div w:id="706954319">
                  <w:marLeft w:val="0"/>
                  <w:marRight w:val="0"/>
                  <w:marTop w:val="240"/>
                  <w:marBottom w:val="240"/>
                  <w:divBdr>
                    <w:top w:val="none" w:sz="0" w:space="0" w:color="auto"/>
                    <w:left w:val="none" w:sz="0" w:space="0" w:color="auto"/>
                    <w:bottom w:val="none" w:sz="0" w:space="0" w:color="auto"/>
                    <w:right w:val="none" w:sz="0" w:space="0" w:color="auto"/>
                  </w:divBdr>
                  <w:divsChild>
                    <w:div w:id="1139301690">
                      <w:marLeft w:val="102"/>
                      <w:marRight w:val="205"/>
                      <w:marTop w:val="240"/>
                      <w:marBottom w:val="240"/>
                      <w:divBdr>
                        <w:top w:val="none" w:sz="0" w:space="0" w:color="auto"/>
                        <w:left w:val="none" w:sz="0" w:space="0" w:color="auto"/>
                        <w:bottom w:val="none" w:sz="0" w:space="0" w:color="auto"/>
                        <w:right w:val="none" w:sz="0" w:space="0" w:color="auto"/>
                      </w:divBdr>
                      <w:divsChild>
                        <w:div w:id="1142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705790">
                  <w:marLeft w:val="0"/>
                  <w:marRight w:val="0"/>
                  <w:marTop w:val="0"/>
                  <w:marBottom w:val="0"/>
                  <w:divBdr>
                    <w:top w:val="none" w:sz="0" w:space="0" w:color="auto"/>
                    <w:left w:val="none" w:sz="0" w:space="0" w:color="auto"/>
                    <w:bottom w:val="none" w:sz="0" w:space="0" w:color="auto"/>
                    <w:right w:val="none" w:sz="0" w:space="0" w:color="auto"/>
                  </w:divBdr>
                </w:div>
                <w:div w:id="1808089264">
                  <w:marLeft w:val="0"/>
                  <w:marRight w:val="0"/>
                  <w:marTop w:val="0"/>
                  <w:marBottom w:val="0"/>
                  <w:divBdr>
                    <w:top w:val="none" w:sz="0" w:space="0" w:color="auto"/>
                    <w:left w:val="none" w:sz="0" w:space="0" w:color="auto"/>
                    <w:bottom w:val="none" w:sz="0" w:space="0" w:color="auto"/>
                    <w:right w:val="none" w:sz="0" w:space="0" w:color="auto"/>
                  </w:divBdr>
                </w:div>
                <w:div w:id="60295506">
                  <w:marLeft w:val="0"/>
                  <w:marRight w:val="0"/>
                  <w:marTop w:val="0"/>
                  <w:marBottom w:val="0"/>
                  <w:divBdr>
                    <w:top w:val="none" w:sz="0" w:space="0" w:color="auto"/>
                    <w:left w:val="none" w:sz="0" w:space="0" w:color="auto"/>
                    <w:bottom w:val="none" w:sz="0" w:space="0" w:color="auto"/>
                    <w:right w:val="none" w:sz="0" w:space="0" w:color="auto"/>
                  </w:divBdr>
                </w:div>
                <w:div w:id="184632732">
                  <w:marLeft w:val="0"/>
                  <w:marRight w:val="0"/>
                  <w:marTop w:val="0"/>
                  <w:marBottom w:val="0"/>
                  <w:divBdr>
                    <w:top w:val="none" w:sz="0" w:space="0" w:color="auto"/>
                    <w:left w:val="none" w:sz="0" w:space="0" w:color="auto"/>
                    <w:bottom w:val="none" w:sz="0" w:space="0" w:color="auto"/>
                    <w:right w:val="none" w:sz="0" w:space="0" w:color="auto"/>
                  </w:divBdr>
                </w:div>
                <w:div w:id="381485641">
                  <w:marLeft w:val="0"/>
                  <w:marRight w:val="0"/>
                  <w:marTop w:val="0"/>
                  <w:marBottom w:val="0"/>
                  <w:divBdr>
                    <w:top w:val="none" w:sz="0" w:space="0" w:color="auto"/>
                    <w:left w:val="none" w:sz="0" w:space="0" w:color="auto"/>
                    <w:bottom w:val="none" w:sz="0" w:space="0" w:color="auto"/>
                    <w:right w:val="none" w:sz="0" w:space="0" w:color="auto"/>
                  </w:divBdr>
                </w:div>
                <w:div w:id="1019282034">
                  <w:marLeft w:val="0"/>
                  <w:marRight w:val="0"/>
                  <w:marTop w:val="0"/>
                  <w:marBottom w:val="0"/>
                  <w:divBdr>
                    <w:top w:val="none" w:sz="0" w:space="0" w:color="auto"/>
                    <w:left w:val="none" w:sz="0" w:space="0" w:color="auto"/>
                    <w:bottom w:val="none" w:sz="0" w:space="0" w:color="auto"/>
                    <w:right w:val="none" w:sz="0" w:space="0" w:color="auto"/>
                  </w:divBdr>
                </w:div>
                <w:div w:id="1420709498">
                  <w:marLeft w:val="0"/>
                  <w:marRight w:val="0"/>
                  <w:marTop w:val="0"/>
                  <w:marBottom w:val="0"/>
                  <w:divBdr>
                    <w:top w:val="none" w:sz="0" w:space="0" w:color="auto"/>
                    <w:left w:val="none" w:sz="0" w:space="0" w:color="auto"/>
                    <w:bottom w:val="none" w:sz="0" w:space="0" w:color="auto"/>
                    <w:right w:val="none" w:sz="0" w:space="0" w:color="auto"/>
                  </w:divBdr>
                </w:div>
                <w:div w:id="942766959">
                  <w:marLeft w:val="0"/>
                  <w:marRight w:val="0"/>
                  <w:marTop w:val="0"/>
                  <w:marBottom w:val="0"/>
                  <w:divBdr>
                    <w:top w:val="none" w:sz="0" w:space="0" w:color="auto"/>
                    <w:left w:val="none" w:sz="0" w:space="0" w:color="auto"/>
                    <w:bottom w:val="none" w:sz="0" w:space="0" w:color="auto"/>
                    <w:right w:val="none" w:sz="0" w:space="0" w:color="auto"/>
                  </w:divBdr>
                </w:div>
                <w:div w:id="187330512">
                  <w:marLeft w:val="0"/>
                  <w:marRight w:val="0"/>
                  <w:marTop w:val="0"/>
                  <w:marBottom w:val="0"/>
                  <w:divBdr>
                    <w:top w:val="none" w:sz="0" w:space="0" w:color="auto"/>
                    <w:left w:val="none" w:sz="0" w:space="0" w:color="auto"/>
                    <w:bottom w:val="none" w:sz="0" w:space="0" w:color="auto"/>
                    <w:right w:val="none" w:sz="0" w:space="0" w:color="auto"/>
                  </w:divBdr>
                </w:div>
                <w:div w:id="893126318">
                  <w:marLeft w:val="0"/>
                  <w:marRight w:val="0"/>
                  <w:marTop w:val="0"/>
                  <w:marBottom w:val="0"/>
                  <w:divBdr>
                    <w:top w:val="none" w:sz="0" w:space="0" w:color="auto"/>
                    <w:left w:val="none" w:sz="0" w:space="0" w:color="auto"/>
                    <w:bottom w:val="none" w:sz="0" w:space="0" w:color="auto"/>
                    <w:right w:val="none" w:sz="0" w:space="0" w:color="auto"/>
                  </w:divBdr>
                </w:div>
                <w:div w:id="159010469">
                  <w:marLeft w:val="0"/>
                  <w:marRight w:val="0"/>
                  <w:marTop w:val="0"/>
                  <w:marBottom w:val="0"/>
                  <w:divBdr>
                    <w:top w:val="none" w:sz="0" w:space="0" w:color="auto"/>
                    <w:left w:val="none" w:sz="0" w:space="0" w:color="auto"/>
                    <w:bottom w:val="none" w:sz="0" w:space="0" w:color="auto"/>
                    <w:right w:val="none" w:sz="0" w:space="0" w:color="auto"/>
                  </w:divBdr>
                </w:div>
                <w:div w:id="1083186683">
                  <w:marLeft w:val="0"/>
                  <w:marRight w:val="0"/>
                  <w:marTop w:val="0"/>
                  <w:marBottom w:val="0"/>
                  <w:divBdr>
                    <w:top w:val="none" w:sz="0" w:space="0" w:color="auto"/>
                    <w:left w:val="none" w:sz="0" w:space="0" w:color="auto"/>
                    <w:bottom w:val="none" w:sz="0" w:space="0" w:color="auto"/>
                    <w:right w:val="none" w:sz="0" w:space="0" w:color="auto"/>
                  </w:divBdr>
                </w:div>
                <w:div w:id="817306646">
                  <w:marLeft w:val="0"/>
                  <w:marRight w:val="0"/>
                  <w:marTop w:val="0"/>
                  <w:marBottom w:val="0"/>
                  <w:divBdr>
                    <w:top w:val="none" w:sz="0" w:space="0" w:color="auto"/>
                    <w:left w:val="none" w:sz="0" w:space="0" w:color="auto"/>
                    <w:bottom w:val="none" w:sz="0" w:space="0" w:color="auto"/>
                    <w:right w:val="none" w:sz="0" w:space="0" w:color="auto"/>
                  </w:divBdr>
                </w:div>
                <w:div w:id="288896074">
                  <w:marLeft w:val="0"/>
                  <w:marRight w:val="0"/>
                  <w:marTop w:val="0"/>
                  <w:marBottom w:val="0"/>
                  <w:divBdr>
                    <w:top w:val="none" w:sz="0" w:space="0" w:color="auto"/>
                    <w:left w:val="none" w:sz="0" w:space="0" w:color="auto"/>
                    <w:bottom w:val="none" w:sz="0" w:space="0" w:color="auto"/>
                    <w:right w:val="none" w:sz="0" w:space="0" w:color="auto"/>
                  </w:divBdr>
                </w:div>
                <w:div w:id="237640947">
                  <w:marLeft w:val="0"/>
                  <w:marRight w:val="0"/>
                  <w:marTop w:val="0"/>
                  <w:marBottom w:val="0"/>
                  <w:divBdr>
                    <w:top w:val="none" w:sz="0" w:space="0" w:color="auto"/>
                    <w:left w:val="none" w:sz="0" w:space="0" w:color="auto"/>
                    <w:bottom w:val="none" w:sz="0" w:space="0" w:color="auto"/>
                    <w:right w:val="none" w:sz="0" w:space="0" w:color="auto"/>
                  </w:divBdr>
                </w:div>
                <w:div w:id="440808702">
                  <w:marLeft w:val="0"/>
                  <w:marRight w:val="0"/>
                  <w:marTop w:val="0"/>
                  <w:marBottom w:val="0"/>
                  <w:divBdr>
                    <w:top w:val="none" w:sz="0" w:space="0" w:color="auto"/>
                    <w:left w:val="none" w:sz="0" w:space="0" w:color="auto"/>
                    <w:bottom w:val="none" w:sz="0" w:space="0" w:color="auto"/>
                    <w:right w:val="none" w:sz="0" w:space="0" w:color="auto"/>
                  </w:divBdr>
                </w:div>
                <w:div w:id="2098624607">
                  <w:marLeft w:val="0"/>
                  <w:marRight w:val="0"/>
                  <w:marTop w:val="0"/>
                  <w:marBottom w:val="0"/>
                  <w:divBdr>
                    <w:top w:val="none" w:sz="0" w:space="0" w:color="auto"/>
                    <w:left w:val="none" w:sz="0" w:space="0" w:color="auto"/>
                    <w:bottom w:val="none" w:sz="0" w:space="0" w:color="auto"/>
                    <w:right w:val="none" w:sz="0" w:space="0" w:color="auto"/>
                  </w:divBdr>
                </w:div>
                <w:div w:id="2013604297">
                  <w:marLeft w:val="0"/>
                  <w:marRight w:val="0"/>
                  <w:marTop w:val="0"/>
                  <w:marBottom w:val="0"/>
                  <w:divBdr>
                    <w:top w:val="none" w:sz="0" w:space="0" w:color="auto"/>
                    <w:left w:val="none" w:sz="0" w:space="0" w:color="auto"/>
                    <w:bottom w:val="none" w:sz="0" w:space="0" w:color="auto"/>
                    <w:right w:val="none" w:sz="0" w:space="0" w:color="auto"/>
                  </w:divBdr>
                </w:div>
                <w:div w:id="432751953">
                  <w:marLeft w:val="0"/>
                  <w:marRight w:val="0"/>
                  <w:marTop w:val="0"/>
                  <w:marBottom w:val="0"/>
                  <w:divBdr>
                    <w:top w:val="none" w:sz="0" w:space="0" w:color="auto"/>
                    <w:left w:val="none" w:sz="0" w:space="0" w:color="auto"/>
                    <w:bottom w:val="none" w:sz="0" w:space="0" w:color="auto"/>
                    <w:right w:val="none" w:sz="0" w:space="0" w:color="auto"/>
                  </w:divBdr>
                </w:div>
              </w:divsChild>
            </w:div>
            <w:div w:id="426073496">
              <w:marLeft w:val="0"/>
              <w:marRight w:val="0"/>
              <w:marTop w:val="0"/>
              <w:marBottom w:val="0"/>
              <w:divBdr>
                <w:top w:val="none" w:sz="0" w:space="0" w:color="auto"/>
                <w:left w:val="none" w:sz="0" w:space="0" w:color="auto"/>
                <w:bottom w:val="none" w:sz="0" w:space="0" w:color="auto"/>
                <w:right w:val="none" w:sz="0" w:space="0" w:color="auto"/>
              </w:divBdr>
            </w:div>
            <w:div w:id="1039739599">
              <w:marLeft w:val="0"/>
              <w:marRight w:val="0"/>
              <w:marTop w:val="0"/>
              <w:marBottom w:val="0"/>
              <w:divBdr>
                <w:top w:val="none" w:sz="0" w:space="0" w:color="auto"/>
                <w:left w:val="none" w:sz="0" w:space="0" w:color="auto"/>
                <w:bottom w:val="none" w:sz="0" w:space="0" w:color="auto"/>
                <w:right w:val="none" w:sz="0" w:space="0" w:color="auto"/>
              </w:divBdr>
            </w:div>
            <w:div w:id="1837459045">
              <w:marLeft w:val="0"/>
              <w:marRight w:val="0"/>
              <w:marTop w:val="0"/>
              <w:marBottom w:val="0"/>
              <w:divBdr>
                <w:top w:val="none" w:sz="0" w:space="0" w:color="auto"/>
                <w:left w:val="none" w:sz="0" w:space="0" w:color="auto"/>
                <w:bottom w:val="none" w:sz="0" w:space="0" w:color="auto"/>
                <w:right w:val="none" w:sz="0" w:space="0" w:color="auto"/>
              </w:divBdr>
            </w:div>
            <w:div w:id="1628319079">
              <w:marLeft w:val="0"/>
              <w:marRight w:val="0"/>
              <w:marTop w:val="0"/>
              <w:marBottom w:val="0"/>
              <w:divBdr>
                <w:top w:val="none" w:sz="0" w:space="0" w:color="auto"/>
                <w:left w:val="none" w:sz="0" w:space="0" w:color="auto"/>
                <w:bottom w:val="none" w:sz="0" w:space="0" w:color="auto"/>
                <w:right w:val="none" w:sz="0" w:space="0" w:color="auto"/>
              </w:divBdr>
            </w:div>
            <w:div w:id="1585794621">
              <w:marLeft w:val="0"/>
              <w:marRight w:val="0"/>
              <w:marTop w:val="0"/>
              <w:marBottom w:val="0"/>
              <w:divBdr>
                <w:top w:val="none" w:sz="0" w:space="0" w:color="auto"/>
                <w:left w:val="none" w:sz="0" w:space="0" w:color="auto"/>
                <w:bottom w:val="none" w:sz="0" w:space="0" w:color="auto"/>
                <w:right w:val="none" w:sz="0" w:space="0" w:color="auto"/>
              </w:divBdr>
            </w:div>
            <w:div w:id="2335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3390/educsci130908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4.xml><?xml version="1.0" encoding="utf-8"?>
<ds:datastoreItem xmlns:ds="http://schemas.openxmlformats.org/officeDocument/2006/customXml" ds:itemID="{552141CC-F1F1-44BB-8025-1FF10DBF6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14</Pages>
  <Words>6118</Words>
  <Characters>34875</Characters>
  <Application>Microsoft Office Word</Application>
  <DocSecurity>8</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30</cp:revision>
  <dcterms:created xsi:type="dcterms:W3CDTF">2023-09-12T17:12:00Z</dcterms:created>
  <dcterms:modified xsi:type="dcterms:W3CDTF">2023-09-25T16:14:00Z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